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12, 2022, TMC the metals company Inc. (the “Company”) entered into three securities purchase agreements for the private placement of an aggregate of 37,978,680 of the Company's common shares ("Common Shares") (the "Private Placement"). The Company entered into a securities purchase agreement (the “PIPE Purchase Agreement”) with the purchasers named therein (the “PIPE Purchasers”) for the issuance and sale of an aggregate of 31,625,000 Common Shares at a purchase price of $0.80 per share, a separate securities purchase agreement with Gerard Barron, the Company’s Chief Executive Officer and Chairman, for the issuance and sale of 103,680 Common Shares at $0.9645 per share, the consolidated closing bid price per Common Share on August 11, 2022 (the “Barron Purchase Agreement”), and a separate securities purchase agreement with ERAS Capital LLC, the family fund of the Company's director, Andrei Karkar, for the issuance and sale of 6,250,000 common shares at a purchase price of $0.80 per share (the “ERAS Purchase Agreement”, together with the PIPE Purchase Agreement and the Barron Purchase Agreement, the “Purchase Agreements”). The Common Shares issuable in the Private Placement pursuant to the Purchase Agreements are referred to herein as the “Shares” and the PIPE Purchasers, together with Mr. Barron and ERAS Capital LLC are referred to herein as the “Purchasers.” The Company expects to receive aggregate gross proceeds of approximately $30.4 million this quarter from the Private Placement and net proceeds of approximately $30 million, after deducting placement agent fees and offering expenses.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intends to use the net proceeds from the Private Placement for working capital and general corporate purposes.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pursuant to the Purchase Agreements, the Company also agreed to file a registration statement with the Securities and Exchange Commission (the “SEC”) on or before September 16, 2022 (subject to certain exceptions) for purposes of registering the resale of the Shares, to use its commercially reasonable efforts to have such registration statement declared effective within the time period set forth in the Purchase Agreements, and to keep such registration statement effective for up to three years.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Purchase Agreements contain customary closing conditions, representations, warranties and agreements by the Company, indemnification obligations of the Company and the Purchasers, including for liabilities under the Securities Act of 1933, as amended (the “Securities Act”), and other obligations of the parties. The representations, warranties and covenants contained in the Purchase Agreements were made only for purposes of such Purchase Agreements and are made as of specific dates; are solely for the benefit of the parties (except as specifically set forth therein); may be subject to qualifications and limitations agreed upon by the parties in connection with negotiating the terms of the Purchase Agreements, instead of establishing matters as facts; and may be subject to standards of materiality and knowledge applicable to the contracting parties that differ from those applicable to the investors generally. Investors should not rely on the representations, warranties and covenants or any description thereof as characterizations of the actual state of facts or condition of the Company.</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Private Placement is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The Purchasers represented that they were accredited investors within the meaning of Rule 501(a) of Regulation D, and were acquiring the securities for investment only and not with a view towards, or for resale in connection with, the public sale or distribution thereof. The securities were offered without any general solicitation by the Company or its representatives. The securities sold and issued in the Private Placement will not be registered under the Securities Act or any state securities laws and may not be offered or sold in the United States absent registration with the SEC or an applicable exemption from the registration requirements.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Agreements does not purport to be complete and is qualified in its entirety by reference to the form of the PIPE Purchase Agreement, the Barron Purchase Agreement and the ERAS Purchase Agreement, filed as Exhibits 10.1, 10.2 and 10.3, respectively, to this Current Report on Form 8-K and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disclosures set forth in Item 1.01 above are incorporated in this Item 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8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Form of Securities Purchase Agreement, dated August 12, 2022, by and among the Company and the Purchasers named therein.</w:t>
            </w:r>
          </w:p>
        </w:tc>
      </w:tr>
      <w:tr>
        <w:trPr>
          <w:trHeight w:val="412"/>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980" w:type="dxa"/>
            <w:vAlign w:val="bottom"/>
          </w:tcPr>
          <w:p>
            <w:pPr>
              <w:spacing w:after="0"/>
              <w:rPr>
                <w:sz w:val="24"/>
                <w:szCs w:val="24"/>
                <w:color w:val="auto"/>
              </w:rPr>
            </w:pPr>
          </w:p>
        </w:tc>
        <w:tc>
          <w:tcPr>
            <w:tcW w:w="92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Securities Purchase Agreement, dated August 12, 2022, by and among the Company and Gerard Barron.</w:t>
            </w:r>
          </w:p>
        </w:tc>
        <w:tc>
          <w:tcPr>
            <w:tcW w:w="720" w:type="dxa"/>
            <w:vAlign w:val="bottom"/>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980" w:type="dxa"/>
            <w:vAlign w:val="bottom"/>
          </w:tcPr>
          <w:p>
            <w:pPr>
              <w:spacing w:after="0"/>
              <w:rPr>
                <w:sz w:val="24"/>
                <w:szCs w:val="24"/>
                <w:color w:val="auto"/>
              </w:rPr>
            </w:pPr>
          </w:p>
        </w:tc>
        <w:tc>
          <w:tcPr>
            <w:tcW w:w="7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Securities Purchase Agreement, dated August 12, 2022, by and among the Company and ERAS Capital LLC.</w:t>
            </w:r>
          </w:p>
        </w:tc>
        <w:tc>
          <w:tcPr>
            <w:tcW w:w="2040" w:type="dxa"/>
            <w:vAlign w:val="bottom"/>
            <w:gridSpan w:val="2"/>
          </w:tcPr>
          <w:p>
            <w:pPr>
              <w:spacing w:after="0"/>
              <w:rPr>
                <w:sz w:val="24"/>
                <w:szCs w:val="24"/>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in this report that are not strictly historical in nature are forward-looking statements. These statements include but are not limited to statements regarding the completion of the Private Placement and the receipt and anticipated use of proceeds therefrom, and related to the anticipated filing of a registration statement to cover resales of the Shares. These statements are only predictions based on current information and expectations and involve a number of risks and uncertainties. Actual events or results may differ materially from those projected in any of such statements due to various factors, including risks and uncertainties associated with market conditions and the satisfaction of customary closing conditions related to the Private Placement. For a discussion of these and other factors, please refer to the Company’s annual report on Form 10-K for the year ended December 31, 2021 as well as the Company’s subsequent filings with the SEC. You are cautioned not to place undue reliance on these forward-looking statements, which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65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Craig Shesky</w:t>
            </w:r>
          </w:p>
        </w:tc>
      </w:tr>
      <w:tr>
        <w:trPr>
          <w:trHeight w:val="184"/>
        </w:trPr>
        <w:tc>
          <w:tcPr>
            <w:tcW w:w="3640" w:type="dxa"/>
            <w:vAlign w:val="bottom"/>
          </w:tcPr>
          <w:p>
            <w:pPr>
              <w:spacing w:after="0"/>
              <w:rPr>
                <w:sz w:val="16"/>
                <w:szCs w:val="16"/>
                <w:color w:val="auto"/>
              </w:rPr>
            </w:pPr>
          </w:p>
        </w:tc>
        <w:tc>
          <w:tcPr>
            <w:tcW w:w="24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Borders>
              <w:top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75"/>
        </w:trPr>
        <w:tc>
          <w:tcPr>
            <w:tcW w:w="3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August 12,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w:t>
      </w:r>
      <w:r>
        <w:rPr>
          <w:rFonts w:ascii="Times New Roman" w:cs="Times New Roman" w:eastAsia="Times New Roman" w:hAnsi="Times New Roman"/>
          <w:sz w:val="18"/>
          <w:szCs w:val="18"/>
          <w:b w:val="1"/>
          <w:bCs w:val="1"/>
          <w:color w:val="auto"/>
        </w:rPr>
        <w:t xml:space="preserve"> TMC </w:t>
      </w:r>
      <w:r>
        <w:rPr>
          <w:rFonts w:ascii="Times New Roman" w:cs="Times New Roman" w:eastAsia="Times New Roman" w:hAnsi="Times New Roman"/>
          <w:sz w:val="12"/>
          <w:szCs w:val="12"/>
          <w:b w:val="1"/>
          <w:bCs w:val="1"/>
          <w:color w:val="auto"/>
        </w:rPr>
        <w:t>the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 xml:space="preserve">company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company organized under the laws of the Province of British Columbia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the purchasers whose names and addresses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color w:val="auto"/>
        </w:rPr>
        <w:t>are set forth on the signature pages hereof (each, a “</w:t>
      </w:r>
      <w:r>
        <w:rPr>
          <w:rFonts w:ascii="Times New Roman" w:cs="Times New Roman" w:eastAsia="Times New Roman" w:hAnsi="Times New Roman"/>
          <w:sz w:val="17"/>
          <w:szCs w:val="17"/>
          <w:b w:val="1"/>
          <w:bCs w:val="1"/>
          <w:i w:val="1"/>
          <w:iCs w:val="1"/>
          <w:color w:val="auto"/>
        </w:rPr>
        <w:t>Purchaser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Purchasers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in furtherance of such desire, the Purchasers desire to purchase, and the Company has agreed to sell, 31,625,000 common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par value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for a purchase price of $0.80 per share, for aggregate gross proceeds to the Company of approximately $25,300,000.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in this Agreement, and for other good and valuable consideration, the receipt and sufficiency of which are hereby acknowledged, the Company and the Purchasers hereby agree, severally and not jointly, as follows:</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AUTHORIZATION OF SALE OF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authorized the sale and issuance of the Common Shares to the Purchasers on the terms and subject to the conditions set forth in this Agreement. The Common Shares that may be sold to the Purchasers hereunder at the Closing (as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shall be referred to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AGREEMENT TO SELL AND PURCHASE THE SHARES.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At the Closing, the Company will issue, sell and deliver to each Purchaser, and such Purchaser will purchase from the Company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that number of Common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set forth opposite such Purchaser’s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for the purchase price set forth therein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For purposes of this Agreement, the following terms shall have the following meanings:</w:t>
      </w:r>
    </w:p>
    <w:p>
      <w:pPr>
        <w:spacing w:after="0" w:line="225" w:lineRule="exact"/>
        <w:rPr>
          <w:sz w:val="20"/>
          <w:szCs w:val="20"/>
          <w:color w:val="auto"/>
        </w:rPr>
      </w:pPr>
    </w:p>
    <w:p>
      <w:pPr>
        <w:ind w:left="700"/>
        <w:spacing w:after="0"/>
        <w:tabs>
          <w:tab w:leader="none" w:pos="1100" w:val="left"/>
        </w:tabs>
        <w:rPr>
          <w:sz w:val="20"/>
          <w:szCs w:val="20"/>
          <w:color w:val="auto"/>
        </w:rPr>
      </w:pPr>
      <w:r>
        <w:rPr>
          <w:rFonts w:ascii="Times New Roman" w:cs="Times New Roman" w:eastAsia="Times New Roman" w:hAnsi="Times New Roman"/>
          <w:sz w:val="18"/>
          <w:szCs w:val="18"/>
          <w:color w:val="auto"/>
        </w:rPr>
        <w:t>(a)</w:t>
        <w:tab/>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or Sunday, on which banks in New York City are open for the general transaction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3" w:lineRule="exact"/>
        <w:rPr>
          <w:sz w:val="20"/>
          <w:szCs w:val="20"/>
          <w:color w:val="auto"/>
        </w:rPr>
      </w:pPr>
    </w:p>
    <w:p>
      <w:pPr>
        <w:jc w:val="both"/>
        <w:ind w:firstLine="695"/>
        <w:spacing w:after="0" w:line="262" w:lineRule="auto"/>
        <w:tabs>
          <w:tab w:leader="none" w:pos="10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 of the Company</w:t>
      </w:r>
      <w:r>
        <w:rPr>
          <w:rFonts w:ascii="Times New Roman" w:cs="Times New Roman" w:eastAsia="Times New Roman" w:hAnsi="Times New Roman"/>
          <w:sz w:val="18"/>
          <w:szCs w:val="18"/>
          <w:color w:val="auto"/>
        </w:rPr>
        <w:t>” shall mean, with respect to the Company, the knowledge of any of Gerard Barron, Craig Shesky and Anthony O’Sullivan. Such individuals will be deemed to have “knowledge” of a particular fact or other matter if such individual has or at any time had actual knowledge of such fact or other matter or if, in the absence of such actual knowledge, such person reasonably should have known such fact or other matter based on their role in the Company.</w:t>
      </w:r>
    </w:p>
    <w:p>
      <w:pPr>
        <w:spacing w:after="0" w:line="176" w:lineRule="exact"/>
        <w:rPr>
          <w:rFonts w:ascii="Times New Roman" w:cs="Times New Roman" w:eastAsia="Times New Roman" w:hAnsi="Times New Roman"/>
          <w:sz w:val="18"/>
          <w:szCs w:val="18"/>
          <w:color w:val="auto"/>
        </w:rPr>
      </w:pPr>
    </w:p>
    <w:p>
      <w:pPr>
        <w:jc w:val="both"/>
        <w:ind w:firstLine="695"/>
        <w:spacing w:after="0" w:line="262" w:lineRule="auto"/>
        <w:tabs>
          <w:tab w:leader="none" w:pos="11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nation, federal, state, provincial, county municipal, local or foreign government, or other political subdivision thereof or any other governmental, administrative, judicial, arbitral, legislative, executive, regulatory or self-regulatory authority, instrumentality, agency, commission or body and any entity exercising executive, legislative, judicial, regulatory, taxing or administrative functions of or pertaining to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firstLine="695"/>
        <w:spacing w:after="0" w:line="286" w:lineRule="auto"/>
        <w:tabs>
          <w:tab w:leader="none" w:pos="11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provincial, local or foreign law (including common law), statute, code, ordinance, rule, regulation, order, judgment, writ, stipulation, award, injunction, decree, arbitration award or finding or any other legally enforceable requirement.</w:t>
      </w:r>
    </w:p>
    <w:p>
      <w:pPr>
        <w:spacing w:after="0" w:line="154" w:lineRule="exact"/>
        <w:rPr>
          <w:rFonts w:ascii="Times New Roman" w:cs="Times New Roman" w:eastAsia="Times New Roman" w:hAnsi="Times New Roman"/>
          <w:sz w:val="18"/>
          <w:szCs w:val="18"/>
          <w:color w:val="auto"/>
        </w:rPr>
      </w:pPr>
    </w:p>
    <w:p>
      <w:pPr>
        <w:jc w:val="both"/>
        <w:ind w:firstLine="695"/>
        <w:spacing w:after="0" w:line="257" w:lineRule="auto"/>
        <w:tabs>
          <w:tab w:leader="none" w:pos="11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means any change, event, development, condition, occurrence or effect that (a) is, or could reasonably be expected to be, materially adverse to the business, financial condition, prospects, assets, liabilities or results of operations of the Company and its subsidiaries considered as one enterprise, or (b) materially impairs the ability of the Company to comply, or prevents the Company from complying, with its material obligations with respect to the Closing or would reasonably be expected to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186" w:lineRule="exact"/>
        <w:rPr>
          <w:rFonts w:ascii="Times New Roman" w:cs="Times New Roman" w:eastAsia="Times New Roman" w:hAnsi="Times New Roman"/>
          <w:sz w:val="18"/>
          <w:szCs w:val="18"/>
          <w:color w:val="auto"/>
        </w:rPr>
      </w:pPr>
    </w:p>
    <w:p>
      <w:pPr>
        <w:jc w:val="both"/>
        <w:ind w:left="1920" w:hanging="454"/>
        <w:spacing w:after="0" w:line="266" w:lineRule="auto"/>
        <w:tabs>
          <w:tab w:leader="none" w:pos="1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Canada or any other geographic region in which the Company conducts business, if the Company is not disproportionately affected thereby;</w:t>
      </w:r>
    </w:p>
    <w:p>
      <w:pPr>
        <w:spacing w:after="0" w:line="17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credit or capital market conditions, including interest rates or exchange rates, or any changes therein,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right="20" w:hanging="454"/>
        <w:spacing w:after="0" w:line="282" w:lineRule="auto"/>
        <w:tabs>
          <w:tab w:leader="none" w:pos="1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conducts business,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hanging="454"/>
        <w:spacing w:after="0"/>
        <w:tabs>
          <w:tab w:leader="none" w:pos="1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after the date hereof, if the Company is not disproportionately affected thereby;</w:t>
      </w:r>
    </w:p>
    <w:p>
      <w:pPr>
        <w:spacing w:after="0" w:line="22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 after the date of this Agreement, if the Company is not disproportionately affected thereby; or</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in connection with earthquakes, hostilities, acts of war, sabotage or terrorism or military actions or any escalation or material worsening of any such hostilities, acts of war, sabotage or terrorism or military actions.</w:t>
      </w:r>
    </w:p>
    <w:p>
      <w:pPr>
        <w:spacing w:after="0" w:line="157" w:lineRule="exact"/>
        <w:rPr>
          <w:rFonts w:ascii="Times New Roman" w:cs="Times New Roman" w:eastAsia="Times New Roman" w:hAnsi="Times New Roman"/>
          <w:sz w:val="18"/>
          <w:szCs w:val="18"/>
          <w:color w:val="auto"/>
        </w:rPr>
      </w:pPr>
    </w:p>
    <w:p>
      <w:pPr>
        <w:ind w:right="20" w:firstLine="695"/>
        <w:spacing w:after="0" w:line="286" w:lineRule="auto"/>
        <w:tabs>
          <w:tab w:leader="none" w:pos="11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share company, joint venture, sole proprietorship, unincorporated organization, Governmental Entity or any other form of entity not specifically listed herein.</w:t>
      </w:r>
    </w:p>
    <w:p>
      <w:pPr>
        <w:spacing w:after="0" w:line="154" w:lineRule="exact"/>
        <w:rPr>
          <w:rFonts w:ascii="Times New Roman" w:cs="Times New Roman" w:eastAsia="Times New Roman" w:hAnsi="Times New Roman"/>
          <w:sz w:val="18"/>
          <w:szCs w:val="18"/>
          <w:color w:val="auto"/>
        </w:rPr>
      </w:pPr>
    </w:p>
    <w:p>
      <w:pPr>
        <w:ind w:left="1040" w:hanging="34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means EAS Advisors, LLC, through Odeon Capital Group LLC.</w:t>
      </w:r>
    </w:p>
    <w:p>
      <w:pPr>
        <w:spacing w:after="0" w:line="225" w:lineRule="exact"/>
        <w:rPr>
          <w:rFonts w:ascii="Times New Roman" w:cs="Times New Roman" w:eastAsia="Times New Roman" w:hAnsi="Times New Roman"/>
          <w:sz w:val="18"/>
          <w:szCs w:val="18"/>
          <w:color w:val="auto"/>
        </w:rPr>
      </w:pPr>
    </w:p>
    <w:p>
      <w:pPr>
        <w:ind w:left="1040" w:hanging="34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Agency Agreement</w:t>
      </w:r>
      <w:r>
        <w:rPr>
          <w:rFonts w:ascii="Times New Roman" w:cs="Times New Roman" w:eastAsia="Times New Roman" w:hAnsi="Times New Roman"/>
          <w:sz w:val="18"/>
          <w:szCs w:val="18"/>
          <w:color w:val="auto"/>
        </w:rPr>
        <w:t>” means that certain placement agency letter agreement between the Company and the Placement Agent.</w:t>
      </w:r>
    </w:p>
    <w:p>
      <w:pPr>
        <w:spacing w:after="0" w:line="225" w:lineRule="exact"/>
        <w:rPr>
          <w:rFonts w:ascii="Times New Roman" w:cs="Times New Roman" w:eastAsia="Times New Roman" w:hAnsi="Times New Roman"/>
          <w:sz w:val="18"/>
          <w:szCs w:val="18"/>
          <w:color w:val="auto"/>
        </w:rPr>
      </w:pPr>
    </w:p>
    <w:p>
      <w:pPr>
        <w:jc w:val="both"/>
        <w:ind w:firstLine="695"/>
        <w:spacing w:after="0" w:line="268" w:lineRule="auto"/>
        <w:tabs>
          <w:tab w:leader="none" w:pos="10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individual or entity the Company wholly-owns or controls, or in which the Company, directly or indirectly, owns a majority of the voting shares or similar voting interest, in each case that would be disclosable pursuant to Item 601(b)(21) of Regulation S-K promulgated under the Securities Act (as defined below).</w:t>
      </w:r>
    </w:p>
    <w:p>
      <w:pPr>
        <w:spacing w:after="0" w:line="170" w:lineRule="exact"/>
        <w:rPr>
          <w:rFonts w:ascii="Times New Roman" w:cs="Times New Roman" w:eastAsia="Times New Roman" w:hAnsi="Times New Roman"/>
          <w:sz w:val="18"/>
          <w:szCs w:val="18"/>
          <w:color w:val="auto"/>
        </w:rPr>
      </w:pPr>
    </w:p>
    <w:p>
      <w:pPr>
        <w:ind w:left="1080" w:hanging="385"/>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Nasdaq Global Select Market.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CLOSING, CLOSING CONDITIONS AND CLOSING DELIVERIES.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closing of the purchase and sale of the Shares pursuant to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occur no later than 5:00 p.m., Eastern time, on August 12, 2022, subject to the satisfaction or waiver of all of conditions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delivery of all of the closing deliveries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(such date,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at the offices of Mintz, Levin, Cohn, Ferris, Glovsky and Popeo, P.C. (“</w:t>
      </w:r>
      <w:r>
        <w:rPr>
          <w:rFonts w:ascii="Times New Roman" w:cs="Times New Roman" w:eastAsia="Times New Roman" w:hAnsi="Times New Roman"/>
          <w:sz w:val="18"/>
          <w:szCs w:val="18"/>
          <w:b w:val="1"/>
          <w:bCs w:val="1"/>
          <w:i w:val="1"/>
          <w:iCs w:val="1"/>
          <w:color w:val="auto"/>
        </w:rPr>
        <w:t>Mintz</w:t>
      </w:r>
      <w:r>
        <w:rPr>
          <w:rFonts w:ascii="Times New Roman" w:cs="Times New Roman" w:eastAsia="Times New Roman" w:hAnsi="Times New Roman"/>
          <w:sz w:val="18"/>
          <w:szCs w:val="18"/>
          <w:color w:val="auto"/>
        </w:rPr>
        <w:t>”), One Financial Center, Boston, MA 02111, or at such other time and place as may be agreed to by the Company and the Purchasers. At or prior to the Closing, each of the Company and the Purchasers shall execute any related agreements or other documents required hereunder to be executed as of the Closing hereunder, each dated as of the date of the Closing.</w:t>
      </w:r>
    </w:p>
    <w:p>
      <w:pPr>
        <w:spacing w:after="0" w:line="18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Closing Conditions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95"/>
        <w:spacing w:after="0" w:line="266" w:lineRule="auto"/>
        <w:tabs>
          <w:tab w:leader="none" w:pos="124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Closing Condition</w:t>
      </w:r>
      <w:r>
        <w:rPr>
          <w:rFonts w:ascii="Times New Roman" w:cs="Times New Roman" w:eastAsia="Times New Roman" w:hAnsi="Times New Roman"/>
          <w:sz w:val="18"/>
          <w:szCs w:val="18"/>
          <w:color w:val="auto"/>
        </w:rPr>
        <w:t>. There shall have been no Law enacted, entered, promulgated, enforced or deemed applicable by any Governmental Entity of competent jurisdiction that is in effect and makes illegal or otherwise prohibits or materially delays the consummation of the Closing.</w:t>
      </w:r>
    </w:p>
    <w:p>
      <w:pPr>
        <w:spacing w:after="0" w:line="175" w:lineRule="exact"/>
        <w:rPr>
          <w:rFonts w:ascii="Times New Roman" w:cs="Times New Roman" w:eastAsia="Times New Roman" w:hAnsi="Times New Roman"/>
          <w:sz w:val="18"/>
          <w:szCs w:val="18"/>
          <w:color w:val="auto"/>
        </w:rPr>
      </w:pPr>
    </w:p>
    <w:p>
      <w:pPr>
        <w:ind w:firstLine="695"/>
        <w:spacing w:after="0" w:line="282" w:lineRule="auto"/>
        <w:tabs>
          <w:tab w:leader="none" w:pos="10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Purchaser’s Obligations</w:t>
      </w:r>
      <w:r>
        <w:rPr>
          <w:rFonts w:ascii="Times New Roman" w:cs="Times New Roman" w:eastAsia="Times New Roman" w:hAnsi="Times New Roman"/>
          <w:sz w:val="18"/>
          <w:szCs w:val="18"/>
          <w:color w:val="auto"/>
        </w:rPr>
        <w:t>. Each Purchaser’s obligation to purchase the Shares at the Closing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jc w:val="both"/>
        <w:ind w:left="1920" w:hanging="454"/>
        <w:spacing w:after="0" w:line="261" w:lineRule="auto"/>
        <w:tabs>
          <w:tab w:leader="none" w:pos="1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representations and warranties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and correct in all material respects at the date of the Closing, with the same force and effect as if they had been made on and as of said date, other than the representations and warranties set forth in </w:t>
      </w:r>
      <w:r>
        <w:rPr>
          <w:rFonts w:ascii="Times New Roman" w:cs="Times New Roman" w:eastAsia="Times New Roman" w:hAnsi="Times New Roman"/>
          <w:sz w:val="18"/>
          <w:szCs w:val="18"/>
          <w:u w:val="single" w:color="auto"/>
          <w:color w:val="auto"/>
        </w:rPr>
        <w:t>Sections 4.1, 4.2, 4.3, 4.5, 4.8, 4.9, and 4.14</w:t>
      </w:r>
      <w:r>
        <w:rPr>
          <w:rFonts w:ascii="Times New Roman" w:cs="Times New Roman" w:eastAsia="Times New Roman" w:hAnsi="Times New Roman"/>
          <w:sz w:val="18"/>
          <w:szCs w:val="18"/>
          <w:color w:val="auto"/>
        </w:rPr>
        <w:t xml:space="preserve"> which shall be true and correct in all respects as if they had been made on and as of said date.</w:t>
      </w:r>
    </w:p>
    <w:p>
      <w:pPr>
        <w:spacing w:after="0" w:line="179" w:lineRule="exact"/>
        <w:rPr>
          <w:rFonts w:ascii="Times New Roman" w:cs="Times New Roman" w:eastAsia="Times New Roman" w:hAnsi="Times New Roman"/>
          <w:sz w:val="18"/>
          <w:szCs w:val="18"/>
          <w:color w:val="auto"/>
        </w:rPr>
      </w:pPr>
    </w:p>
    <w:p>
      <w:pPr>
        <w:ind w:left="1920" w:right="20" w:hanging="454"/>
        <w:spacing w:after="0" w:line="261" w:lineRule="auto"/>
        <w:tabs>
          <w:tab w:leader="none" w:pos="1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with in all material respects all agreements and conditions herein required to be performed or complied with by the Company on or before the Closing, or any breach or failure to do so has been cured.</w:t>
      </w:r>
    </w:p>
    <w:p>
      <w:pPr>
        <w:ind w:left="1920" w:hanging="454"/>
        <w:spacing w:after="0"/>
        <w:tabs>
          <w:tab w:leader="none" w:pos="1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06" w:lineRule="exact"/>
        <w:rPr>
          <w:rFonts w:ascii="Times New Roman" w:cs="Times New Roman" w:eastAsia="Times New Roman" w:hAnsi="Times New Roman"/>
          <w:sz w:val="18"/>
          <w:szCs w:val="18"/>
          <w:color w:val="auto"/>
        </w:rPr>
      </w:pPr>
    </w:p>
    <w:p>
      <w:pPr>
        <w:ind w:firstLine="695"/>
        <w:spacing w:after="0" w:line="282" w:lineRule="auto"/>
        <w:tabs>
          <w:tab w:leader="none" w:pos="10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Company’s Obligations</w:t>
      </w:r>
      <w:r>
        <w:rPr>
          <w:rFonts w:ascii="Times New Roman" w:cs="Times New Roman" w:eastAsia="Times New Roman" w:hAnsi="Times New Roman"/>
          <w:sz w:val="18"/>
          <w:szCs w:val="18"/>
          <w:color w:val="auto"/>
        </w:rPr>
        <w:t>. The Company’s obligation to issue and sell the Shares at the Closing to a Purchaser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Purchaser’s representations and warranties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true and correct in all material respects at the date of the Closing, with the same force and effect as if they had been made on and as of said date.</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shall have performed and complied with in all material respects all agreements and conditions herein required to be performed or complied with by it on or before the Closing, or any breach or failure to do so has been cured.</w:t>
      </w:r>
    </w:p>
    <w:p>
      <w:pPr>
        <w:spacing w:after="0" w:line="158"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Closing Deliveries.</w:t>
      </w:r>
    </w:p>
    <w:p>
      <w:pPr>
        <w:spacing w:after="0" w:line="225" w:lineRule="exact"/>
        <w:rPr>
          <w:sz w:val="20"/>
          <w:szCs w:val="20"/>
          <w:color w:val="auto"/>
        </w:rPr>
      </w:pPr>
    </w:p>
    <w:p>
      <w:pPr>
        <w:jc w:val="both"/>
        <w:ind w:firstLine="695"/>
        <w:spacing w:after="0" w:line="268" w:lineRule="auto"/>
        <w:tabs>
          <w:tab w:leader="none" w:pos="11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the Purchase Price at Closing</w:t>
      </w:r>
      <w:r>
        <w:rPr>
          <w:rFonts w:ascii="Times New Roman" w:cs="Times New Roman" w:eastAsia="Times New Roman" w:hAnsi="Times New Roman"/>
          <w:sz w:val="18"/>
          <w:szCs w:val="18"/>
          <w:color w:val="auto"/>
        </w:rPr>
        <w:t>. At the Closing, each Purchaser shall deliver, or cause to be delivered, to the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equal to the Purchase Price by wire transfer of immediately available funds to the Company’s account pursuant to wire instructions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Each Purchaser’s obligations to pay the Purchase Price shall be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95"/>
        <w:spacing w:after="0" w:line="257" w:lineRule="auto"/>
        <w:tabs>
          <w:tab w:leader="none" w:pos="11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the Shares at the Closing</w:t>
      </w:r>
      <w:r>
        <w:rPr>
          <w:rFonts w:ascii="Times New Roman" w:cs="Times New Roman" w:eastAsia="Times New Roman" w:hAnsi="Times New Roman"/>
          <w:sz w:val="18"/>
          <w:szCs w:val="18"/>
          <w:color w:val="auto"/>
        </w:rPr>
        <w:t>. At the Closing, the Company shall issue, or cause the Company’s transfer agent to issue,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in global form through a book-entry account maintained by the Company’s transfer agent the number of Shares purchased by such Purchaser,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at the Closing against payment by such Purchaser of the Purchase Price (including providing a copy of the irrevocable instructions delivered by the Company to the Company’s transfer agent instructing the transfer agent to issue the Shares to the Purchasers by crediting the Shares to the respective accounts of the Purchasers on the transfer agent’s book-entry system on the Closing Date and confirmation from the transfer agent that such Shares were so issued on the date thereof). Such Shares shall be appropriately legended as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herein.</w:t>
      </w:r>
    </w:p>
    <w:p>
      <w:pPr>
        <w:spacing w:after="0" w:line="182" w:lineRule="exact"/>
        <w:rPr>
          <w:rFonts w:ascii="Times New Roman" w:cs="Times New Roman" w:eastAsia="Times New Roman" w:hAnsi="Times New Roman"/>
          <w:sz w:val="18"/>
          <w:szCs w:val="18"/>
          <w:color w:val="auto"/>
        </w:rPr>
      </w:pPr>
    </w:p>
    <w:p>
      <w:pPr>
        <w:jc w:val="both"/>
        <w:ind w:firstLine="695"/>
        <w:spacing w:after="0" w:line="26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Secretary’s Certificate</w:t>
      </w:r>
      <w:r>
        <w:rPr>
          <w:rFonts w:ascii="Times New Roman" w:cs="Times New Roman" w:eastAsia="Times New Roman" w:hAnsi="Times New Roman"/>
          <w:sz w:val="18"/>
          <w:szCs w:val="18"/>
          <w:color w:val="auto"/>
        </w:rPr>
        <w:t>. At the Closing, the Purchasers and the Placement Agent shall have received a certificate signed by the Secretary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certifying the resolutions of the Board of Directors of the Company or a duly authorized committee thereof approving this Agreement and all of the transactions contemplated hereunder.</w:t>
      </w:r>
    </w:p>
    <w:p>
      <w:pPr>
        <w:spacing w:after="0" w:line="170" w:lineRule="exact"/>
        <w:rPr>
          <w:rFonts w:ascii="Times New Roman" w:cs="Times New Roman" w:eastAsia="Times New Roman" w:hAnsi="Times New Roman"/>
          <w:sz w:val="18"/>
          <w:szCs w:val="18"/>
          <w:color w:val="auto"/>
        </w:rPr>
      </w:pPr>
    </w:p>
    <w:p>
      <w:pPr>
        <w:ind w:firstLine="695"/>
        <w:spacing w:after="0" w:line="286" w:lineRule="auto"/>
        <w:tabs>
          <w:tab w:leader="none" w:pos="11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the Closing, the Purchasers and the Placement Agent shall have received a certificate signed by 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Chief Executive Officer of the Company certifying to the fulfillment of the conditions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695"/>
        <w:spacing w:after="0" w:line="268" w:lineRule="auto"/>
        <w:tabs>
          <w:tab w:leader="none" w:pos="11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Opinions. </w:t>
      </w:r>
      <w:r>
        <w:rPr>
          <w:rFonts w:ascii="Times New Roman" w:cs="Times New Roman" w:eastAsia="Times New Roman" w:hAnsi="Times New Roman"/>
          <w:sz w:val="18"/>
          <w:szCs w:val="18"/>
          <w:color w:val="auto"/>
        </w:rPr>
        <w:t>At the Closing, the Purchasers shall have received opinions of Fasken Martineau DuMoulin LLP, Canadian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Mintz, U.S. counsel for the Company, each dated as of the Closing Date, in a form reasonably satisfactory to the Purchasers and the Placement Agent.</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COMPANY.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in the SEC Documents (as defined below) and publicly available prior to the date of this Agreement and only as and to the extent disclosed therein, the Company hereby represents, warrants and covenants to the Purchasers as follows:</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Organization and Standing</w:t>
      </w:r>
      <w:r>
        <w:rPr>
          <w:rFonts w:ascii="Times New Roman" w:cs="Times New Roman" w:eastAsia="Times New Roman" w:hAnsi="Times New Roman"/>
          <w:sz w:val="18"/>
          <w:szCs w:val="18"/>
          <w:color w:val="auto"/>
        </w:rPr>
        <w:t>. The Company has been duly continued and is validly existing and in good standing under the laws of the Province of British Columbia, Canada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 The Company owns, directly or through subsidiaries, all of the issued and outstanding equity securities of each of its subsidiaries. Each of the Company’s subsidiaries has been duly incorporated or organized and is validly existing and in good standing under the laws of its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Corporate Power; Authorization</w:t>
      </w:r>
      <w:r>
        <w:rPr>
          <w:rFonts w:ascii="Times New Roman" w:cs="Times New Roman" w:eastAsia="Times New Roman" w:hAnsi="Times New Roman"/>
          <w:sz w:val="18"/>
          <w:szCs w:val="18"/>
          <w:color w:val="auto"/>
        </w:rPr>
        <w:t>. The Company has all requisite corporate power, and the Company and its Board of Directors have taken all requisite corporate action, to authorize, execute and deliver this Agreement, to consummate the transactions contemplated herein and therein, including to sell, issue and deliver the Shares to the Purchasers, and to carry out and perform all of the Company’s obligations hereunder and thereunder. This Agreement constitutes the legal, valid and binding obligation of the Company, enforceable against the Company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Issuance and Delivery of the Shares</w:t>
      </w:r>
      <w:r>
        <w:rPr>
          <w:rFonts w:ascii="Times New Roman" w:cs="Times New Roman" w:eastAsia="Times New Roman" w:hAnsi="Times New Roman"/>
          <w:sz w:val="18"/>
          <w:szCs w:val="18"/>
          <w:color w:val="auto"/>
        </w:rPr>
        <w:t xml:space="preserve">. The Shares have been duly authorized and, when issued and paid for in compliance with the provisions of this Agreement, will be validly issued, fully paid and nonassessable. The issuance and delivery of the Shares is not subject to preemptive, co-sale, right of first refusal or any other similar rights of the shareholders of the Company or any other Person or any liens or encumbrances, other than encumbrances under applicable securities laws. Assuming the accuracy of the representations made by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offer and issuance by the Company of the Shares is exempt from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is exempt from the prospectus requirement under applicable Canadian securities laws.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SEC Documents; Financial Statements; Independent Accountants</w:t>
      </w:r>
      <w:r>
        <w:rPr>
          <w:rFonts w:ascii="Times New Roman" w:cs="Times New Roman" w:eastAsia="Times New Roman" w:hAnsi="Times New Roman"/>
          <w:sz w:val="18"/>
          <w:szCs w:val="18"/>
          <w:color w:val="auto"/>
        </w:rPr>
        <w:t>. The Company is subject to the reporting requirements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has filed or will file in a timely manner all documents that the Company was or is required to file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Sections 13, 14(a) and 15(d) of the Exchange Act, since September 9, 2021 (the foregoing documents (together with any documents filed by the Company under the Exchange Act, whether or not required) being collectively referred to herein as the “</w:t>
      </w:r>
      <w:r>
        <w:rPr>
          <w:rFonts w:ascii="Times New Roman" w:cs="Times New Roman" w:eastAsia="Times New Roman" w:hAnsi="Times New Roman"/>
          <w:sz w:val="18"/>
          <w:szCs w:val="18"/>
          <w:b w:val="1"/>
          <w:bCs w:val="1"/>
          <w:i w:val="1"/>
          <w:iCs w:val="1"/>
          <w:color w:val="auto"/>
        </w:rPr>
        <w:t>SEC Documents</w:t>
      </w:r>
      <w:r>
        <w:rPr>
          <w:rFonts w:ascii="Times New Roman" w:cs="Times New Roman" w:eastAsia="Times New Roman" w:hAnsi="Times New Roman"/>
          <w:sz w:val="18"/>
          <w:szCs w:val="18"/>
          <w:color w:val="auto"/>
        </w:rPr>
        <w:t>”). As of their respective filing dates (or, if amended prior to the date of this Agreement, when amended), all SEC Documents complied in all material respects with the requirements of the Exchange Act and the rules and regulations of the Commission promulgated thereunder. None of the SEC Documents as of their respective filing dates contained any untrue statement of material fact or omitted to state a material fact required to be stated therein or necessary to make the statements made therein, in light of the circumstances under which they were made, not misleading. The financial statements of the Company set forth in the SEC Documents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with the published rules and regulations of the Commission with respect thereto. The Financial Statements have been prepared in accordance with United States generally accepted accounting principles consistently applied and fairly present the financial position of the Company at the dates thereof and the results of its operations and cash flows for the periods then ended (subject, in the case of unaudited statements, to normal, recurring adjustments). The accountants who certified the Financial Statements are independent public accountants as required by the Securities Act and the Exchange Act and the regulations thereunder and the Public Company Accounting Oversight Board.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 As set forth in the SEC Documents as of the date set forth therein, all of the Company’s outstanding capital shares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there are no existing options, warrants, calls, subscriptions or other rights, agreements, arrangements or commitments of any character, relating to the issued or unissued capital shares of the Company, obligating the Company to issue, transfer, sell, redeem, purchase, repurchase or otherwise acquire or cause to be issued, transferred, sold, redeemed, purchased, repurchased or otherwise acquired any capital shares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Neither the execution of this Agreement nor the issuance of Common Shares or other securities pursuant to any provision of this Agreement will give rise to any preemptive rights or rights of first refusal on behalf of any Person or result in the triggering of any anti-dilution or other similar rights. Other than the Common Shares, there are no other shares of any other class or series of capital shares of the Company issued or outstanding. The Company’s Articles and Notice of Articles, as amended and as in effect on the date hereof (collectively,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are included in the SEC Documents, and the Company shall not amend or otherwise modify the Articles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Except as disclosed in the Company’s SEC Documents, there are no legal or governmental actions, suits or other proceedings pending or, to the Knowledge of the Company, threatened against the Company or any of its subsidiaries, before or by any Governmental Entity, which actions, suits or proceedings, individually or in the aggregate, could reasonably be expected to (a) challenge this Agreement or prohibit or delay the transactions contemplated herein or (b) have a Material Adverse Effect. Neither the Company nor any of its subsidiaries, is a party to or subject to the provisions of any injunction, judgment, decree or order of any Governmental Entity that might have a Material Adverse Effect.</w:t>
      </w:r>
    </w:p>
    <w:p>
      <w:pPr>
        <w:spacing w:after="0" w:line="1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Governmental Consents</w:t>
      </w:r>
      <w:r>
        <w:rPr>
          <w:rFonts w:ascii="Times New Roman" w:cs="Times New Roman" w:eastAsia="Times New Roman" w:hAnsi="Times New Roman"/>
          <w:sz w:val="18"/>
          <w:szCs w:val="18"/>
          <w:color w:val="auto"/>
        </w:rPr>
        <w:t>. No consent, approval, order or authorization of, or registration, qualification, designation, declaration or filing with, any Governmental Entity or the Trading Market on the part of the Company is required in connection with the consummation of the transactions contemplated by this Agreement except for the filing of a Form D with the Commission under the Securities Act and compliance with the securities and blue sky laws in the states and other jurisdictions in which Common Shares are offered and/or sold, and applicable Canadian securities laws, if applicable, and filing of a Form 45-106F1 as required under National Instrument 45-106, which compliance will be effected by the Company in accordance with such laws.</w:t>
      </w:r>
    </w:p>
    <w:p>
      <w:pPr>
        <w:spacing w:after="0" w:line="39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No Default or Consents</w:t>
      </w:r>
      <w:r>
        <w:rPr>
          <w:rFonts w:ascii="Times New Roman" w:cs="Times New Roman" w:eastAsia="Times New Roman" w:hAnsi="Times New Roman"/>
          <w:sz w:val="18"/>
          <w:szCs w:val="18"/>
          <w:color w:val="auto"/>
        </w:rPr>
        <w:t>. Neither the Company nor any of its subsidiaries, is in violation or default under its organizational documents. Neither the execution, delivery or performance of this Agreement by the Company nor the consummation of any of the transactions contemplated hereby (including the issuance, sale and delivery by the Company of the Shares) will: (i)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any subsidiary pursuant to the terms of, any indenture, mortgage, deed of trust or other agreement or instrument to which the Company or any of its subsidiaries is a party or by which either or them or any of their respective properties or businesses are bound, or any franchise, license, permit, judgment, decree, order, statute, rule or regulation (including federal and state securities laws and regulations) and the rules and regulations, assuming the correctness of the representations and warranties made by the Purchasers herein, of any self-regulatory organization to which the Company or any of its subsidiaries or their securities are subject) applicable to the Company, or (ii) violate or conflict with any provision of the Articles, except in the case of clause (i) as would not cause, either individually or in the aggregate, a Material Adverse Effect, and except for such consents or waivers which have already been obtained and are in full force and effect.</w:t>
      </w:r>
    </w:p>
    <w:p>
      <w:pPr>
        <w:spacing w:after="0" w:line="19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Since December 31, 2021, except as specifically disclosed in the SEC Documents, there have been no events, occurrences or developments that have had or would reasonably be expected to have, either individually or in the aggregate, a Material Adverse Effect. Except for the transactions contemplated by this Agreement, no event, liability or development has occurred or exists with respect to the Company or any of its subsidiaries or their respective businesses, properties, operations or financial conditions that would be required to be disclosed by the Company under applicable securities laws at the Effective Date that has not been publicly disclosed at least one Trading Market trading day prior to the Effective Date.</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(other than the Placement Agent, as to which the Company makes no representation or warranty), has engaged in any form of general solicitation or general advertising (within the meaning of Regulation D promulgated under the Securities Act or under applicable Canadian securities laws) in connection with the offer or 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No Integrated Offering.</w:t>
      </w:r>
      <w:r>
        <w:rPr>
          <w:rFonts w:ascii="Times New Roman" w:cs="Times New Roman" w:eastAsia="Times New Roman" w:hAnsi="Times New Roman"/>
          <w:sz w:val="18"/>
          <w:szCs w:val="18"/>
          <w:color w:val="auto"/>
        </w:rPr>
        <w:t xml:space="preserve"> None of the Company or any of its affiliates, or any Person acting on their behalf has, directly or indirectly, made any offers or sales of any security or solicited any offers to buy any security, under circumstances that would require registration of any of the Shares under the Securities Act or cause this offering of the Shares to be integrated with prior offerings by the Company for purposes of the Securities Act or any applicable shareholder approval provisions, including under the rules and regulations of the Trading Market.</w:t>
      </w:r>
    </w:p>
    <w:p>
      <w:pPr>
        <w:spacing w:after="0" w:line="17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4.12</w:t>
        <w:tab/>
        <w:t>[</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To the Knowledge of the Company, the Company and its subsidiaries own, possess, license or have rights to use, on terms that the Company believes to be reasonable, all patents, patent applications, trademarks, trademark applications, service marks, trade names, copyrights, licenses, trade secrets, know-how and other similar rights that are necessary or material for use in connection with the businesses of the Company and its subsidiaries as described in the SEC Documents (collectively, the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Neither the Company nor any of its subsidiaries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and confidentiality of the Intellectual Property Rights (excluding any patents or patent applications that have or will become public), except where the failure to do so would not, individually or in the aggregate, have a Material Adverse Effect.</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The Company understands and confirms that the Purchasers will rely on the representations, warranties and covenants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effecting the transactions contemplated by this Agreement. To the Knowledge of the Company, all due diligence materials regarding the Company and its business and the transactions contemplated hereby (including the information referred to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hereof), furnished by or on behalf of the Company to the Purchasers upon their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misleading.</w:t>
      </w:r>
    </w:p>
    <w:p>
      <w:pPr>
        <w:spacing w:after="0" w:line="182"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b w:val="1"/>
          <w:bCs w:val="1"/>
          <w:color w:val="auto"/>
        </w:rPr>
        <w:t>Contracts.</w:t>
      </w:r>
    </w:p>
    <w:p>
      <w:pPr>
        <w:spacing w:after="0" w:line="229" w:lineRule="exact"/>
        <w:rPr>
          <w:sz w:val="20"/>
          <w:szCs w:val="20"/>
          <w:color w:val="auto"/>
        </w:rPr>
      </w:pPr>
    </w:p>
    <w:p>
      <w:pPr>
        <w:jc w:val="both"/>
        <w:ind w:firstLine="695"/>
        <w:spacing w:after="0" w:line="266" w:lineRule="auto"/>
        <w:tabs>
          <w:tab w:leader="none" w:pos="10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indenture, contract, lease, mortgage, deed of trust, note agreement, loan or other agreement or instrument of a character that is required to be described or summarized in the SEC Documents or to be filed as an exhibit to the SEC Documents under the Exchange Act and the rules and regulations promulgated thereunder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is so described, summarized or filed.</w:t>
      </w:r>
    </w:p>
    <w:p>
      <w:pPr>
        <w:spacing w:after="0" w:line="175" w:lineRule="exact"/>
        <w:rPr>
          <w:rFonts w:ascii="Times New Roman" w:cs="Times New Roman" w:eastAsia="Times New Roman" w:hAnsi="Times New Roman"/>
          <w:sz w:val="18"/>
          <w:szCs w:val="18"/>
          <w:color w:val="auto"/>
        </w:rPr>
      </w:pPr>
    </w:p>
    <w:p>
      <w:pPr>
        <w:jc w:val="both"/>
        <w:ind w:firstLine="695"/>
        <w:spacing w:after="0" w:line="253" w:lineRule="auto"/>
        <w:tabs>
          <w:tab w:leader="none" w:pos="11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Contracts to which the Company or any of its subsidiaries is a party have been duly and validly authorized, executed and delivered by the Company or such subsidiary and constitute the legal, valid and binding agreements of the Company or such subsidiary, enforceable by and against the Company and its subsidiaries in accordance with their respective terms, except as such enforceability may be limited by applicable bankruptcy, insolvency, reorganization or other similar laws relating to enforcement of creditors’ rights generally, and general equitable principles relating to the availability of remedies, except as rights to indemnity or contribution may be limited by federal or state securities laws. Neither the Company nor any of its subsidiaries nor, to the Knowledge of the Company, any third party has violated any provision of, or failed to perform any obligation required under the provisions of, any of the Material Contracts. Neither the Company nor any of its subsidiaries nor, to the Knowledge of the Company, any third party is in breach or default, or has received written notice of breach or default, of any of the Material Contracts. To the Knowledge of the Company, no event has occurred that, with notice or lapse of time or both, would constitute such a breach or default pursuant to any Material Contract by the Company or any of its subsidiaries, or, to the Knowledge of the Company, any other party thereto, and, as of the date of this Agreement, neither the Company nor any of its subsidiaries has received written notice of the foregoing or from the counterparty to any Material Contract (or, to the Knowledge of the Company, any of such counterparty's affiliates) regarding an intent to terminate, cancel, or modify any Material Contract (whether as a result of a change of control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firstLine="324"/>
        <w:spacing w:after="0" w:line="263"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Properties and Assets.</w:t>
      </w:r>
      <w:r>
        <w:rPr>
          <w:rFonts w:ascii="Times New Roman" w:cs="Times New Roman" w:eastAsia="Times New Roman" w:hAnsi="Times New Roman"/>
          <w:sz w:val="18"/>
          <w:szCs w:val="18"/>
          <w:color w:val="auto"/>
        </w:rPr>
        <w:t xml:space="preserve"> The Company and its subsidiaries have good and marketable title to all the properties and assets described as owned by them in the latest Financial Statements set forth in the SEC Documents, free and clear of all liens, mortgages, pledges or encumbrances of any kind except</w:t>
      </w:r>
    </w:p>
    <w:p>
      <w:pPr>
        <w:spacing w:after="0" w:line="1" w:lineRule="exact"/>
        <w:rPr>
          <w:sz w:val="20"/>
          <w:szCs w:val="20"/>
          <w:color w:val="auto"/>
        </w:rPr>
      </w:pPr>
    </w:p>
    <w:p>
      <w:pPr>
        <w:jc w:val="both"/>
        <w:ind w:firstLine="8"/>
        <w:spacing w:after="0" w:line="253" w:lineRule="auto"/>
        <w:tabs>
          <w:tab w:leader="none" w:pos="2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if any, reflected in such Financial Statements or (b) those that are not material in amount and do not adversely affect the use made of such property by the Company or any subsidiary. The Company and its subsidiaries hold their respective leased properties under valid and binding leases, except as would not have a Material Adverse Effect. The Company and its subsidiaries own or lease all such properties as are materially necessary to their respective operations as now conducted.</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Compliance and Regulatory</w:t>
      </w:r>
      <w:r>
        <w:rPr>
          <w:rFonts w:ascii="Times New Roman" w:cs="Times New Roman" w:eastAsia="Times New Roman" w:hAnsi="Times New Roman"/>
          <w:sz w:val="18"/>
          <w:szCs w:val="18"/>
          <w:color w:val="auto"/>
        </w:rPr>
        <w:t>. The Company and its subsidiaries are in compliance with all applicable laws, rules and regulations of the jurisdictions in which they are conducting their business, including all applicable local, state and federal environmental laws and regulations, or any applicable laws enforced by equivalent Governmental Entities outside the United States, except where failures to be so in compliance, individually or in the aggregate, would not reasonably be expected to have a Material Adverse Effect.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Company and its subsidiaries have filed on a timely basis (giving effect to extensions) all required federal, state and foreign income and franchise tax returns and have timely paid or accrued all taxes shown as due thereon, including interest and penalties, and to the Knowledge of the Company there is no tax deficiency that has been or might be asserted or threatened against it or them that could have a Material Adverse Effect. All tax liabilities accrued through the date hereof have been adequately provided for on the books of the Company. There are no liens for material taxes upon the assets of the Company or any of its subsidiaries other than for current taxes not yet due and payable or for taxes that are being contested in good faith by appropriate proceedings and for which adequate reserves in accordance with GAAP has been made in the Company's most recent financial statements included in the SEC Documents.</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The Company is not, and immediately after receipt of payment for the Shares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The Company maintains insurance underwritten by insurers of recognized financial responsibility, of the types and in the amounts that the Company reasonably believes is adequate for businesses of the Company and its subsidiaries, including directors’ and officers’ liability insurance and general and employer’s liability and all other risks customarily insured against and against such risks which the Company believes it is prudent to insure against, with such deductibles as are customary for companies in the same or similar business, all of which insurance is in full force and effect.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color w:val="auto"/>
        </w:rPr>
        <w:t>Price of Common Shares.</w:t>
      </w:r>
      <w:r>
        <w:rPr>
          <w:rFonts w:ascii="Times New Roman" w:cs="Times New Roman" w:eastAsia="Times New Roman" w:hAnsi="Times New Roman"/>
          <w:sz w:val="18"/>
          <w:szCs w:val="18"/>
          <w:color w:val="auto"/>
        </w:rPr>
        <w:t xml:space="preserve"> The Company has not taken, and will not take, directly or indirectly, any action designed to cause or result in, or that has constituted or that might reasonably be expected to constitute, the stabilization or manipulation of the price of the Common Shares to facilitate the sale or resale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Governmental Permits, Etc.</w:t>
      </w:r>
      <w:r>
        <w:rPr>
          <w:rFonts w:ascii="Times New Roman" w:cs="Times New Roman" w:eastAsia="Times New Roman" w:hAnsi="Times New Roman"/>
          <w:sz w:val="18"/>
          <w:szCs w:val="18"/>
          <w:color w:val="auto"/>
        </w:rPr>
        <w:t xml:space="preserve"> The Company and its subsidiaries have all franchises, licenses, permits, certificates and other authorizations from such Governmental Entity that are currently necessary for the operation of their respective businesses as currently conducted (collectively,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where the failure to possess such Permits would not reasonably be expected, individually or in the aggregate, to have a Material Adverse Effect. Neither the Company nor any of its subsidiaries has received any written notice requiring or threatening any revocation or modification of any such Permits, where such revocation or modification would reasonably be expected to have a Material Adverse Effect.</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xml:space="preserve"> The Company maintains internal control over financial reporting (as such term is defined in paragraph (f) of Rule 13a-15 under the Exchange Act) as required by Rule 13a-15 under the Exchange Act. To the Knowledge of the Company, since the end of the Company’s most recent audited fiscal year, there has been no material weakness in the design or operation of the Company’s internal control over financial reporting (whether or not remediated) which are reasonably likely to adversely affect the Company’s ability to record, process, summarize and report financial information.</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Foreign Corrupt Practices.</w:t>
      </w:r>
      <w:r>
        <w:rPr>
          <w:rFonts w:ascii="Times New Roman" w:cs="Times New Roman" w:eastAsia="Times New Roman" w:hAnsi="Times New Roman"/>
          <w:sz w:val="18"/>
          <w:szCs w:val="18"/>
          <w:color w:val="auto"/>
        </w:rPr>
        <w:t xml:space="preserve"> Neither the Company nor any of its subsidiaries nor, to the Knowledge of the Company, any director, officer, agent, employee or other Person acting on behalf of the Company or any of its subsidiaries, has, in the course of its actions for, or on behalf of, the Company or any subsidiary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Employee Relations.</w:t>
      </w:r>
      <w:r>
        <w:rPr>
          <w:rFonts w:ascii="Times New Roman" w:cs="Times New Roman" w:eastAsia="Times New Roman" w:hAnsi="Times New Roman"/>
          <w:sz w:val="18"/>
          <w:szCs w:val="18"/>
          <w:color w:val="auto"/>
        </w:rPr>
        <w:t xml:space="preserve"> No material labor dispute with the employees of the Company or any of its subsidiaries, or with the employees of any principal supplier, manufacturer, customer or contractor of the Company or any of its subsidiaries, exists or, to the Company’s Knowledge,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subject the Company to any material liability with respect to any of the foregoing matters.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The Company and its subsidiaries are in compliance in all material respects with all presently applicable provisions of the Employee Retirement Income Security Act of 1974, as amended, including the regulations and published interpretations thereunder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no “reportable event” (as defined in ERISA) has occurred with respect to any “pension plan” (as defined in ERISA) for which the Company or any subsidiary would have any material liability; the Company nor any of its subsidiaries has not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each “Pension Plan” for which the Company or any of its subsidiaries would have liability that is intended to be qualified under Section 401(a) of the Code is so qualified in all material respects and to the Knowledge of the Company, nothing has occurred, whether by action or by failure to act, which would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color w:val="auto"/>
        </w:rPr>
        <w:t>Registration Rights and Other Shareholder Agreements.</w:t>
      </w:r>
      <w:r>
        <w:rPr>
          <w:rFonts w:ascii="Times New Roman" w:cs="Times New Roman" w:eastAsia="Times New Roman" w:hAnsi="Times New Roman"/>
          <w:sz w:val="18"/>
          <w:szCs w:val="18"/>
          <w:color w:val="auto"/>
        </w:rPr>
        <w:t xml:space="preserve"> Except as provided in the SEC Documents, no Person has any right to cause the Company to effect the registration under the Securities Act covering the transfer of any securities of the Company and there are no other shareholder agreements, voting agreements or other similar agreements with respect to the Company’s capital shares to which the Company is a party or, to the Company’s Knowledge, between or among any of the Company’s shareholders.</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b w:val="1"/>
          <w:bCs w:val="1"/>
          <w:color w:val="auto"/>
        </w:rPr>
        <w:t>Trading Market Compliance.</w:t>
      </w:r>
      <w:r>
        <w:rPr>
          <w:rFonts w:ascii="Times New Roman" w:cs="Times New Roman" w:eastAsia="Times New Roman" w:hAnsi="Times New Roman"/>
          <w:sz w:val="18"/>
          <w:szCs w:val="18"/>
          <w:color w:val="auto"/>
        </w:rPr>
        <w:t xml:space="preserve"> The Company has not, in the previous twelve (12) months, received (i) written notice from the Trading Market that the Company is not in compliance with the listing or maintenance requirements of Trading Market that would result in immediate delisting or (ii) any notification, Staff Delisting Determination, or Public Reprimand Letter (as such terms are defined in applicable listing rules of the Trading Market) that requires a public announcement by the Company of any noncompliance or deficiency with respect to such listing or maintenance requirements. The Company is in compliance with all listing and maintenance requirements of the Trading Market on the date hereof.</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b w:val="1"/>
          <w:bCs w:val="1"/>
          <w:color w:val="auto"/>
        </w:rPr>
        <w:t>No “Bad Actor” Disqualification.</w:t>
      </w:r>
      <w:r>
        <w:rPr>
          <w:rFonts w:ascii="Times New Roman" w:cs="Times New Roman" w:eastAsia="Times New Roman" w:hAnsi="Times New Roman"/>
          <w:sz w:val="18"/>
          <w:szCs w:val="18"/>
          <w:color w:val="auto"/>
        </w:rPr>
        <w:t xml:space="preserve"> No “bad actor” disqualifying event described in Rule 506(d)(1)(i)-(viii) of the Securities Act (a “</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is applicable to the Company or, to the Knowledge of the Company, any Company Covered Person (as defined below), except for a Disqualification Event to which Rule 506(d)(2)(ii-iv) or (d)(3) is applicable. “</w:t>
      </w:r>
      <w:r>
        <w:rPr>
          <w:rFonts w:ascii="Times New Roman" w:cs="Times New Roman" w:eastAsia="Times New Roman" w:hAnsi="Times New Roman"/>
          <w:sz w:val="18"/>
          <w:szCs w:val="18"/>
          <w:b w:val="1"/>
          <w:bCs w:val="1"/>
          <w:i w:val="1"/>
          <w:iCs w:val="1"/>
          <w:color w:val="auto"/>
        </w:rPr>
        <w:t>Company Covered Person</w:t>
      </w:r>
      <w:r>
        <w:rPr>
          <w:rFonts w:ascii="Times New Roman" w:cs="Times New Roman" w:eastAsia="Times New Roman" w:hAnsi="Times New Roman"/>
          <w:sz w:val="18"/>
          <w:szCs w:val="18"/>
          <w:color w:val="auto"/>
        </w:rPr>
        <w:t>” means, with respect to the Company as an “issuer” for purposes of Rule 506 promulgated under the Securities Act, any person listed in the first paragraph of Rule 506(d)(1).</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None of the Company, any of its subsidiaries or, to the knowledge of the Company, any director, officer, agent, employee, affiliate or representative of the Company or any of its subsidiaries is Person, or is more than 50 percent owned in the aggregate by or acting on behalf of one or more Persons that are,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 directly or indirectly use the proceeds of the sale of the Shares, or lend, contribute or otherwise make available such proceeds to any subsidiaries, joint venture partners or other Person, to fund any activities of or business (i) with any Person, or in any country or territory, that, at the time of such funding, is a designated target of Sanctions, (ii) in or involving a country or territory which at the time of such funding is the subject of comprehensive country-wide or territory-wide Sanctions, or (iii) in any other manner that will result in a violation by any Person (including any Person participating in the transaction, whether as underwriter, advisor, investor or otherwise) of Sanctions.</w:t>
      </w:r>
    </w:p>
    <w:p>
      <w:pPr>
        <w:spacing w:after="0" w:line="1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Purchaser, severally and not jointly, represents and warrants to and covenant with the Company that:</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Risk.</w:t>
      </w:r>
      <w:r>
        <w:rPr>
          <w:rFonts w:ascii="Times New Roman" w:cs="Times New Roman" w:eastAsia="Times New Roman" w:hAnsi="Times New Roman"/>
          <w:sz w:val="18"/>
          <w:szCs w:val="18"/>
          <w:color w:val="auto"/>
        </w:rPr>
        <w:t xml:space="preserve"> Such Purchaser, taking into account the personnel and resources it can practically bring to bear on the purchase of the Shares contemplated hereby, is knowledgeable, sophisticated and experienced in making, and is qualified to make, decisions with respect to investments in securities presenting an investment decision like that involved in the purchase of the Shares, including investments in securities issued by the Company, and has requested, received, reviewed and considered all information the Purchasers know about and deem relevant (including the SEC Documents) in making an informed decision to purchase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xml:space="preserve"> Purchaser is acquiring the Shares pursuant to this Agreement for its own account for investment only and with no present intention of distributing any of such Shares or any arrangement or understanding with any other Persons regarding the distribution of such Shares, except in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Reliance.</w:t>
      </w:r>
      <w:r>
        <w:rPr>
          <w:rFonts w:ascii="Times New Roman" w:cs="Times New Roman" w:eastAsia="Times New Roman" w:hAnsi="Times New Roman"/>
          <w:sz w:val="18"/>
          <w:szCs w:val="18"/>
          <w:color w:val="auto"/>
        </w:rPr>
        <w:t xml:space="preserve"> Such Purchaser understands that the Shares are being offered and sold to it in reliance upon specific exemptions from the registration requirements of the Securities Act, the Rules and Regulations and state, provincial and territorial securities laws, as applicable,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Shares. If any of the representations deemed to have been made by it by its purchase of the Shares are no longer accurate prior to Closing, the Investor shall promptly notify the Company. If such Purchaser is acquiring the Shares as a fiduciary or agent for one or more investor accounts, it represents that it has sole investment discretion with respect to each such account and it has full power to make the foregoing representations, acknowledgements and agreements on behalf of such account.</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Compliance with the Securities Act</w:t>
      </w:r>
      <w:r>
        <w:rPr>
          <w:rFonts w:ascii="Times New Roman" w:cs="Times New Roman" w:eastAsia="Times New Roman" w:hAnsi="Times New Roman"/>
          <w:sz w:val="18"/>
          <w:szCs w:val="18"/>
          <w:color w:val="auto"/>
        </w:rPr>
        <w:t>. Such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applicable Canadian securities laws and the rules and regulations promulgated thereunder.</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xml:space="preserve"> Such Purchaser is an “accredited investor” within the meaning of (i) Rule 501 of Regulation D promulgated under the Securities Act or (ii) a Qualified Institutional Buyer within the meaning of Rule 144A promulgated under the Securities Act.</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Power and Authority.</w:t>
      </w:r>
      <w:r>
        <w:rPr>
          <w:rFonts w:ascii="Times New Roman" w:cs="Times New Roman" w:eastAsia="Times New Roman" w:hAnsi="Times New Roman"/>
          <w:sz w:val="18"/>
          <w:szCs w:val="18"/>
          <w:color w:val="auto"/>
        </w:rPr>
        <w:t xml:space="preserve"> Such Purchaser has all requisite corporate power, and has taken all requisite corporate action, to authorize, execute and deliver this Agreement and each of the other agreements and instruments contemplated herein to which the Purchaser is a party, to consummate the transactions contemplated herein and therein and to carry out and perform all of such Purchaser’s obligations hereunder and thereunder. Upon the execution and delivery of this Agreement, this Agreement shall constitute a valid and binding obligation of such Purchaser, enforceable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Broker Dealer.</w:t>
      </w:r>
      <w:r>
        <w:rPr>
          <w:rFonts w:ascii="Times New Roman" w:cs="Times New Roman" w:eastAsia="Times New Roman" w:hAnsi="Times New Roman"/>
          <w:sz w:val="18"/>
          <w:szCs w:val="18"/>
          <w:color w:val="auto"/>
        </w:rPr>
        <w:t xml:space="preserve"> Such Purchaser is not a broker or dealer registered pursuant to Section 15 of the Exchange Act (a “</w:t>
      </w:r>
      <w:r>
        <w:rPr>
          <w:rFonts w:ascii="Times New Roman" w:cs="Times New Roman" w:eastAsia="Times New Roman" w:hAnsi="Times New Roman"/>
          <w:sz w:val="18"/>
          <w:szCs w:val="18"/>
          <w:b w:val="1"/>
          <w:bCs w:val="1"/>
          <w:i w:val="1"/>
          <w:iCs w:val="1"/>
          <w:color w:val="auto"/>
        </w:rPr>
        <w:t>Registered Broker Dealer</w:t>
      </w:r>
      <w:r>
        <w:rPr>
          <w:rFonts w:ascii="Times New Roman" w:cs="Times New Roman" w:eastAsia="Times New Roman" w:hAnsi="Times New Roman"/>
          <w:sz w:val="18"/>
          <w:szCs w:val="18"/>
          <w:color w:val="auto"/>
        </w:rPr>
        <w:t>”) and is not an affiliate of a Registered Broker Dealer.</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Sophisticated Investor</w:t>
      </w:r>
      <w:r>
        <w:rPr>
          <w:rFonts w:ascii="Times New Roman" w:cs="Times New Roman" w:eastAsia="Times New Roman" w:hAnsi="Times New Roman"/>
          <w:sz w:val="18"/>
          <w:szCs w:val="18"/>
          <w:color w:val="auto"/>
        </w:rPr>
        <w:t>. Such Purchaser acknowledges that it is a sophisticated investor engaged in the business of assessing and assuming investment risks with respect to securities, including securities such as the Shares, and further acknowledges that the Company is entering into this Agreement in reliance on this acknowledgment and such Purchaser’s understanding, acknowledgment and agreement that the Company has disclosed certain confidential matters to such Purchaser as part of its due diligence review that may represent material, non-public information of the Company. Such Purchaser further acknowledges that it is aware of the restrictions imposed by United States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 Such Purchaser hereby waives any claim, or potential claim, it has or may have against the Company relating to the Company’s confidential disclosure, and the Purchaser’s receipt and possession,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Other Securities Transactions.</w:t>
      </w:r>
      <w:r>
        <w:rPr>
          <w:rFonts w:ascii="Times New Roman" w:cs="Times New Roman" w:eastAsia="Times New Roman" w:hAnsi="Times New Roman"/>
          <w:sz w:val="18"/>
          <w:szCs w:val="18"/>
          <w:color w:val="auto"/>
        </w:rPr>
        <w:t xml:space="preserve"> Such Purchaser has not, either directly or indirectly through an affiliate, agent or representative of the Company, engaged in any transaction in the securities of the Company other than with respect to the transactions contemplated herein, since the time that the Purchaser was first contacted by the Company or any other Person regarding the transactions contemplated hereby until the date hereof, except as set forth in filings made with the Commission pursuant to the Exchange Act.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Independent Advice.</w:t>
      </w:r>
      <w:r>
        <w:rPr>
          <w:rFonts w:ascii="Times New Roman" w:cs="Times New Roman" w:eastAsia="Times New Roman" w:hAnsi="Times New Roman"/>
          <w:sz w:val="18"/>
          <w:szCs w:val="18"/>
          <w:color w:val="auto"/>
        </w:rPr>
        <w:t xml:space="preserve"> Such Purchaser understands that nothing in this Agreement or any other materials presented to such Purchaser in connection with the purchase and sale of the Shares constitutes legal, tax or investment advice. Such Purchaser has consulted such legal, tax and investment advisors as it, in its sole discretion, has deemed necessary or appropriate in connection with its purchase of the Shares.</w:t>
      </w:r>
    </w:p>
    <w:p>
      <w:pPr>
        <w:spacing w:after="0" w:line="171"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b w:val="1"/>
          <w:bCs w:val="1"/>
          <w:color w:val="auto"/>
        </w:rPr>
        <w:t xml:space="preserve">Legends. </w:t>
      </w:r>
      <w:r>
        <w:rPr>
          <w:rFonts w:ascii="Times New Roman" w:cs="Times New Roman" w:eastAsia="Times New Roman" w:hAnsi="Times New Roman"/>
          <w:sz w:val="18"/>
          <w:szCs w:val="18"/>
          <w:color w:val="auto"/>
        </w:rPr>
        <w:t>Such Purchaser understands that, until such time as the Shares may be sold pursuant to Rule 144, any certificates representing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whether maintained in a book entry system or otherwise, will bear one or more legends in substantially the following form and substance:</w:t>
      </w:r>
    </w:p>
    <w:p>
      <w:pPr>
        <w:spacing w:after="0" w:line="207" w:lineRule="exact"/>
        <w:rPr>
          <w:sz w:val="20"/>
          <w:szCs w:val="20"/>
          <w:color w:val="auto"/>
        </w:rPr>
      </w:pPr>
    </w:p>
    <w:p>
      <w:pPr>
        <w:jc w:val="both"/>
        <w:ind w:left="980" w:right="640"/>
        <w:spacing w:after="0" w:line="253" w:lineRule="auto"/>
        <w:rPr>
          <w:sz w:val="20"/>
          <w:szCs w:val="20"/>
          <w:color w:val="auto"/>
        </w:rPr>
      </w:pPr>
      <w:r>
        <w:rPr>
          <w:rFonts w:ascii="Times New Roman" w:cs="Times New Roman" w:eastAsia="Times New Roman" w:hAnsi="Times New Roman"/>
          <w:sz w:val="18"/>
          <w:szCs w:val="18"/>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Purchaser or each beneficial purchaser, if any, for whom it is acting as trustee or agent, is resident in any province or territory of Canada, the Shares are subject to a hold period under applicable Canadian securities laws and may not be traded until the expiry of such hold period except as permitted by applicable securities legislation and such Purchaser understands any certificates representing the Shares, whether maintained in a book entry system or otherwise, will bear one or more legends in substantially the following form and substance (and in the event that no physical certificates are issued, the below constitutes written notice of the legend restriction under applicable Canadian securities laws ) until such time as no longer required by applicable law:</w:t>
      </w:r>
    </w:p>
    <w:p>
      <w:pPr>
        <w:spacing w:after="0" w:line="187" w:lineRule="exact"/>
        <w:rPr>
          <w:sz w:val="20"/>
          <w:szCs w:val="20"/>
          <w:color w:val="auto"/>
        </w:rPr>
      </w:pPr>
    </w:p>
    <w:p>
      <w:pPr>
        <w:jc w:val="both"/>
        <w:ind w:left="980" w:right="660"/>
        <w:spacing w:after="0" w:line="266" w:lineRule="auto"/>
        <w:rPr>
          <w:sz w:val="20"/>
          <w:szCs w:val="20"/>
          <w:color w:val="auto"/>
        </w:rPr>
      </w:pPr>
      <w:r>
        <w:rPr>
          <w:rFonts w:ascii="Times New Roman" w:cs="Times New Roman" w:eastAsia="Times New Roman" w:hAnsi="Times New Roman"/>
          <w:sz w:val="18"/>
          <w:szCs w:val="18"/>
          <w:color w:val="auto"/>
        </w:rPr>
        <w:t>“UNLESS PERMITTED UNDER SECURITIES LEGISLATION, THE HOLDER OF THIS SECURITY MUST NOT TRADE THE SECURITY BEFORE THE DATE THAT IS 4 MONTHS AND A DAY AFTER THE LATER OF (I) AUGUST ___, 2022, AND (II) THE DATE THE ISSUER BECAME A REPORTING ISSUER IN ANY PROVINCE OR TERRITORY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any share certificates, whether maintained in a book entry system or otherwise, representing the Shares may contain any legend required by the blue sky laws of any state or applicable Canadian securities laws to the extent such laws are applicable to the sale of such Shares hereunder. The Company shall use its commercially reasonable efforts to help facilitate the removal of such legend upon the earlier of (i) such time when it is legally permitted to do so under Rule 144 or applicable Canadian securities laws, or to facilitate any transfer of the Shares under Rule 144 or applicable Canadian securities laws that may be requested by Purchasers and (ii) following such time that the Commission declares the Registration Statement (as defined below) covering the Shares effective, but in any event, shall not be obligated to incur any material costs or expenses in making such efforts other than as set forth herein.</w:t>
      </w:r>
    </w:p>
    <w:p>
      <w:pPr>
        <w:spacing w:after="0" w:line="18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Company shall, at its sole expense, upon appropriate notice from any Purchaser stating that Registrable Securities (as defined below) have been sold pursuant to an effective Registration Statement (as defined below) or upon notice from the Commission that the Registration Statement (as defined below) covering the resale of the Shares has been declared effective, cause its transfer agent to timely prepare and deliver certificates or book-entry shares representing the Shares to be delivered to a transferee pursuant to the Registration Statement, which certificates or book-entry shares shall be free of any restrictive legends and in such denominations and registered in such names as such Purchaser may request. Further, the Company shall, at its sole expense, cause its legal counsel or other counsel satisfactory to the transfer agent: (i) while the Registration Statement is effective, to issue to the transfer agent a “blanket” legal opinion to allow sales without restriction pursuant to the effective Registration Statement, and (ii) provide all other opinions as may reasonably be required by the transfer agent in connection with the removal of legends (other than any legends required by applicable Canadian securities laws). A Purchaser may request that the Company remove, and the Company agrees to authorize the removal of, any legend from such Shares (other than any legends required by applicable Canadian securities laws), following the delivery by a Purchaser to the Company or the Company’s transfer agent of a legended certificate representing such Shares: (i) following any sale of such Shares pursuant to Rule 144 or (ii) if such Shares are eligible for sale under Rule 144(b)(1). If a legend removal request is made pursuant to the foregoing, the Company will, no later than two business days following the delivery by a Purchaser to the Company or the Company’s transfer agent of a legended certificate representing such Shares (or a request for legend removal, in the case of Shares issued in book-entry form), deliver or cause to be delivered to such Purchaser a certificate representing such Shares that is free from all restrictive legends or an equivalent book-entry position (other than any legends required by applicable Canadian securities laws), as requested by the Purchaser. Certificates for Shares free from all restrictive legends may be transmitted by the Company’s transfer agent to the Purchasers by crediting the account of the Purchaser’s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as directed by such Purchaser. The Company warrants that the Shares shall otherwise be freely transferable on the books and records of the Company as and to the extent provided in this Agreement. If a Purchaser effects a transfer of the Shares in accordance with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hereby agrees that the removal of the restrictive legend pursuant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is predicated upon the Company’s reliance that such Purchaser will sell any such Shares pursuant to either the registration requirements of the Securities Act, including any applicable prospectus delivery requirements, or an exemption therefrom and such Purchaser shall deliver a certificate reasonably satisfactory to the Company to the foregoing effect.</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Such Purchaser understands that the Shares are characterized as “restricted securities” under the United States federal securities laws inasmuch as they are being acquired from the Company in a transaction not involving a public offering and that under such laws and applicable regulations such Shares may be resold without registration under the Securities Act only in certain limited circumstances. Accordingly, such Purchaser represents that it is familiar with Rule 144 of the Securities Act, as presently in effect, and understands the resale limitations imposed thereby and by the Securities Act Such Purchase also understands that the Company was formerly a shell company and as of the date of this Agreement, Rule 144 is not available for the resale of Shares until such time as certain conditions are met, including at least one year having elapsed from the time that the Company filed current Form 10 type information with the Commission reflecting its status as an entity that is not a shell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Anti-Money Laundering.</w:t>
      </w:r>
      <w:r>
        <w:rPr>
          <w:rFonts w:ascii="Times New Roman" w:cs="Times New Roman" w:eastAsia="Times New Roman" w:hAnsi="Times New Roman"/>
          <w:sz w:val="18"/>
          <w:szCs w:val="18"/>
          <w:color w:val="auto"/>
        </w:rPr>
        <w:t xml:space="preserve"> The funds used to purchase the Shares which will be advanced by the Purchaser to the Company hereunder will not represent proceeds of crime for the purposes of the Criminal Code (Canada) or the Proceeds of Crime (Money Laundering) and Terrorist Financing Act (Canada) (collectively, “Anti-Money Laundering Laws”) and the Purchaser acknowledges that the Company may in the future be required by law to disclose the Purchaser’s name and other information relating to this Agreement and the Purchaser’s subscription hereunder, on a confidential basis, pursuant to the Anti-Money Laundering Laws and the legislation, regulations or instruments enacting Canadian Economic Sanctions (as defined below). The Purchaser is not a person or entity identified on a list established under any Anti-Money Laundering Law (including, without limitation, Section 83.05 of the Criminal Code (Canada)) and the Purchaser is not a person or entity identified in the legislation or regulations enacting any economic or financial sanctions, laws, regulations, embargoes, or restrictive measures imposed, administered or enforced by Canada, including but not limited to, the provisions of the United Nations Act (Canada), the Special Economic Measures Act (Canada) or any other economic sanctions laws administered by applicable Canadian regulatory authorities (collectively, “Canadian Economic Sanctions”). To the best of its, his or her knowledge, none of the subscription funds to be provided by the Purchaser: (i) have been or will be derived from or related to any activity that is deemed criminal under the laws of Canada, the United States, or any other jurisdiction; or (ii) are being tendered on behalf of a person or entity who has not been identified to the Purchaser, and the Purchaser will promptly notify the Company if the Purchaser discovers that any of such representations cease to be true and provide the Company with appropriate information in connection therewith; none of the funds the Purchaser is using to purchase the Shares are, to the knowledge of the Purchaser, proceeds obtained or delivered, directly or indirectly, as a result of illegal activities.</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REGISTRATION OF THE SHARES AND COMPLIANCE WITH THE SECURITIES ACT.</w:t>
      </w:r>
    </w:p>
    <w:p>
      <w:pPr>
        <w:spacing w:after="0" w:line="225"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Registration Procedures and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95"/>
        <w:spacing w:after="0" w:line="254" w:lineRule="auto"/>
        <w:tabs>
          <w:tab w:leader="none" w:pos="11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Piggyback Rights</w:t>
      </w:r>
      <w:r>
        <w:rPr>
          <w:rFonts w:ascii="Times New Roman" w:cs="Times New Roman" w:eastAsia="Times New Roman" w:hAnsi="Times New Roman"/>
          <w:sz w:val="18"/>
          <w:szCs w:val="18"/>
          <w:color w:val="auto"/>
        </w:rPr>
        <w:t>. In the event that the Company, in its sole discretion, shall determine to prepare and file a registration statement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S-3, or any other appropriate form on which the Shares may be registered for resale (each of the Shares, together with any capital shares issued or issuable, from time to time, upon any reclassification, share combination, share subdivision, share split, share dividend or similar transaction or event or otherwise as a distribution on, in exchange for or with respect to any of the foregoing, in each case held at the relevant time by a Purchaser, the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by the Purchasers, whether or not on a continuous basis pursuant to Rule 415 under the Securities Act, which such registration statement may include shares that may be offered by the Company, which for avoidance of doubt shall not include any pre- or post-effective amendment to a registration statement filed with the Commission as of the date hereof (the “</w:t>
      </w:r>
      <w:r>
        <w:rPr>
          <w:rFonts w:ascii="Times New Roman" w:cs="Times New Roman" w:eastAsia="Times New Roman" w:hAnsi="Times New Roman"/>
          <w:sz w:val="18"/>
          <w:szCs w:val="18"/>
          <w:b w:val="1"/>
          <w:bCs w:val="1"/>
          <w:i w:val="1"/>
          <w:iCs w:val="1"/>
          <w:color w:val="auto"/>
        </w:rPr>
        <w:t>Subsequent Registration Statement</w:t>
      </w:r>
      <w:r>
        <w:rPr>
          <w:rFonts w:ascii="Times New Roman" w:cs="Times New Roman" w:eastAsia="Times New Roman" w:hAnsi="Times New Roman"/>
          <w:sz w:val="18"/>
          <w:szCs w:val="18"/>
          <w:color w:val="auto"/>
        </w:rPr>
        <w:t>”), and has not previously filed a Secondary Registration Statement (as defined below), the Company shall: (i) notify each Purchaser of such determination; and (ii) if, within ten (10) days after receipt of such notice, any Purchaser requests in writing to include all or any part of its Registrable Securities in such Subsequent Registration Statement, include the Registrable Securities as so requested by the applicable Purchaser. Notwithstanding the foregoing and for avoidance of doubt, the Company may, but shall not be required to, file a Subsequent Registration Statement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left="-8" w:firstLine="695"/>
        <w:spacing w:after="0" w:line="259" w:lineRule="auto"/>
        <w:tabs>
          <w:tab w:leader="none" w:pos="10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Secondary Registration Statement. </w:t>
      </w:r>
      <w:r>
        <w:rPr>
          <w:rFonts w:ascii="Times New Roman" w:cs="Times New Roman" w:eastAsia="Times New Roman" w:hAnsi="Times New Roman"/>
          <w:sz w:val="18"/>
          <w:szCs w:val="18"/>
          <w:color w:val="auto"/>
        </w:rPr>
        <w:t>If the Company has not previously filed a Subsequent Registration Statement, the Company shall,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before September 16, 2022 (the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use its commercially reasonable efforts to prepare and file with the Commission a Registration Statement on Form S-1 or S-3, as appropriate (the “</w:t>
      </w:r>
      <w:r>
        <w:rPr>
          <w:rFonts w:ascii="Times New Roman" w:cs="Times New Roman" w:eastAsia="Times New Roman" w:hAnsi="Times New Roman"/>
          <w:sz w:val="18"/>
          <w:szCs w:val="18"/>
          <w:b w:val="1"/>
          <w:bCs w:val="1"/>
          <w:i w:val="1"/>
          <w:iCs w:val="1"/>
          <w:color w:val="auto"/>
        </w:rPr>
        <w:t>Secondary Registration Statement</w:t>
      </w:r>
      <w:r>
        <w:rPr>
          <w:rFonts w:ascii="Times New Roman" w:cs="Times New Roman" w:eastAsia="Times New Roman" w:hAnsi="Times New Roman"/>
          <w:sz w:val="18"/>
          <w:szCs w:val="18"/>
          <w:color w:val="auto"/>
        </w:rPr>
        <w:t>”; where used hereafter,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either a Subsequent Registration Statement which includes the Registrable Securities, or the Secondary Registration Statement, as applicable), relating to and providing for the resale of the Shares by the Purchasers on a continuous basis pursuant to Rule 415 under the Securities Act.</w:t>
      </w:r>
    </w:p>
    <w:p>
      <w:pPr>
        <w:spacing w:after="0" w:line="183" w:lineRule="exact"/>
        <w:rPr>
          <w:rFonts w:ascii="Times New Roman" w:cs="Times New Roman" w:eastAsia="Times New Roman" w:hAnsi="Times New Roman"/>
          <w:sz w:val="18"/>
          <w:szCs w:val="18"/>
          <w:color w:val="auto"/>
        </w:rPr>
      </w:pPr>
    </w:p>
    <w:p>
      <w:pPr>
        <w:jc w:val="both"/>
        <w:ind w:left="-8" w:firstLine="695"/>
        <w:spacing w:after="0" w:line="261" w:lineRule="auto"/>
        <w:tabs>
          <w:tab w:leader="none" w:pos="111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subject to receipt of necessary information from the Purchasers, to cause the Commission to declare a Registration Statement covering the Shares effective as soon as practicable after the date of the filing thereof and in any event no later than sixty (60) days after such filing if the Registration Statement and no later than ninety (90) days after such filing if such Registration Statement is reviewed by the Commission (in either case, such date,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8" w:firstLine="695"/>
        <w:spacing w:after="0" w:line="258" w:lineRule="auto"/>
        <w:tabs>
          <w:tab w:leader="none" w:pos="106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prepare and file with the Commission such amendments and supplements to the Registration Statement and the prospectus used in connection therewith as may be necessary to keep the Registration Statement effective until the earliest of (i) the third anniversary of the effective date of the Registration Statement, (ii) such time as all of the Shares purchased by the Purchasers pursuant to the terms of this Agreement have been sold pursuant to the Registration Statement, or (iii) such time as the Shares become eligible for resale by non-affiliates without any volume limitations or other restrictions pursuant to Rule 144(b)(1)(i) under the Securities Act or any other rule of similar effect.</w:t>
      </w:r>
    </w:p>
    <w:p>
      <w:pPr>
        <w:spacing w:after="0" w:line="183" w:lineRule="exact"/>
        <w:rPr>
          <w:rFonts w:ascii="Times New Roman" w:cs="Times New Roman" w:eastAsia="Times New Roman" w:hAnsi="Times New Roman"/>
          <w:sz w:val="18"/>
          <w:szCs w:val="18"/>
          <w:color w:val="auto"/>
        </w:rPr>
      </w:pPr>
    </w:p>
    <w:p>
      <w:pPr>
        <w:jc w:val="both"/>
        <w:ind w:left="-8" w:firstLine="695"/>
        <w:spacing w:after="0" w:line="252" w:lineRule="auto"/>
        <w:tabs>
          <w:tab w:leader="none" w:pos="113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obligations, the Company may, upon written notice to the Purchasers, which notice shall not contain any information that is or the Company reasonably believes is material non-public information, for a reasonable period of time, not to exceed forty-five (45) days in the case of clauses (A) and (B) below, or thirty (30) days in the case of clause (C) below (each, a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color w:val="auto"/>
        </w:rPr>
        <w:t>”), delay the filing of a Secondary Registration Statement or a request for acceleration of the effective date, or suspend the effectiveness of any Registration Statement, in the event that (A) the Company is engaged in any activity or transaction or preparations or negotiations for any activity or transaction that the Company desires to keep confidential for business reasons, if the Company determines in good faith that the public disclosure requirements imposed on the Company under the Securities Act in connection with the Registration Statement would require at that time disclosure of such activity, transaction, preparations or negotiations and such disclosure could result in material harm to the Company or its business transactions or activities, (B) the Company does not yet have appropriate financial statements of any acquired or to be acquired entities necessary for filing, or (C) any other event occurs that makes any statement of a material fact made in such Registration Statement, including any document incorporated by reference therein, untrue or that requires the making of any additions or changes in the Registration Statement in order to make the statements therein not misleading; provided, however, that in the case of a Blackout Period pursuant to clause (A) above, the Blackout Period shall terminate upon the earlier of (i) such forty-five (45) day or thirty (30) day period, as applicable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completion, resolution or public announcement of the relevant transaction or event. If the Company suspends the effectiveness of a Registration Statement pursuant to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the Company shall, as promptly as reasonably practicable following the termination of the circumstance which entitled the Company to do so, take such actions as may be necessary to reinstate the effectiveness of such Registration Statement and give written notice to the Purchasers authorizing the Purchasers to resume offerings and sales pursuant to such Registration Statement. If as a result thereof the prospectus included in such Registration Statement has been amended or supplemented to comply with the requirements of the Securities Act, the Company shall enclose such revised prospectus with the notice to Investor given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Company shall be entitled to exercise its rights under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not more than once in any six (6) month period; provided, however, that the aggregate number of days of all Blackout Periods hereunder shall not exceed seventy-five (75) days in any twelve (12) month period. After the expiration of any Blackout Period and without further request from the Investor, the Company shall effect the filing (or if required amendment or supplement) of the Registration Statement, or the filing of other documents, as necessary to allow the Investor to resell the Registrable Securities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0" w:name="page21"/>
    <w:bookmarkEnd w:id="20"/>
    <w:p>
      <w:pPr>
        <w:jc w:val="both"/>
        <w:ind w:firstLine="695"/>
        <w:spacing w:after="0" w:line="266" w:lineRule="auto"/>
        <w:tabs>
          <w:tab w:leader="none" w:pos="9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Purchasers with respect to the Shares registered under any Registration Statement (and to each underwriter, if any, of such Shares) such number of copies of prospectuses and such other documents as the Purchaser may reasonably request, in order to facilitate the public sale or other disposition of all or any of the Shares by the Purchaser.</w:t>
      </w:r>
    </w:p>
    <w:p>
      <w:pPr>
        <w:spacing w:after="0" w:line="175" w:lineRule="exact"/>
        <w:rPr>
          <w:rFonts w:ascii="Times New Roman" w:cs="Times New Roman" w:eastAsia="Times New Roman" w:hAnsi="Times New Roman"/>
          <w:sz w:val="18"/>
          <w:szCs w:val="18"/>
          <w:color w:val="auto"/>
        </w:rPr>
      </w:pPr>
    </w:p>
    <w:p>
      <w:pPr>
        <w:jc w:val="both"/>
        <w:ind w:firstLine="695"/>
        <w:spacing w:after="0" w:line="261" w:lineRule="auto"/>
        <w:tabs>
          <w:tab w:leader="none" w:pos="10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bear all expenses in connection with the procedures in paragraphs (a) through (f)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registration of the Shares pursuant to the Registration Statement, other than fees and expenses, if any, of counsel or other advisers to the Purchasers or underwriting discounts, brokerage fees and commissions incurred by the Purchaser, if any in connection with the offering of the Shares pursuant to the Registration Statement.</w:t>
      </w:r>
    </w:p>
    <w:p>
      <w:pPr>
        <w:spacing w:after="0" w:line="179" w:lineRule="exact"/>
        <w:rPr>
          <w:rFonts w:ascii="Times New Roman" w:cs="Times New Roman" w:eastAsia="Times New Roman" w:hAnsi="Times New Roman"/>
          <w:sz w:val="18"/>
          <w:szCs w:val="18"/>
          <w:color w:val="auto"/>
        </w:rPr>
      </w:pPr>
    </w:p>
    <w:p>
      <w:pPr>
        <w:jc w:val="both"/>
        <w:ind w:firstLine="695"/>
        <w:spacing w:after="0" w:line="261" w:lineRule="auto"/>
        <w:tabs>
          <w:tab w:leader="none" w:pos="10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enable the Purchasers to sell the Shares under Rule 144 to the Securities Act, the Company shall use its commercially reasonable efforts to comply with the requirements of Rule 144, including without limitation, use its commercially reasonable efforts to comply with the requirements of Rule 144(c)(1) with respect to public information about the Company and to timely file all reports required to be filed by the Company under the Exchange Act.</w:t>
      </w:r>
    </w:p>
    <w:p>
      <w:pPr>
        <w:spacing w:after="0" w:line="179" w:lineRule="exact"/>
        <w:rPr>
          <w:rFonts w:ascii="Times New Roman" w:cs="Times New Roman" w:eastAsia="Times New Roman" w:hAnsi="Times New Roman"/>
          <w:sz w:val="18"/>
          <w:szCs w:val="18"/>
          <w:color w:val="auto"/>
        </w:rPr>
      </w:pPr>
    </w:p>
    <w:p>
      <w:pPr>
        <w:jc w:val="both"/>
        <w:ind w:firstLine="695"/>
        <w:spacing w:after="0" w:line="261" w:lineRule="auto"/>
        <w:tabs>
          <w:tab w:leader="none" w:pos="10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Purchasers an opportunity to review and comment on all disclosures regarding the Purchasers and any plan of distribution proposed by them in connection with the preparation of any Registration Statement. Notwithstanding anything to the contrary contained herein, in no event shall the Company be permitted to name any Purchaser or affiliate of a Purchaser as an “underwriter” without the prior written consent of such Purchaser.</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Each Purchaser agrees that it will not effect any disposition of the Shares that would constitute a sale within the meaning of the Securities Act or pursuant to any applicable state securities laws, unless and until (1) there is then in effect a registration statement under the Securities Act covering such proposed disposition and such disposition is made in accordance with such registration statement or (2) such disposition is otherwise permitted by law, including pursuant to the procedures set forth in Rule 144 under the Securities Act. Notwithstanding the preceding sentence, no restriction shall apply to a transfer by a Purchaser that is a partnership transferring to its partners or former partners in accordance with partnership interests.</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b w:val="1"/>
          <w:bCs w:val="1"/>
          <w:i w:val="1"/>
          <w:iCs w:val="1"/>
          <w:color w:val="auto"/>
        </w:rPr>
        <w:t>Purchaser/Affiliate</w:t>
      </w:r>
      <w:r>
        <w:rPr>
          <w:rFonts w:ascii="Times New Roman" w:cs="Times New Roman" w:eastAsia="Times New Roman" w:hAnsi="Times New Roman"/>
          <w:sz w:val="18"/>
          <w:szCs w:val="18"/>
          <w:color w:val="auto"/>
        </w:rPr>
        <w:t>” shall mean any affiliate of the Purchaser, including, without limitation, any general partner or managing member of the Purchaser, any investment adviser of the Purchaser, or any transferee who is an affiliate of the Purchaser, and any person who controls the Purchaser or any affiliate of the Purchaser within the meaning of Section 15 of the Securities Act or Section 20 of the Exchange Act; and (ii) the term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include any preliminary prospectus, final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free writing prospectus, exhibit, supplement or amendment included in or relating to, and any document incorporated by reference in, the Registration Statement referred to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695" w:firstLine="695"/>
        <w:spacing w:after="0" w:line="251" w:lineRule="auto"/>
        <w:tabs>
          <w:tab w:leader="none" w:pos="4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Purchasers and each Purchaser/Affiliate, against any losses, claims, damages, liabilities or expenses, joint or several, that such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as amended at the time of effectiveness of the Registration Statement, including any information deemed to be a part thereof as of the time of effectiveness pursuant to paragraph (b) of Rule 430A, or pursuant to Rules 430B, 430C or 434, of the Rules and Regulations, or the Prospectus, in the form first filed with the Commission pursuant to Rule 424(b) of the Regulations,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or (ii) arise out of or are based in whole or in part on any inaccuracy in the representations or warranties of the Company contained in this Agreement, breach of any covenant of the Company contained in this Agreement or any failure of the Company to perform its other obligations hereunder or under law, and will promptly reimburse each Purchaser and each Purchaser/Affiliate for any legal and other out-of-pocket expenses as such expenses are reasonably incurred and documented by such Purchaser or such Purchaser/Affiliate in connection with investigating, defending or preparing to defend, settling, compromising or paying any such loss, claim, damage, liability, expense or action; provided, however, that the Company will not be liable for amounts paid in settlement of any such loss, claim, damage, liability or action if such settlement is effected without the written consent of the Company, which consent shall not be unreasonably withheld or delayed, and the Company will not be liable in any such case to the extent that any such loss, claim, damage, liability or expense arises out of or is based upon (i) the gross negligence or willful misconduct of such Purchaser, or (ii) an untrue statement or alleged untrue statement or omission or alleged omission made in the Registration Statement, the Prospectus or any amendment or supplement thereto in reliance upon and in conformity with written information furnished to the Company by or on behalf of the Purchaser expressly for use therein, or (iii) the inaccuracy of any representation or warranty made by such Purchaser herein or (iv) any statement or omission in any Prospectus that is corrected in any subsequent Prospectus that was delivered to the Purchaser prior to the pertinent sale or sales by the Purchaser. Any such indemnified Purchaser shall return all payments made hereunder if it is determined, by a final, non-appealable judgment by a court or arbitral tribunal, that the losses for which such payments were made resulted from such Indemnified Person’s gross negligence or willful misconduct.</w:t>
      </w:r>
    </w:p>
    <w:p>
      <w:pPr>
        <w:spacing w:after="0" w:line="203" w:lineRule="exact"/>
        <w:rPr>
          <w:rFonts w:ascii="Times New Roman" w:cs="Times New Roman" w:eastAsia="Times New Roman" w:hAnsi="Times New Roman"/>
          <w:sz w:val="18"/>
          <w:szCs w:val="18"/>
          <w:color w:val="auto"/>
        </w:rPr>
      </w:pPr>
    </w:p>
    <w:p>
      <w:pPr>
        <w:jc w:val="both"/>
        <w:ind w:left="-695" w:firstLine="695"/>
        <w:spacing w:after="0" w:line="252" w:lineRule="auto"/>
        <w:tabs>
          <w:tab w:leader="none" w:pos="4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will severally, but not jointly, indemnify and hold harmless the Company, each of its directors, each of its officers who signed the Registration Statement and each person, if any, who controls the Company within the meaning of Section 15 of the Securities Act or Section 20 of the Exchange Act, against any losses, claims, damages, liabilities or expenses that the Company, each of its directors, each of its officers who signed the Registration Statement or controlling person incurs, under the Securities Act, the Exchange Act, or any other federal or state statutory law or regulation, or at common law or otherwise (including in settlement of any litigation, but only if such settlement is effected with the written consent of such Purchaser) insofar as such losses, claims, damages, liabilities or expenses (or actions in respect thereof as contemplated below) arise out of or are based upon (i) any failure to comply with the covenants and agreements contained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respecting the sale of the Shares or (ii) the inaccuracy of any representation or warranty made by such Purchaser herein or (iii)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expressly for use therein; and will reimburse the Company, each of its directors, each of its officers who signed the Registration Statement or controlling person for any legal and other expense reasonably incurred by the Company, each of its directors, each of its officers who signed the Registration Statement or controlling person in connection with investigating, defending, settling, compromising or paying any such loss, claim, damage, liability, expense or action; provided, however, that (i) each Purchaser’s aggregate liability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exceed the amount of net proceeds received by such Purchaser on the sale of the Shares pursuant to the Registration Statement and (ii) the Purchasers will not be liable for amounts paid in settlement of any such loss, claim, damage, liability or action if such settlement is effected without the written consent of such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423545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5"/>
          </w:cols>
          <w:pgMar w:left="1015" w:top="904" w:right="339" w:bottom="1440" w:gutter="0" w:footer="0" w:header="0"/>
        </w:sectPr>
      </w:pPr>
    </w:p>
    <w:bookmarkStart w:id="22" w:name="page23"/>
    <w:bookmarkEnd w:id="22"/>
    <w:p>
      <w:pPr>
        <w:jc w:val="both"/>
        <w:ind w:left="-695" w:firstLine="695"/>
        <w:spacing w:after="0" w:line="251"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notice of the threat or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unless such settlement includes an unconditional release of such indemnified party from all liability on claims that are the subject matter of such proceeding.</w:t>
      </w:r>
    </w:p>
    <w:p>
      <w:pPr>
        <w:spacing w:after="0" w:line="204" w:lineRule="exact"/>
        <w:rPr>
          <w:rFonts w:ascii="Times New Roman" w:cs="Times New Roman" w:eastAsia="Times New Roman" w:hAnsi="Times New Roman"/>
          <w:sz w:val="18"/>
          <w:szCs w:val="18"/>
          <w:color w:val="auto"/>
        </w:rPr>
      </w:pPr>
    </w:p>
    <w:p>
      <w:pPr>
        <w:jc w:val="both"/>
        <w:ind w:left="-695" w:firstLine="695"/>
        <w:spacing w:after="0" w:line="251" w:lineRule="auto"/>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is required by its terms but is for any reason held to be unavailable to or otherwise insufficient to hold harmless an indemnified party under paragraphs (a), (b) or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private placement of Shares hereunder or (ii) if the allocation provided by clause (i) 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each Purchaser on the other shall be deemed to be in the same proportion as the amount paid by such Purchaser to the Company pursuant to this Agreement for the Shares purchased by such Purchaser that were sold pursuant to the Registration Statement bears to the difference between the amount such Purchaser paid for the Shares that were sold pursuant to the Registration Statement and the amount received by such Purchaser from such sale. The relative fault of the Company on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the notice of the threat or commencement of any threat or action shall apply if a claim for contribution is to be made under this paragraph (d); provided, however,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 Purchaser shall be required to contribute any amount in excess of the amount of net proceeds received by such Purchaser on the sale of the Shares pursuant to the Registration Statement. No person guilty of fraudulent misrepresentation (within the meaning of Section 11(f) of the Securities Act) shall be entitled to contribution from any person who was not guilty of such fraudulent misrepresentation. The Purchasers’ obligations to contribute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432435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5"/>
          </w:cols>
          <w:pgMar w:left="1015" w:top="904" w:right="339" w:bottom="1440" w:gutter="0" w:footer="0" w:header="0"/>
        </w:sectPr>
      </w:pPr>
    </w:p>
    <w:bookmarkStart w:id="23" w:name="page24"/>
    <w:bookmarkEnd w:id="23"/>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Information Available</w:t>
      </w:r>
      <w:r>
        <w:rPr>
          <w:rFonts w:ascii="Times New Roman" w:cs="Times New Roman" w:eastAsia="Times New Roman" w:hAnsi="Times New Roman"/>
          <w:sz w:val="18"/>
          <w:szCs w:val="18"/>
          <w:color w:val="auto"/>
        </w:rPr>
        <w:t>. The Company, upon the reasonable request of a Purchaser, shall make available for inspection by such Purchaser, any deemed underwriter participating in any disposition pursuant to the Registration Statement and any attorney, accountant or other agent retained by the Purchasers or any deemed underwriter, all financial and other records, pertinent corporate documents and properties of the Company.</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7.</w:t>
        <w:tab/>
        <w:t>NO BROKER’S FEE.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Each of the Company and the Purchasers hereby represents that, other than as may be payable to the Placement Agent,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financial advisor’s or other similar fee or commission in connection with the transactions contemplated by this Agreement. Each party hereto further agrees to indemnify each other party for any claims, losses or expenses incurred by such other party as a result of the representation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being untrue.</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8.</w:t>
        <w:tab/>
        <w:t>COVENANTS.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Form D; Blue Sky Filings</w:t>
      </w:r>
      <w:r>
        <w:rPr>
          <w:rFonts w:ascii="Times New Roman" w:cs="Times New Roman" w:eastAsia="Times New Roman" w:hAnsi="Times New Roman"/>
          <w:sz w:val="18"/>
          <w:szCs w:val="18"/>
          <w:color w:val="auto"/>
        </w:rPr>
        <w:t>. The Company agrees to file a Form D with respect to the Shares as required under Regulation D of the Securities Act and a Form 45-106F1 with respect to the Shares as required under National Instrument 45-106, if required. The Company will take such action as the Company shall reasonably determine is necessary in order to obtain an exemption from, or to qualify the Shares for, sale to the Purchasers at each of the Closings respectively pursuant to this Agreement under applicable securities of “Blue Sky” laws of the states of the United States, and shall provide evidence of such actions promptly upon the written request of the Purchasers.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On the Closing Date, all share transfer or other taxes (other than income taxes) that are required to be paid in connection with the issuance, sale and delivery of the Shares to the Purchasers hereunder will be fully paid or provided for by the Company and all laws imposing such taxes will have been fully complied with and the Purchasers and their respective affiliates shall have no obligation therefor.</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Listing of Common Shares</w:t>
      </w:r>
      <w:r>
        <w:rPr>
          <w:rFonts w:ascii="Times New Roman" w:cs="Times New Roman" w:eastAsia="Times New Roman" w:hAnsi="Times New Roman"/>
          <w:sz w:val="18"/>
          <w:szCs w:val="18"/>
          <w:color w:val="auto"/>
        </w:rPr>
        <w:t xml:space="preserve">. The Company shall promptly secure the listing of the Shares upon each national securities exchange and automated quotation system that requires an application by the Company for listing, if any, upon which Common Shares are then listed (subject to official notice of issuance) and shall maintain such listing, so long as any other Common Shares shall be so listed. The Company shall use its commercially reasonable efforts to maintain the Common Shares’ listing on the Trading Market.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9.</w:t>
        <w:tab/>
        <w:t>NOTICES.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w:t>
      </w:r>
    </w:p>
    <w:p>
      <w:pPr>
        <w:spacing w:after="0" w:line="176" w:lineRule="exact"/>
        <w:rPr>
          <w:sz w:val="20"/>
          <w:szCs w:val="20"/>
          <w:color w:val="auto"/>
        </w:rPr>
      </w:pPr>
    </w:p>
    <w:p>
      <w:pPr>
        <w:ind w:left="1100" w:hanging="379"/>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Vancouver, British Columbia, V6C 2T5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Craig Shesky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craig@metals.co</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Massachusetts 02111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Michael L. Fantozzi, Esq. and Daniel T. Kajunski,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MLFantozzi@mintz.com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DTKajunski@mintz.com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Person at such other place as the Company shall designate to the Purchasers in writing;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firstLine="695"/>
        <w:spacing w:after="0" w:line="282" w:lineRule="auto"/>
        <w:tabs>
          <w:tab w:leader="none" w:pos="11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Purchasers, to the address set forth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to such other Person at such other place as the Purchasers shall designate to the Company in writing.</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10.</w:t>
        <w:tab/>
        <w:t>MISCELLANEOUS.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 xml:space="preserve"> Neither this Agreement nor any provision hereof may be changed, waived, discharged, terminated, modified or amended except upon the written consent of the Company and Purchasers holding at a majority of the Shares issued hereunder and then-held by all Purchasers, in the case of any change, discharge, termination, modification, or of the party hereto against whom the waiver is to be effective, in the case of a waiver, provided that if any amendment or waiver disproportionately and adversely affects a Purchaser (or group of Purchasers) in any material respect, the consent of such disproportionately affected Purchaser (or group of Purchasers) shall also be required.</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xml:space="preserve"> The headings of the various sections of this Agreement have been inserted for convenience of reference only and shall not be deemed to be part of this Agreement. The terms “hereof,” “herein,” “hereby” and derivative or similar words refer to this Agreement as a whole and not to any particular provision of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singular shall include the plural, the plural the singular, the use of any gender shall be applicable to all genders. The term “including” or “includes” means “including without limitation” or “includes without limitation.”</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In case any provision contained in this Agreement should be invalid, illegal or unenforceable in any respect, the validity, legality and enforceability of the remaining provisions contained herein shall not in any way be affected or impaired thereby.</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The representations and warranties contained herein shall survive the Closing and the delivery of the Shares. The agreements and covenants contained herein shall survive for the applicable statute of limitations.</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Governing Law; Jurisdiction.</w:t>
      </w:r>
      <w:r>
        <w:rPr>
          <w:rFonts w:ascii="Times New Roman" w:cs="Times New Roman" w:eastAsia="Times New Roman" w:hAnsi="Times New Roman"/>
          <w:sz w:val="18"/>
          <w:szCs w:val="18"/>
          <w:color w:val="auto"/>
        </w:rPr>
        <w:t xml:space="preserve"> This Agreement shall be governed by and interpreted in accordance with the substantive laws of the State of New York, without regard to its or any other jurisdiction’s choice of law rules. Any and all disputes arising out of, concerning, or related to this Agreement, or to the interpretation, performance, breach or termination thereof shall be referred to and resolved by the federal courts located in New York, New York.</w:t>
      </w:r>
    </w:p>
    <w:p>
      <w:pPr>
        <w:jc w:val="both"/>
        <w:spacing w:after="0" w:line="251" w:lineRule="auto"/>
        <w:rPr>
          <w:sz w:val="20"/>
          <w:szCs w:val="20"/>
          <w:color w:val="auto"/>
        </w:rPr>
      </w:pPr>
      <w:r>
        <w:rPr>
          <w:rFonts w:ascii="Times New Roman" w:cs="Times New Roman" w:eastAsia="Times New Roman" w:hAnsi="Times New Roman"/>
          <w:sz w:val="18"/>
          <w:szCs w:val="18"/>
          <w:color w:val="auto"/>
        </w:rPr>
        <w:t>EACH PARTY HEREBY WAIVES ITS RIGHTS TO A JURY TRIAL OF ANY CLAIM OR CAUSE OF ACTION BASED UPON OR ARISING OUT OF THIS AGREEMENT, THE OTHER TRANSACTION DOCUMENTS, THE SHARES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in counterparts, each of which shall constitute an original, but all of which, when taken together, shall constitute but one instrument, and shall become effective when one or more counterparts have been signed by each party hereto and delivered to the other party.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79"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xml:space="preserve"> Except as otherwise expressly provided herein, the provisions hereof shall inure to the benefit of, and be binding upon, the successors, assigns, heirs, executors and administrators of the parties hereto. None of the Purchasers may assign this Agreement or any rights or obligations hereunder, in whole or in part, without the prior written consent of the Company.</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The Placement Agent shall be the third-party beneficiary of the representations and warranties of the Company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representations and warranties of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and the other documents and instruments delivered pursuant hereto or thereto, including the exhibits hereto or thereto, constitute the full and entire understanding and agreement between the parties hereto with regard to the subjects hereof and thereof.</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color w:val="auto"/>
        </w:rPr>
        <w:t>Independent Nature of Purchasers’ Obligations And Rights.</w:t>
      </w:r>
      <w:r>
        <w:rPr>
          <w:rFonts w:ascii="Times New Roman" w:cs="Times New Roman" w:eastAsia="Times New Roman" w:hAnsi="Times New Roman"/>
          <w:sz w:val="18"/>
          <w:szCs w:val="18"/>
          <w:color w:val="auto"/>
        </w:rPr>
        <w:t xml:space="preserve">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thereto, shall be deemed to constitute the Purchasers as a partnership, an association, a joint venture or any other kind of entity, or create a presumption that the Purchasers are in any way acting in concert or as a group, or are deemed affiliates (as such term is defined under the Exchange Act)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Each Purchaser acknowledges that it is not relying upon any person, firm, or corporation, other than the Company and its officers and directors, in making its investment or decision to invest in the Company.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Shares.</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xml:space="preserve"> Except as otherwise provided herein and the Placement Agency Agreement, or in the other documents or instruments contemplated hereby, each of the Company and the Purchasers shall bear its own expenses and legal fees incurred on its behalf with respect to this Agreement and the transactions contemplated hereby.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color w:val="auto"/>
        </w:rPr>
        <w:t>Further Actions.</w:t>
      </w:r>
      <w:r>
        <w:rPr>
          <w:rFonts w:ascii="Times New Roman" w:cs="Times New Roman" w:eastAsia="Times New Roman" w:hAnsi="Times New Roman"/>
          <w:sz w:val="18"/>
          <w:szCs w:val="18"/>
          <w:color w:val="auto"/>
        </w:rPr>
        <w:t xml:space="preserve"> Each party hereto agrees to execute, acknowledge, and deliver such further instruments, and to do all such other acts, as may be necessary or appropriate in order to carry out the purposes and intent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b w:val="1"/>
          <w:bCs w:val="1"/>
          <w:color w:val="auto"/>
        </w:rPr>
        <w:t>Form 8-K.</w:t>
      </w:r>
      <w:r>
        <w:rPr>
          <w:rFonts w:ascii="Times New Roman" w:cs="Times New Roman" w:eastAsia="Times New Roman" w:hAnsi="Times New Roman"/>
          <w:sz w:val="18"/>
          <w:szCs w:val="18"/>
          <w:color w:val="auto"/>
        </w:rPr>
        <w:t xml:space="preserve"> On or before the earlier of (i) the second (2nd) Business Day following the Effective Date and (ii) the date on which the Company files its quarterly report on Form 10-Q for the quarter ended June 30, 2022, the Company shall file a Current Report on Form 8-K with the Commission describing the terms of the transactions contemplated by this Agreement (the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xml:space="preserve">”); provided, however that the Purchasers shall be given an opportunity to review and comment on the disclosure contained in the Form 8-K prior to filing). Except for the Form 8-K, all public announcements regarding this Agreement shall be issued only in accordance with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From and after the filing of the Form 8-K, the Purchasers shall not be in possession of any material, non-public information received from the Company or any of their respective officers, directors or employees that is not disclosed in the Form 8-K.</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xml:space="preserve"> The Company may unilaterally issue a press release or other public announcement concerning the execution of this Agreement, the terms and conditions hereof or the consummation of the transactions contemplated hereby, provided however, that the Company shall not identify by name any Purchaser in such press release or other public announcement (except to the extent required by law), without the prior written consent of such 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28" w:name="page29"/>
    <w:bookmarkEnd w:id="28"/>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PURCHASER:</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3180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29" w:name="page30"/>
    <w:bookmarkEnd w:id="29"/>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August 12,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w:t>
      </w:r>
      <w:r>
        <w:rPr>
          <w:rFonts w:ascii="Times New Roman" w:cs="Times New Roman" w:eastAsia="Times New Roman" w:hAnsi="Times New Roman"/>
          <w:sz w:val="18"/>
          <w:szCs w:val="18"/>
          <w:b w:val="1"/>
          <w:bCs w:val="1"/>
          <w:color w:val="auto"/>
        </w:rPr>
        <w:t xml:space="preserve"> TMC </w:t>
      </w:r>
      <w:r>
        <w:rPr>
          <w:rFonts w:ascii="Times New Roman" w:cs="Times New Roman" w:eastAsia="Times New Roman" w:hAnsi="Times New Roman"/>
          <w:sz w:val="12"/>
          <w:szCs w:val="12"/>
          <w:b w:val="1"/>
          <w:bCs w:val="1"/>
          <w:color w:val="auto"/>
        </w:rPr>
        <w:t>the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 xml:space="preserve">company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company organized under the laws of the Province of British Columbia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the purchasers whose names and addresses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color w:val="auto"/>
        </w:rPr>
        <w:t>are set forth on the signature pages hereof (each, a “</w:t>
      </w:r>
      <w:r>
        <w:rPr>
          <w:rFonts w:ascii="Times New Roman" w:cs="Times New Roman" w:eastAsia="Times New Roman" w:hAnsi="Times New Roman"/>
          <w:sz w:val="17"/>
          <w:szCs w:val="17"/>
          <w:b w:val="1"/>
          <w:bCs w:val="1"/>
          <w:i w:val="1"/>
          <w:iCs w:val="1"/>
          <w:color w:val="auto"/>
        </w:rPr>
        <w:t>Purchaser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Purchasers</w:t>
      </w:r>
      <w:r>
        <w:rPr>
          <w:rFonts w:ascii="Times New Roman" w:cs="Times New Roman" w:eastAsia="Times New Roman" w:hAnsi="Times New Roman"/>
          <w:sz w:val="17"/>
          <w:szCs w:val="17"/>
          <w:color w:val="auto"/>
        </w:rPr>
        <w:t>”). For the purposes of this Agreement the terms defined in this Agreement include the plural as well as the singular.</w:t>
      </w:r>
    </w:p>
    <w:p>
      <w:pPr>
        <w:spacing w:after="0" w:line="16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in furtherance of such desire, the Purchasers desire to purchase, and the Company has agreed to sell, 103,680 common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par value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for a purchase price of $0.9645 per share, for aggregate gross proceeds to the Company of $99,999.36.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in this Agreement, and for other good and valuable consideration, the receipt and sufficiency of which are hereby acknowledged, the Company and the Purchasers hereby agree, severally and not jointly, as follows:</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AUTHORIZATION OF SALE OF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authorized the sale and issuance of the Common Shares to the Purchasers on the terms and subject to the conditions set forth in this Agreement. The Common Shares that may be sold to the Purchasers hereunder at the Closing (as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shall be referred to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AGREEMENT TO SELL AND PURCHASE THE SHARES.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At the Closing, the Company will issue, sell and deliver to each Purchaser, and such Purchaser will purchase from the Company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that number of Common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set forth opposite such Purchaser’s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for the purchase price set forth therein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For purposes of this Agreement, the following terms shall have the following meanings:</w:t>
      </w:r>
    </w:p>
    <w:p>
      <w:pPr>
        <w:spacing w:after="0" w:line="225"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(a)</w:t>
        <w:tab/>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or Sunday, on which banks in New York City are open for the general transaction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3" w:lineRule="exact"/>
        <w:rPr>
          <w:sz w:val="20"/>
          <w:szCs w:val="20"/>
          <w:color w:val="auto"/>
        </w:rPr>
      </w:pPr>
    </w:p>
    <w:p>
      <w:pPr>
        <w:jc w:val="both"/>
        <w:ind w:firstLine="980"/>
        <w:spacing w:after="0" w:line="262" w:lineRule="auto"/>
        <w:tabs>
          <w:tab w:leader="none" w:pos="14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 of the Company</w:t>
      </w:r>
      <w:r>
        <w:rPr>
          <w:rFonts w:ascii="Times New Roman" w:cs="Times New Roman" w:eastAsia="Times New Roman" w:hAnsi="Times New Roman"/>
          <w:sz w:val="18"/>
          <w:szCs w:val="18"/>
          <w:color w:val="auto"/>
        </w:rPr>
        <w:t>” shall mean, with respect to the Company, the knowledge of any of Gerard Barron, Craig Shesky and Anthony O’Sullivan. Such individuals will be deemed to have “knowledge” of a particular fact or other matter if such individual has or at any time had actual knowledge of such fact or other matter or if, in the absence of such actual knowledge, such person reasonably should have known such fact or other matter based on their role in the Company.</w:t>
      </w:r>
    </w:p>
    <w:p>
      <w:pPr>
        <w:spacing w:after="0" w:line="176" w:lineRule="exact"/>
        <w:rPr>
          <w:rFonts w:ascii="Times New Roman" w:cs="Times New Roman" w:eastAsia="Times New Roman" w:hAnsi="Times New Roman"/>
          <w:sz w:val="18"/>
          <w:szCs w:val="18"/>
          <w:color w:val="auto"/>
        </w:rPr>
      </w:pPr>
    </w:p>
    <w:p>
      <w:pPr>
        <w:jc w:val="both"/>
        <w:ind w:firstLine="980"/>
        <w:spacing w:after="0" w:line="262" w:lineRule="auto"/>
        <w:tabs>
          <w:tab w:leader="none" w:pos="14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nation, federal, state, provincial, county municipal, local or foreign government, or other political subdivision thereof or any other governmental, administrative, judicial, arbitral, legislative, executive, regulatory or self-regulatory authority, instrumentality, agency, commission or body and any entity exercising executive, legislative, judicial, regulatory, taxing or administrative functions of or pertaining to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ind w:firstLine="980"/>
        <w:spacing w:after="0" w:line="286" w:lineRule="auto"/>
        <w:tabs>
          <w:tab w:leader="none" w:pos="14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provincial, local or foreign law (including common law), statute, code, ordinance, rule, regulation, order, judgment, writ, stipulation, award, injunction, decree, arbitration award or finding or any other legally enforceable requirement.</w:t>
      </w:r>
    </w:p>
    <w:p>
      <w:pPr>
        <w:spacing w:after="0" w:line="154" w:lineRule="exact"/>
        <w:rPr>
          <w:rFonts w:ascii="Times New Roman" w:cs="Times New Roman" w:eastAsia="Times New Roman" w:hAnsi="Times New Roman"/>
          <w:sz w:val="18"/>
          <w:szCs w:val="18"/>
          <w:color w:val="auto"/>
        </w:rPr>
      </w:pPr>
    </w:p>
    <w:p>
      <w:pPr>
        <w:jc w:val="both"/>
        <w:ind w:firstLine="980"/>
        <w:spacing w:after="0" w:line="257" w:lineRule="auto"/>
        <w:tabs>
          <w:tab w:leader="none" w:pos="14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means any change, event, development, condition, occurrence or effect that (a) is, or could reasonably be expected to be, materially adverse to the business, financial condition, prospects, assets, liabilities or results of operations of the Company and its subsidiaries considered as one enterprise, or (b) materially impairs the ability of the Company to comply, or prevents the Company from complying, with its material obligations with respect to the Closing or would reasonably be expected to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186" w:lineRule="exact"/>
        <w:rPr>
          <w:rFonts w:ascii="Times New Roman" w:cs="Times New Roman" w:eastAsia="Times New Roman" w:hAnsi="Times New Roman"/>
          <w:sz w:val="18"/>
          <w:szCs w:val="18"/>
          <w:color w:val="auto"/>
        </w:rPr>
      </w:pPr>
    </w:p>
    <w:p>
      <w:pPr>
        <w:jc w:val="both"/>
        <w:ind w:left="1920" w:hanging="454"/>
        <w:spacing w:after="0" w:line="266" w:lineRule="auto"/>
        <w:tabs>
          <w:tab w:leader="none" w:pos="1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Canada or any other geographic region in which the Company conducts business, if the Company is not disproportionately affected thereby;</w:t>
      </w:r>
    </w:p>
    <w:p>
      <w:pPr>
        <w:spacing w:after="0" w:line="17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credit or capital market conditions, including interest rates or exchange rates, or any changes therein,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right="20" w:hanging="454"/>
        <w:spacing w:after="0" w:line="282" w:lineRule="auto"/>
        <w:tabs>
          <w:tab w:leader="none" w:pos="1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conducts business,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hanging="454"/>
        <w:spacing w:after="0"/>
        <w:tabs>
          <w:tab w:leader="none" w:pos="1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after the date hereof, if the Company is not disproportionately affected thereby;</w:t>
      </w:r>
    </w:p>
    <w:p>
      <w:pPr>
        <w:spacing w:after="0" w:line="22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 after the date of this Agreement, if the Company is not disproportionately affected thereby; or</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in connection with earthquakes, hostilities, acts of war, sabotage or terrorism or military actions or any escalation or material worsening of any such hostilities, acts of war, sabotage or terrorism or military actions.</w:t>
      </w:r>
    </w:p>
    <w:p>
      <w:pPr>
        <w:spacing w:after="0" w:line="157" w:lineRule="exact"/>
        <w:rPr>
          <w:rFonts w:ascii="Times New Roman" w:cs="Times New Roman" w:eastAsia="Times New Roman" w:hAnsi="Times New Roman"/>
          <w:sz w:val="18"/>
          <w:szCs w:val="18"/>
          <w:color w:val="auto"/>
        </w:rPr>
      </w:pPr>
    </w:p>
    <w:p>
      <w:pPr>
        <w:ind w:right="20" w:firstLine="980"/>
        <w:spacing w:after="0" w:line="286" w:lineRule="auto"/>
        <w:tabs>
          <w:tab w:leader="none" w:pos="13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share company, joint venture, sole proprietorship, unincorporated organization, Governmental Entity or any other form of entity not specifically listed herein.</w:t>
      </w:r>
    </w:p>
    <w:p>
      <w:pPr>
        <w:spacing w:after="0" w:line="154" w:lineRule="exact"/>
        <w:rPr>
          <w:rFonts w:ascii="Times New Roman" w:cs="Times New Roman" w:eastAsia="Times New Roman" w:hAnsi="Times New Roman"/>
          <w:sz w:val="18"/>
          <w:szCs w:val="18"/>
          <w:color w:val="auto"/>
        </w:rPr>
      </w:pPr>
    </w:p>
    <w:p>
      <w:pPr>
        <w:ind w:left="1720" w:hanging="740"/>
        <w:spacing w:after="0"/>
        <w:tabs>
          <w:tab w:leader="none" w:pos="1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means EAS Advisors, LLC, through Odeon Capital Group LLC.</w:t>
      </w:r>
    </w:p>
    <w:p>
      <w:pPr>
        <w:spacing w:after="0" w:line="225" w:lineRule="exact"/>
        <w:rPr>
          <w:rFonts w:ascii="Times New Roman" w:cs="Times New Roman" w:eastAsia="Times New Roman" w:hAnsi="Times New Roman"/>
          <w:sz w:val="18"/>
          <w:szCs w:val="18"/>
          <w:color w:val="auto"/>
        </w:rPr>
      </w:pPr>
    </w:p>
    <w:p>
      <w:pPr>
        <w:ind w:left="1820" w:hanging="840"/>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Agency Agreement</w:t>
      </w:r>
      <w:r>
        <w:rPr>
          <w:rFonts w:ascii="Times New Roman" w:cs="Times New Roman" w:eastAsia="Times New Roman" w:hAnsi="Times New Roman"/>
          <w:sz w:val="18"/>
          <w:szCs w:val="18"/>
          <w:color w:val="auto"/>
        </w:rPr>
        <w:t>” means that certain placement agency letter agreement between the Company and the Placement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202" w:lineRule="exact"/>
        <w:rPr>
          <w:rFonts w:ascii="Times New Roman" w:cs="Times New Roman" w:eastAsia="Times New Roman" w:hAnsi="Times New Roman"/>
          <w:sz w:val="18"/>
          <w:szCs w:val="18"/>
          <w:color w:val="auto"/>
        </w:rPr>
      </w:pPr>
    </w:p>
    <w:p>
      <w:pPr>
        <w:jc w:val="both"/>
        <w:ind w:firstLine="980"/>
        <w:spacing w:after="0" w:line="268" w:lineRule="auto"/>
        <w:tabs>
          <w:tab w:leader="none" w:pos="13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individual or entity the Company wholly-owns or controls, or in which the Company, directly or indirectly, owns a majority of the voting shares or similar voting interest, in each case that would be disclosable pursuant to Item 601(b)(21) of Regulation S-K promulgated under the Securities Act (as defined below).</w:t>
      </w:r>
    </w:p>
    <w:p>
      <w:pPr>
        <w:spacing w:after="0" w:line="170" w:lineRule="exact"/>
        <w:rPr>
          <w:rFonts w:ascii="Times New Roman" w:cs="Times New Roman" w:eastAsia="Times New Roman" w:hAnsi="Times New Roman"/>
          <w:sz w:val="18"/>
          <w:szCs w:val="18"/>
          <w:color w:val="auto"/>
        </w:rPr>
      </w:pPr>
    </w:p>
    <w:p>
      <w:pPr>
        <w:ind w:left="1680" w:hanging="700"/>
        <w:spacing w:after="0"/>
        <w:tabs>
          <w:tab w:leader="none" w:pos="1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Nasdaq Global Select Market.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CLOSING, CLOSING CONDITIONS AND CLOSING DELIVERIES.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closing of the purchase and sale of the Shares pursuant to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occur no later than 5:00 p.m., Eastern time, on August 12, 2022, subject to the satisfaction or waiver of all of conditions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delivery of all of the closing deliveries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(such date,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at the offices of Mintz, Levin, Cohn, Ferris, Glovsky and Popeo, P.C. (“</w:t>
      </w:r>
      <w:r>
        <w:rPr>
          <w:rFonts w:ascii="Times New Roman" w:cs="Times New Roman" w:eastAsia="Times New Roman" w:hAnsi="Times New Roman"/>
          <w:sz w:val="18"/>
          <w:szCs w:val="18"/>
          <w:b w:val="1"/>
          <w:bCs w:val="1"/>
          <w:i w:val="1"/>
          <w:iCs w:val="1"/>
          <w:color w:val="auto"/>
        </w:rPr>
        <w:t>Mintz</w:t>
      </w:r>
      <w:r>
        <w:rPr>
          <w:rFonts w:ascii="Times New Roman" w:cs="Times New Roman" w:eastAsia="Times New Roman" w:hAnsi="Times New Roman"/>
          <w:sz w:val="18"/>
          <w:szCs w:val="18"/>
          <w:color w:val="auto"/>
        </w:rPr>
        <w:t>”), One Financial Center, Boston, MA 02111, or at such other time and place as may be agreed to by the Company and the Purchasers. At or prior to the Closing, each of the Company and the Purchasers shall execute any related agreements or other documents required hereunder to be executed as of the Closing hereunder, each dated as of the date of the Closing.</w:t>
      </w:r>
    </w:p>
    <w:p>
      <w:pPr>
        <w:spacing w:after="0" w:line="18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Closing Conditions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980"/>
        <w:spacing w:after="0" w:line="266" w:lineRule="auto"/>
        <w:tabs>
          <w:tab w:leader="none" w:pos="14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Closing Condition</w:t>
      </w:r>
      <w:r>
        <w:rPr>
          <w:rFonts w:ascii="Times New Roman" w:cs="Times New Roman" w:eastAsia="Times New Roman" w:hAnsi="Times New Roman"/>
          <w:sz w:val="18"/>
          <w:szCs w:val="18"/>
          <w:color w:val="auto"/>
        </w:rPr>
        <w:t>. There shall have been no Law enacted, entered, promulgated, enforced or deemed applicable by any Governmental Entity of competent jurisdiction that is in effect and makes illegal or otherwise prohibits or materially delays the consummation of the Closing.</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3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Purchaser’s Obligations</w:t>
      </w:r>
      <w:r>
        <w:rPr>
          <w:rFonts w:ascii="Times New Roman" w:cs="Times New Roman" w:eastAsia="Times New Roman" w:hAnsi="Times New Roman"/>
          <w:sz w:val="18"/>
          <w:szCs w:val="18"/>
          <w:color w:val="auto"/>
        </w:rPr>
        <w:t>. Each Purchaser’s obligation to purchase the Shares at the Closing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jc w:val="both"/>
        <w:ind w:left="1920" w:hanging="454"/>
        <w:spacing w:after="0" w:line="261" w:lineRule="auto"/>
        <w:tabs>
          <w:tab w:leader="none" w:pos="1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representations and warranties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and correct in all material respects at the date of the Closing, with the same force and effect as if they had been made on and as of said date, other than the representations and warranties set forth in </w:t>
      </w:r>
      <w:r>
        <w:rPr>
          <w:rFonts w:ascii="Times New Roman" w:cs="Times New Roman" w:eastAsia="Times New Roman" w:hAnsi="Times New Roman"/>
          <w:sz w:val="18"/>
          <w:szCs w:val="18"/>
          <w:u w:val="single" w:color="auto"/>
          <w:color w:val="auto"/>
        </w:rPr>
        <w:t>Sections 4.1, 4.2, 4.3, 4.5, 4.8, 4.9, and 4.14</w:t>
      </w:r>
      <w:r>
        <w:rPr>
          <w:rFonts w:ascii="Times New Roman" w:cs="Times New Roman" w:eastAsia="Times New Roman" w:hAnsi="Times New Roman"/>
          <w:sz w:val="18"/>
          <w:szCs w:val="18"/>
          <w:color w:val="auto"/>
        </w:rPr>
        <w:t xml:space="preserve"> which shall be true and correct in all respects as if they had been made on and as of said date.</w:t>
      </w:r>
    </w:p>
    <w:p>
      <w:pPr>
        <w:spacing w:after="0" w:line="179" w:lineRule="exact"/>
        <w:rPr>
          <w:rFonts w:ascii="Times New Roman" w:cs="Times New Roman" w:eastAsia="Times New Roman" w:hAnsi="Times New Roman"/>
          <w:sz w:val="18"/>
          <w:szCs w:val="18"/>
          <w:color w:val="auto"/>
        </w:rPr>
      </w:pPr>
    </w:p>
    <w:p>
      <w:pPr>
        <w:ind w:left="1920" w:right="20" w:hanging="454"/>
        <w:spacing w:after="0" w:line="261" w:lineRule="auto"/>
        <w:tabs>
          <w:tab w:leader="none" w:pos="1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with in all material respects all agreements and conditions herein required to be performed or complied with by the Company on or before the Closing, or any breach or failure to do so has been cured.</w:t>
      </w:r>
    </w:p>
    <w:p>
      <w:pPr>
        <w:ind w:left="1920" w:hanging="454"/>
        <w:spacing w:after="0"/>
        <w:tabs>
          <w:tab w:leader="none" w:pos="1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06" w:lineRule="exact"/>
        <w:rPr>
          <w:rFonts w:ascii="Times New Roman" w:cs="Times New Roman" w:eastAsia="Times New Roman" w:hAnsi="Times New Roman"/>
          <w:sz w:val="18"/>
          <w:szCs w:val="18"/>
          <w:color w:val="auto"/>
        </w:rPr>
      </w:pPr>
    </w:p>
    <w:p>
      <w:pPr>
        <w:ind w:firstLine="980"/>
        <w:spacing w:after="0" w:line="282" w:lineRule="auto"/>
        <w:tabs>
          <w:tab w:leader="none" w:pos="13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Company’s Obligations</w:t>
      </w:r>
      <w:r>
        <w:rPr>
          <w:rFonts w:ascii="Times New Roman" w:cs="Times New Roman" w:eastAsia="Times New Roman" w:hAnsi="Times New Roman"/>
          <w:sz w:val="18"/>
          <w:szCs w:val="18"/>
          <w:color w:val="auto"/>
        </w:rPr>
        <w:t>. The Company’s obligation to issue and sell the Shares at the Closing to a Purchaser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Purchaser’s representations and warranties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true and correct in all material respects at the date of the Closing, with the same force and effect as if they had been made on and as of said date.</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shall have performed and complied with in all material respects all agreements and conditions herein required to be performed or complied with by it on or before the Closing, or any breach or failure to do so has been cured.</w:t>
      </w:r>
    </w:p>
    <w:p>
      <w:pPr>
        <w:spacing w:after="0" w:line="158"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Closing Deliveries.</w:t>
      </w:r>
    </w:p>
    <w:p>
      <w:pPr>
        <w:spacing w:after="0" w:line="225" w:lineRule="exact"/>
        <w:rPr>
          <w:sz w:val="20"/>
          <w:szCs w:val="20"/>
          <w:color w:val="auto"/>
        </w:rPr>
      </w:pPr>
    </w:p>
    <w:p>
      <w:pPr>
        <w:jc w:val="both"/>
        <w:ind w:firstLine="980"/>
        <w:spacing w:after="0" w:line="268" w:lineRule="auto"/>
        <w:tabs>
          <w:tab w:leader="none" w:pos="13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the Purchase Price at Closing</w:t>
      </w:r>
      <w:r>
        <w:rPr>
          <w:rFonts w:ascii="Times New Roman" w:cs="Times New Roman" w:eastAsia="Times New Roman" w:hAnsi="Times New Roman"/>
          <w:sz w:val="18"/>
          <w:szCs w:val="18"/>
          <w:color w:val="auto"/>
        </w:rPr>
        <w:t>. At the Closing, each Purchaser shall deliver, or cause to be delivered, to the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equal to the Purchase Price by wire transfer of immediately available funds to the Company’s account pursuant to wire instructions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Each Purchaser’s obligations to pay the Purchase Price shall be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980"/>
        <w:spacing w:after="0" w:line="257" w:lineRule="auto"/>
        <w:tabs>
          <w:tab w:leader="none" w:pos="13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the Shares at the Closing</w:t>
      </w:r>
      <w:r>
        <w:rPr>
          <w:rFonts w:ascii="Times New Roman" w:cs="Times New Roman" w:eastAsia="Times New Roman" w:hAnsi="Times New Roman"/>
          <w:sz w:val="18"/>
          <w:szCs w:val="18"/>
          <w:color w:val="auto"/>
        </w:rPr>
        <w:t>. At the Closing, the Company shall issue, or cause the Company’s transfer agent to issue,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in global form through a book-entry account maintained by the Company’s transfer agent the number of Shares purchased by such Purchaser,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at the Closing against payment by such Purchaser of the Purchase Price (including providing a copy of the irrevocable instructions delivered by the Company to the Company’s transfer agent instructing the transfer agent to issue the Shares to the Purchasers by crediting the Shares to the respective accounts of the Purchasers on the transfer agent’s book-entry system on the Closing Date and confirmation from the transfer agent that such Shares were so issued on the date thereof). Such Shares shall be appropriately legended as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herein.</w:t>
      </w:r>
    </w:p>
    <w:p>
      <w:pPr>
        <w:spacing w:after="0" w:line="182" w:lineRule="exact"/>
        <w:rPr>
          <w:rFonts w:ascii="Times New Roman" w:cs="Times New Roman" w:eastAsia="Times New Roman" w:hAnsi="Times New Roman"/>
          <w:sz w:val="18"/>
          <w:szCs w:val="18"/>
          <w:color w:val="auto"/>
        </w:rPr>
      </w:pPr>
    </w:p>
    <w:p>
      <w:pPr>
        <w:jc w:val="both"/>
        <w:ind w:firstLine="980"/>
        <w:spacing w:after="0" w:line="268" w:lineRule="auto"/>
        <w:tabs>
          <w:tab w:leader="none" w:pos="14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Secretary’s Certificate</w:t>
      </w:r>
      <w:r>
        <w:rPr>
          <w:rFonts w:ascii="Times New Roman" w:cs="Times New Roman" w:eastAsia="Times New Roman" w:hAnsi="Times New Roman"/>
          <w:sz w:val="18"/>
          <w:szCs w:val="18"/>
          <w:color w:val="auto"/>
        </w:rPr>
        <w:t>. At the Closing, the Purchasers and the Placement Agent shall have received a certificate signed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the Company, certifying the resolutions of the Board of Directors of the Company or a duly authorized committee thereof approving this Agreement and all of the transactions contemplated hereunder.</w:t>
      </w:r>
    </w:p>
    <w:p>
      <w:pPr>
        <w:spacing w:after="0" w:line="170" w:lineRule="exact"/>
        <w:rPr>
          <w:rFonts w:ascii="Times New Roman" w:cs="Times New Roman" w:eastAsia="Times New Roman" w:hAnsi="Times New Roman"/>
          <w:sz w:val="18"/>
          <w:szCs w:val="18"/>
          <w:color w:val="auto"/>
        </w:rPr>
      </w:pPr>
    </w:p>
    <w:p>
      <w:pPr>
        <w:ind w:right="20" w:firstLine="980"/>
        <w:spacing w:after="0" w:line="286" w:lineRule="auto"/>
        <w:tabs>
          <w:tab w:leader="none" w:pos="14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the Closing, the Purchasers and the Placement Agent shall have received a certificate signed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President and Chief Executive Officer of the Company certifying to the fulfillment of the conditions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980"/>
        <w:spacing w:after="0" w:line="268" w:lineRule="auto"/>
        <w:tabs>
          <w:tab w:leader="none" w:pos="13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Opinions. </w:t>
      </w:r>
      <w:r>
        <w:rPr>
          <w:rFonts w:ascii="Times New Roman" w:cs="Times New Roman" w:eastAsia="Times New Roman" w:hAnsi="Times New Roman"/>
          <w:sz w:val="18"/>
          <w:szCs w:val="18"/>
          <w:color w:val="auto"/>
        </w:rPr>
        <w:t>At the Closing, the Purchasers shall have received opinions of Fasken Martineau DuMoulin LLP, Canadian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Mintz, U.S. counsel for the Company, each dated as of the Closing Date, in a form reasonably satisfactory to the Purchasers and the Placement Agent.</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COMPANY.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in the SEC Documents (as defined below) and publicly available prior to the date of this Agreement and only as and to the extent disclosed therein, the Company hereby represents, warrants and covenants to the Purchasers as follows:</w:t>
      </w:r>
    </w:p>
    <w:p>
      <w:pPr>
        <w:spacing w:after="0" w:line="15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Organization and Standing</w:t>
      </w:r>
      <w:r>
        <w:rPr>
          <w:rFonts w:ascii="Times New Roman" w:cs="Times New Roman" w:eastAsia="Times New Roman" w:hAnsi="Times New Roman"/>
          <w:sz w:val="18"/>
          <w:szCs w:val="18"/>
          <w:color w:val="auto"/>
        </w:rPr>
        <w:t>. The Company has been duly continued and is validly existing and in good standing under the laws of the Province of British Columbia, Canada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 The Company owns, directly or through subsidiaries, all of the issued and outstanding equity securities of each of its subsidiaries. Each of the Company’s subsidiaries has been duly incorporated or organized and is validly existing and in good standing under the laws of its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Corporate Power; Authorization</w:t>
      </w:r>
      <w:r>
        <w:rPr>
          <w:rFonts w:ascii="Times New Roman" w:cs="Times New Roman" w:eastAsia="Times New Roman" w:hAnsi="Times New Roman"/>
          <w:sz w:val="18"/>
          <w:szCs w:val="18"/>
          <w:color w:val="auto"/>
        </w:rPr>
        <w:t>. The Company has all requisite corporate power, and the Company and its Board of Directors have taken all requisite corporate action, to authorize, execute and deliver this Agreement, to consummate the transactions contemplated herein and therein, including to sell, issue and deliver the Shares to the Purchasers, and to carry out and perform all of the Company’s obligations hereunder and thereunder. This Agreement constitutes the legal, valid and binding obligation of the Company, enforceable against the Company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Issuance and Delivery of the Shares</w:t>
      </w:r>
      <w:r>
        <w:rPr>
          <w:rFonts w:ascii="Times New Roman" w:cs="Times New Roman" w:eastAsia="Times New Roman" w:hAnsi="Times New Roman"/>
          <w:sz w:val="18"/>
          <w:szCs w:val="18"/>
          <w:color w:val="auto"/>
        </w:rPr>
        <w:t xml:space="preserve">. The Shares have been duly authorized and, when issued and paid for in compliance with the provisions of this Agreement, will be validly issued, fully paid and nonassessable. The issuance and delivery of the Shares is not subject to preemptive, co-sale, right of first refusal or any other similar rights of the shareholders of the Company or any other Person or any liens or encumbrances, other than encumbrances under applicable securities laws. Assuming the accuracy of the representations made by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offer and issuance by the Company of the Shares is exempt from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is exempt from the prospectus requirement under applicable Canadian securities laws.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SEC Documents; Financial Statements; Independent Accountants</w:t>
      </w:r>
      <w:r>
        <w:rPr>
          <w:rFonts w:ascii="Times New Roman" w:cs="Times New Roman" w:eastAsia="Times New Roman" w:hAnsi="Times New Roman"/>
          <w:sz w:val="18"/>
          <w:szCs w:val="18"/>
          <w:color w:val="auto"/>
        </w:rPr>
        <w:t>. The Company is subject to the reporting requirements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has filed or will file in a timely manner all documents that the Company was or is required to file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Sections 13, 14(a) and 15(d) of the Exchange Act, since September 9, 2021 (the foregoing documents (together with any documents filed by the Company under the Exchange Act, whether or not required) being collectively referred to herein as the “</w:t>
      </w:r>
      <w:r>
        <w:rPr>
          <w:rFonts w:ascii="Times New Roman" w:cs="Times New Roman" w:eastAsia="Times New Roman" w:hAnsi="Times New Roman"/>
          <w:sz w:val="18"/>
          <w:szCs w:val="18"/>
          <w:b w:val="1"/>
          <w:bCs w:val="1"/>
          <w:i w:val="1"/>
          <w:iCs w:val="1"/>
          <w:color w:val="auto"/>
        </w:rPr>
        <w:t>SEC Documents</w:t>
      </w:r>
      <w:r>
        <w:rPr>
          <w:rFonts w:ascii="Times New Roman" w:cs="Times New Roman" w:eastAsia="Times New Roman" w:hAnsi="Times New Roman"/>
          <w:sz w:val="18"/>
          <w:szCs w:val="18"/>
          <w:color w:val="auto"/>
        </w:rPr>
        <w:t>”). As of their respective filing dates (or, if amended prior to the date of this Agreement, when amended), all SEC Documents complied in all material respects with the requirements of the Exchange Act and the rules and regulations of the Commission promulgated thereunder. None of the SEC Documents as of their respective filing dates contained any untrue statement of material fact or omitted to state a material fact required to be stated therein or necessary to make the statements made therein, in light of the circumstances under which they were made, not misleading. The financial statements of the Company set forth in the SEC Documents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with the published rules and regulations of the Commission with respect thereto. The Financial Statements have been prepared in accordance with United States generally accepted accounting principles consistently applied and fairly present the financial position of the Company at the dates thereof and the results of its operations and cash flows for the periods then ended (subject, in the case of unaudited statements, to normal, recurring adjustments). The accountants who certified the Financial Statements are independent public accountants as required by the Securities Act and the Exchange Act and the regulations thereunder and the Public Company Accounting Oversight Board.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 As set forth in the SEC Documents as of the date set forth therein, all of the Company’s outstanding capital shares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there are no existing options, warrants, calls, subscriptions or other rights, agreements, arrangements or commitments of any character, relating to the issued or unissued capital shares of the Company, obligating the Company to issue, transfer, sell, redeem, purchase, repurchase or otherwise acquire or cause to be issued, transferred, sold, redeemed, purchased, repurchased or otherwise acquired any capital shares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Neither the execution of this Agreement nor the issuance of Common Shares or other securities pursuant to any provision of this Agreement will give rise to any preemptive rights or rights of first refusal on behalf of any Person or result in the triggering of any anti-dilution or other similar rights. Other than the Common Shares, there are no other shares of any other class or series of capital shares of the Company issued or outstanding. The Company’s Articles and Notice of Articles, as amended and as in effect on the date hereof (collectively,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are included in the SEC Documents, and the Company shall not amend or otherwise modify the Articles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Except as disclosed in the Company’s SEC Documents, there are no legal or governmental actions, suits or other proceedings pending or, to the Knowledge of the Company, threatened against the Company or any of its subsidiaries, before or by any Governmental Entity, which actions, suits or proceedings, individually or in the aggregate, could reasonably be expected to (a) challenge this Agreement or prohibit or delay the transactions contemplated herein or (b) have a Material Adverse Effect. Neither the Company nor any of its subsidiaries, is a party to or subject to the provisions of any injunction, judgment, decree or order of any Governmental Entity that might have a Material Adverse Effect.</w:t>
      </w:r>
    </w:p>
    <w:p>
      <w:pPr>
        <w:spacing w:after="0" w:line="1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Governmental Consents</w:t>
      </w:r>
      <w:r>
        <w:rPr>
          <w:rFonts w:ascii="Times New Roman" w:cs="Times New Roman" w:eastAsia="Times New Roman" w:hAnsi="Times New Roman"/>
          <w:sz w:val="18"/>
          <w:szCs w:val="18"/>
          <w:color w:val="auto"/>
        </w:rPr>
        <w:t>. No consent, approval, order or authorization of, or registration, qualification, designation, declaration or filing with, any Governmental Entity or the Trading Market on the part of the Company is required in connection with the consummation of the transactions contemplated by this Agreement except for the filing of a Form D with the Commission under the Securities Act and compliance with the securities and blue sky laws in the states and other jurisdictions in which Common Shares are offered and/or sold, and applicable Canadian securities laws, if applicable, and filing of a Form 45-106F1 as required under National Instrument 45-106, which compliance will be effected by the Company in accordance with such laws.</w:t>
      </w:r>
    </w:p>
    <w:p>
      <w:pPr>
        <w:spacing w:after="0" w:line="39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No Default or Consents</w:t>
      </w:r>
      <w:r>
        <w:rPr>
          <w:rFonts w:ascii="Times New Roman" w:cs="Times New Roman" w:eastAsia="Times New Roman" w:hAnsi="Times New Roman"/>
          <w:sz w:val="18"/>
          <w:szCs w:val="18"/>
          <w:color w:val="auto"/>
        </w:rPr>
        <w:t>. Neither the Company nor any of its subsidiaries, is in violation or default under its organizational documents. Neither the execution, delivery or performance of this Agreement by the Company nor the consummation of any of the transactions contemplated hereby (including the issuance, sale and delivery by the Company of the Shares) will: (i)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any subsidiary pursuant to the terms of, any indenture, mortgage, deed of trust or other agreement or instrument to which the Company or any of its subsidiaries is a party or by which either or them or any of their respective properties or businesses are bound, or any franchise, license, permit, judgment, decree, order, statute, rule or regulation (including federal and state securities laws and regulations) and the rules and regulations, assuming the correctness of the representations and warranties made by the Purchasers herein, of any self-regulatory organization to which the Company or any of its subsidiaries or their securities are subject) applicable to the Company, or (ii) violate or conflict with any provision of the Articles, except in the case of clause (i) as would not cause, either individually or in the aggregate, a Material Adverse Effect, and except for such consents or waivers which have already been obtained and are in full force and effect.</w:t>
      </w:r>
    </w:p>
    <w:p>
      <w:pPr>
        <w:spacing w:after="0" w:line="19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Since December 31, 2021, except as specifically disclosed in the SEC Documents, there have been no events, occurrences or developments that have had or would reasonably be expected to have, either individually or in the aggregate, a Material Adverse Effect. Except for the transactions contemplated by this Agreement, no event, liability or development has occurred or exists with respect to the Company or any of its subsidiaries or their respective businesses, properties, operations or financial conditions that would be required to be disclosed by the Company under applicable securities laws at the Effective Date that has not been publicly disclosed at least one Trading Market trading day prior to the Effective Date.</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(other than the Placement Agent, as to which the Company makes no representation or warranty), has engaged in any form of general solicitation or general advertising (within the meaning of Regulation D promulgated under the Securities Act or under applicable Canadian securities laws) in connection with the offer or 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No Integrated Offering.</w:t>
      </w:r>
      <w:r>
        <w:rPr>
          <w:rFonts w:ascii="Times New Roman" w:cs="Times New Roman" w:eastAsia="Times New Roman" w:hAnsi="Times New Roman"/>
          <w:sz w:val="18"/>
          <w:szCs w:val="18"/>
          <w:color w:val="auto"/>
        </w:rPr>
        <w:t xml:space="preserve"> None of the Company or any of its affiliates, or any Person acting on their behalf has, directly or indirectly, made any offers or sales of any security or solicited any offers to buy any security, under circumstances that would require registration of any of the Shares under the Securities Act or cause this offering of the Shares to be integrated with prior offerings by the Company for purposes of the Securities Act or any applicable shareholder approval provisions, including under the rules and regulations of the Trading Market.</w:t>
      </w:r>
    </w:p>
    <w:p>
      <w:pPr>
        <w:spacing w:after="0" w:line="17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4.12</w:t>
        <w:tab/>
        <w:t>[</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To the Knowledge of the Company, the Company and its subsidiaries own, possess, license or have rights to use, on terms that the Company believes to be reasonable, all patents, patent applications, trademarks, trademark applications, service marks, trade names, copyrights, licenses, trade secrets, know-how and other similar rights that are necessary or material for use in connection with the businesses of the Company and its subsidiaries as described in the SEC Documents (collectively, the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Neither the Company nor any of its subsidiaries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and confidentiality of the Intellectual Property Rights (excluding any patents or patent applications that have or will become public), except where the failure to do so would not, individually or in the aggregate, have a Material Adverse Effect.</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The Company understands and confirms that the Purchasers will rely on the representations, warranties and covenants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effecting the transactions contemplated by this Agreement. To the Knowledge of the Company, all due diligence materials regarding the Company and its business and the transactions contemplated hereby (including the information referred to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hereof), furnished by or on behalf of the Company to the Purchasers upon their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misleading.</w:t>
      </w:r>
    </w:p>
    <w:p>
      <w:pPr>
        <w:spacing w:after="0" w:line="182"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b w:val="1"/>
          <w:bCs w:val="1"/>
          <w:color w:val="auto"/>
        </w:rPr>
        <w:t>Contracts.</w:t>
      </w:r>
    </w:p>
    <w:p>
      <w:pPr>
        <w:spacing w:after="0" w:line="229" w:lineRule="exact"/>
        <w:rPr>
          <w:sz w:val="20"/>
          <w:szCs w:val="20"/>
          <w:color w:val="auto"/>
        </w:rPr>
      </w:pPr>
    </w:p>
    <w:p>
      <w:pPr>
        <w:jc w:val="both"/>
        <w:ind w:firstLine="980"/>
        <w:spacing w:after="0" w:line="266" w:lineRule="auto"/>
        <w:tabs>
          <w:tab w:leader="none" w:pos="14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indenture, contract, lease, mortgage, deed of trust, note agreement, loan or other agreement or instrument of a character that is required to be described or summarized in the SEC Documents or to be filed as an exhibit to the SEC Documents under the Exchange Act and the rules and regulations promulgated thereunder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is so described, summarized or filed.</w:t>
      </w:r>
    </w:p>
    <w:p>
      <w:pPr>
        <w:spacing w:after="0" w:line="175" w:lineRule="exact"/>
        <w:rPr>
          <w:rFonts w:ascii="Times New Roman" w:cs="Times New Roman" w:eastAsia="Times New Roman" w:hAnsi="Times New Roman"/>
          <w:sz w:val="18"/>
          <w:szCs w:val="18"/>
          <w:color w:val="auto"/>
        </w:rPr>
      </w:pPr>
    </w:p>
    <w:p>
      <w:pPr>
        <w:jc w:val="both"/>
        <w:ind w:firstLine="980"/>
        <w:spacing w:after="0" w:line="253" w:lineRule="auto"/>
        <w:tabs>
          <w:tab w:leader="none" w:pos="13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Contracts to which the Company or any of its subsidiaries is a party have been duly and validly authorized, executed and delivered by the Company or such subsidiary and constitute the legal, valid and binding agreements of the Company or such subsidiary, enforceable by and against the Company and its subsidiaries in accordance with their respective terms, except as such enforceability may be limited by applicable bankruptcy, insolvency, reorganization or other similar laws relating to enforcement of creditors’ rights generally, and general equitable principles relating to the availability of remedies, except as rights to indemnity or contribution may be limited by federal or state securities laws. Neither the Company nor any of its subsidiaries nor, to the Knowledge of the Company, any third party has violated any provision of, or failed to perform any obligation required under the provisions of, any of the Material Contracts. Neither the Company nor any of its subsidiaries nor, to the Knowledge of the Company, any third party is in breach or default, or has received written notice of breach or default, of any of the Material Contracts. To the Knowledge of the Company, no event has occurred that, with notice or lapse of time or both, would constitute such a breach or default pursuant to any Material Contract by the Company or any of its subsidiaries, or, to the Knowledge of the Company, any other party thereto, and, as of the date of this Agreement, neither the Company nor any of its subsidiaries has received written notice of the foregoing or from the counterparty to any Material Contract (or, to the Knowledge of the Company, any of such counterparty's affiliates) regarding an intent to terminate, cancel, or modify any Material Contract (whether as a result of a change of control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firstLine="324"/>
        <w:spacing w:after="0" w:line="263"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Properties and Assets.</w:t>
      </w:r>
      <w:r>
        <w:rPr>
          <w:rFonts w:ascii="Times New Roman" w:cs="Times New Roman" w:eastAsia="Times New Roman" w:hAnsi="Times New Roman"/>
          <w:sz w:val="18"/>
          <w:szCs w:val="18"/>
          <w:color w:val="auto"/>
        </w:rPr>
        <w:t xml:space="preserve"> The Company and its subsidiaries have good and marketable title to all the properties and assets described as owned by them in the latest Financial Statements set forth in the SEC Documents, free and clear of all liens, mortgages, pledges or encumbrances of any kind except</w:t>
      </w:r>
    </w:p>
    <w:p>
      <w:pPr>
        <w:spacing w:after="0" w:line="1" w:lineRule="exact"/>
        <w:rPr>
          <w:sz w:val="20"/>
          <w:szCs w:val="20"/>
          <w:color w:val="auto"/>
        </w:rPr>
      </w:pPr>
    </w:p>
    <w:p>
      <w:pPr>
        <w:jc w:val="both"/>
        <w:ind w:firstLine="8"/>
        <w:spacing w:after="0" w:line="253" w:lineRule="auto"/>
        <w:tabs>
          <w:tab w:leader="none" w:pos="2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if any, reflected in such Financial Statements or (b) those that are not material in amount and do not adversely affect the use made of such property by the Company or any subsidiary. The Company and its subsidiaries hold their respective leased properties under valid and binding leases, except as would not have a Material Adverse Effect. The Company and its subsidiaries own or lease all such properties as are materially necessary to their respective operations as now conducted.</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Compliance and Regulatory</w:t>
      </w:r>
      <w:r>
        <w:rPr>
          <w:rFonts w:ascii="Times New Roman" w:cs="Times New Roman" w:eastAsia="Times New Roman" w:hAnsi="Times New Roman"/>
          <w:sz w:val="18"/>
          <w:szCs w:val="18"/>
          <w:color w:val="auto"/>
        </w:rPr>
        <w:t>. The Company and its subsidiaries are in compliance with all applicable laws, rules and regulations of the jurisdictions in which they are conducting their business, including all applicable local, state and federal environmental laws and regulations, or any applicable laws enforced by equivalent Governmental Entities outside the United States, except where failures to be so in compliance, individually or in the aggregate, would not reasonably be expected to have a Material Adverse Effect.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Company and its subsidiaries have filed on a timely basis (giving effect to extensions) all required federal, state and foreign income and franchise tax returns and have timely paid or accrued all taxes shown as due thereon, including interest and penalties, and to the Knowledge of the Company there is no tax deficiency that has been or might be asserted or threatened against it or them that could have a Material Adverse Effect. All tax liabilities accrued through the date hereof have been adequately provided for on the books of the Company. There are no liens for material taxes upon the assets of the Company or any of its subsidiaries other than for current taxes not yet due and payable or for taxes that are being contested in good faith by appropriate proceedings and for which adequate reserves in accordance with GAAP has been made in the Company's most recent financial statements included in the SEC Documents.</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The Company is not, and immediately after receipt of payment for the Shares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The Company maintains insurance underwritten by insurers of recognized financial responsibility, of the types and in the amounts that the Company reasonably believes is adequate for businesses of the Company and its subsidiaries, including directors’ and officers’ liability insurance and general and employer’s liability and all other risks customarily insured against and against such risks which the Company believes it is prudent to insure against, with such deductibles as are customary for companies in the same or similar business, all of which insurance is in full force and effect.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color w:val="auto"/>
        </w:rPr>
        <w:t>Price of Common Shares.</w:t>
      </w:r>
      <w:r>
        <w:rPr>
          <w:rFonts w:ascii="Times New Roman" w:cs="Times New Roman" w:eastAsia="Times New Roman" w:hAnsi="Times New Roman"/>
          <w:sz w:val="18"/>
          <w:szCs w:val="18"/>
          <w:color w:val="auto"/>
        </w:rPr>
        <w:t xml:space="preserve"> The Company has not taken, and will not take, directly or indirectly, any action designed to cause or result in, or that has constituted or that might reasonably be expected to constitute, the stabilization or manipulation of the price of the Common Shares to facilitate the sale or resale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Governmental Permits, Etc.</w:t>
      </w:r>
      <w:r>
        <w:rPr>
          <w:rFonts w:ascii="Times New Roman" w:cs="Times New Roman" w:eastAsia="Times New Roman" w:hAnsi="Times New Roman"/>
          <w:sz w:val="18"/>
          <w:szCs w:val="18"/>
          <w:color w:val="auto"/>
        </w:rPr>
        <w:t xml:space="preserve"> The Company and its subsidiaries have all franchises, licenses, permits, certificates and other authorizations from such Governmental Entity that are currently necessary for the operation of their respective businesses as currently conducted (collectively,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where the failure to possess such Permits would not reasonably be expected, individually or in the aggregate, to have a Material Adverse Effect. Neither the Company nor any of its subsidiaries has received any written notice requiring or threatening any revocation or modification of any such Permits, where such revocation or modification would reasonably be expected to have a Material Adverse Effect.</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xml:space="preserve"> The Company maintains internal control over financial reporting (as such term is defined in paragraph (f) of Rule 13a-15 under the Exchange Act) as required by Rule 13a-15 under the Exchange Act. To the Knowledge of the Company, since the end of the Company’s most recent audited fiscal year, there has been no material weakness in the design or operation of the Company’s internal control over financial reporting (whether or not remediated) which are reasonably likely to adversely affect the Company’s ability to record, process, summarize and report financial information.</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Foreign Corrupt Practices.</w:t>
      </w:r>
      <w:r>
        <w:rPr>
          <w:rFonts w:ascii="Times New Roman" w:cs="Times New Roman" w:eastAsia="Times New Roman" w:hAnsi="Times New Roman"/>
          <w:sz w:val="18"/>
          <w:szCs w:val="18"/>
          <w:color w:val="auto"/>
        </w:rPr>
        <w:t xml:space="preserve"> Neither the Company nor any of its subsidiaries nor, to the Knowledge of the Company, any director, officer, agent, employee or other Person acting on behalf of the Company or any of its subsidiaries, has, in the course of its actions for, or on behalf of, the Company or any subsidiary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Employee Relations.</w:t>
      </w:r>
      <w:r>
        <w:rPr>
          <w:rFonts w:ascii="Times New Roman" w:cs="Times New Roman" w:eastAsia="Times New Roman" w:hAnsi="Times New Roman"/>
          <w:sz w:val="18"/>
          <w:szCs w:val="18"/>
          <w:color w:val="auto"/>
        </w:rPr>
        <w:t xml:space="preserve"> No material labor dispute with the employees of the Company or any of its subsidiaries, or with the employees of any principal supplier, manufacturer, customer or contractor of the Company or any of its subsidiaries, exists or, to the Company’s Knowledge,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subject the Company to any material liability with respect to any of the foregoing matters.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The Company and its subsidiaries are in compliance in all material respects with all presently applicable provisions of the Employee Retirement Income Security Act of 1974, as amended, including the regulations and published interpretations thereunder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no “reportable event” (as defined in ERISA) has occurred with respect to any “pension plan” (as defined in ERISA) for which the Company or any subsidiary would have any material liability; the Company nor any of its subsidiaries has not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each “Pension Plan” for which the Company or any of its subsidiaries would have liability that is intended to be qualified under Section 401(a) of the Code is so qualified in all material respects and to the Knowledge of the Company, nothing has occurred, whether by action or by failure to act, which would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color w:val="auto"/>
        </w:rPr>
        <w:t>Registration Rights and Other Shareholder Agreements.</w:t>
      </w:r>
      <w:r>
        <w:rPr>
          <w:rFonts w:ascii="Times New Roman" w:cs="Times New Roman" w:eastAsia="Times New Roman" w:hAnsi="Times New Roman"/>
          <w:sz w:val="18"/>
          <w:szCs w:val="18"/>
          <w:color w:val="auto"/>
        </w:rPr>
        <w:t xml:space="preserve"> Except as provided in the SEC Documents, no Person has any right to cause the Company to effect the registration under the Securities Act covering the transfer of any securities of the Company and there are no other shareholder agreements, voting agreements or other similar agreements with respect to the Company’s capital shares to which the Company is a party or, to the Company’s Knowledge, between or among any of the Company’s shareholders.</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b w:val="1"/>
          <w:bCs w:val="1"/>
          <w:color w:val="auto"/>
        </w:rPr>
        <w:t>Trading Market Compliance.</w:t>
      </w:r>
      <w:r>
        <w:rPr>
          <w:rFonts w:ascii="Times New Roman" w:cs="Times New Roman" w:eastAsia="Times New Roman" w:hAnsi="Times New Roman"/>
          <w:sz w:val="18"/>
          <w:szCs w:val="18"/>
          <w:color w:val="auto"/>
        </w:rPr>
        <w:t xml:space="preserve"> The Company has not, in the previous twelve (12) months, received (i) written notice from the Trading Market that the Company is not in compliance with the listing or maintenance requirements of Trading Market that would result in immediate delisting or (ii) any notification, Staff Delisting Determination, or Public Reprimand Letter (as such terms are defined in applicable listing rules of the Trading Market) that requires a public announcement by the Company of any noncompliance or deficiency with respect to such listing or maintenance requirements. The Company is in compliance with all listing and maintenance requirements of the Trading Market on the date hereof.</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b w:val="1"/>
          <w:bCs w:val="1"/>
          <w:color w:val="auto"/>
        </w:rPr>
        <w:t>No “Bad Actor” Disqualification.</w:t>
      </w:r>
      <w:r>
        <w:rPr>
          <w:rFonts w:ascii="Times New Roman" w:cs="Times New Roman" w:eastAsia="Times New Roman" w:hAnsi="Times New Roman"/>
          <w:sz w:val="18"/>
          <w:szCs w:val="18"/>
          <w:color w:val="auto"/>
        </w:rPr>
        <w:t xml:space="preserve"> No “bad actor” disqualifying event described in Rule 506(d)(1)(i)-(viii) of the Securities Act (a “</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is applicable to the Company or, to the Knowledge of the Company, any Company Covered Person (as defined below), except for a Disqualification Event to which Rule 506(d)(2)(ii-iv) or (d)(3) is applicable. “</w:t>
      </w:r>
      <w:r>
        <w:rPr>
          <w:rFonts w:ascii="Times New Roman" w:cs="Times New Roman" w:eastAsia="Times New Roman" w:hAnsi="Times New Roman"/>
          <w:sz w:val="18"/>
          <w:szCs w:val="18"/>
          <w:b w:val="1"/>
          <w:bCs w:val="1"/>
          <w:i w:val="1"/>
          <w:iCs w:val="1"/>
          <w:color w:val="auto"/>
        </w:rPr>
        <w:t>Company Covered Person</w:t>
      </w:r>
      <w:r>
        <w:rPr>
          <w:rFonts w:ascii="Times New Roman" w:cs="Times New Roman" w:eastAsia="Times New Roman" w:hAnsi="Times New Roman"/>
          <w:sz w:val="18"/>
          <w:szCs w:val="18"/>
          <w:color w:val="auto"/>
        </w:rPr>
        <w:t>” means, with respect to the Company as an “issuer” for purposes of Rule 506 promulgated under the Securities Act, any person listed in the first paragraph of Rule 506(d)(1).</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None of the Company, any of its subsidiaries or, to the knowledge of the Company, any director, officer, agent, employee, affiliate or representative of the Company or any of its subsidiaries is Person, or is more than 50 percent owned in the aggregate by or acting on behalf of one or more Persons that are,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 directly or indirectly use the proceeds of the sale of the Shares, or lend, contribute or otherwise make available such proceeds to any subsidiaries, joint venture partners or other Person, to fund any activities of or business (i) with any Person, or in any country or territory, that, at the time of such funding, is a designated target of Sanctions, (ii) in or involving a country or territory which at the time of such funding is the subject of comprehensive country-wide or territory-wide Sanctions, or (iii) in any other manner that will result in a violation by any Person (including any Person participating in the transaction, whether as underwriter, advisor, investor or otherwise) of Sanctions.</w:t>
      </w:r>
    </w:p>
    <w:p>
      <w:pPr>
        <w:spacing w:after="0" w:line="1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Purchaser, severally and not jointly, represents and warrants to and covenant with the Company that:</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Risk.</w:t>
      </w:r>
      <w:r>
        <w:rPr>
          <w:rFonts w:ascii="Times New Roman" w:cs="Times New Roman" w:eastAsia="Times New Roman" w:hAnsi="Times New Roman"/>
          <w:sz w:val="18"/>
          <w:szCs w:val="18"/>
          <w:color w:val="auto"/>
        </w:rPr>
        <w:t xml:space="preserve"> Such Purchaser, taking into account the personnel and resources it can practically bring to bear on the purchase of the Shares contemplated hereby, is knowledgeable, sophisticated and experienced in making, and is qualified to make, decisions with respect to investments in securities presenting an investment decision like that involved in the purchase of the Shares, including investments in securities issued by the Company, and has requested, received, reviewed and considered all information the Purchasers know about and deem relevant (including the SEC Documents) in making an informed decision to purchase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xml:space="preserve"> Purchaser is acquiring the Shares pursuant to this Agreement for its own account for investment only and with no present intention of distributing any of such Shares or any arrangement or understanding with any other Persons regarding the distribution of such Shares, except in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Reliance.</w:t>
      </w:r>
      <w:r>
        <w:rPr>
          <w:rFonts w:ascii="Times New Roman" w:cs="Times New Roman" w:eastAsia="Times New Roman" w:hAnsi="Times New Roman"/>
          <w:sz w:val="18"/>
          <w:szCs w:val="18"/>
          <w:color w:val="auto"/>
        </w:rPr>
        <w:t xml:space="preserve"> Such Purchaser understands that the Shares are being offered and sold to it in reliance upon specific exemptions from the registration requirements of the Securities Act, the Rules and Regulations and state, provincial and territorial securities laws, as applicable,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Shares. If any of the representations deemed to have been made by it by its purchase of the Shares are no longer accurate prior to Closing, the Investor shall promptly notify the Company. If such Purchaser is acquiring the Shares as a fiduciary or agent for one or more investor accounts, it represents that it has sole investment discretion with respect to each such account and it has full power to make the foregoing representations, acknowledgements and agreements on behalf of such account.</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Compliance with the Securities Act</w:t>
      </w:r>
      <w:r>
        <w:rPr>
          <w:rFonts w:ascii="Times New Roman" w:cs="Times New Roman" w:eastAsia="Times New Roman" w:hAnsi="Times New Roman"/>
          <w:sz w:val="18"/>
          <w:szCs w:val="18"/>
          <w:color w:val="auto"/>
        </w:rPr>
        <w:t>. Such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applicable Canadian securities laws and the rules and regulations promulgated thereunder.</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xml:space="preserve"> Such Purchaser is an “accredited investor” within the meaning of (i) Rule 501 of Regulation D promulgated under the Securities Act or (ii) a Qualified Institutional Buyer within the meaning of Rule 144A promulgated under the Securities Act.</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Power and Authority.</w:t>
      </w:r>
      <w:r>
        <w:rPr>
          <w:rFonts w:ascii="Times New Roman" w:cs="Times New Roman" w:eastAsia="Times New Roman" w:hAnsi="Times New Roman"/>
          <w:sz w:val="18"/>
          <w:szCs w:val="18"/>
          <w:color w:val="auto"/>
        </w:rPr>
        <w:t xml:space="preserve"> Such Purchaser has all requisite corporate power, and has taken all requisite corporate action, to authorize, execute and deliver this Agreement and each of the other agreements and instruments contemplated herein to which the Purchaser is a party, to consummate the transactions contemplated herein and therein and to carry out and perform all of such Purchaser’s obligations hereunder and thereunder. Upon the execution and delivery of this Agreement, this Agreement shall constitute a valid and binding obligation of such Purchaser, enforceable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Broker Dealer.</w:t>
      </w:r>
      <w:r>
        <w:rPr>
          <w:rFonts w:ascii="Times New Roman" w:cs="Times New Roman" w:eastAsia="Times New Roman" w:hAnsi="Times New Roman"/>
          <w:sz w:val="18"/>
          <w:szCs w:val="18"/>
          <w:color w:val="auto"/>
        </w:rPr>
        <w:t xml:space="preserve"> Such Purchaser is not a broker or dealer registered pursuant to Section 15 of the Exchange Act (a “</w:t>
      </w:r>
      <w:r>
        <w:rPr>
          <w:rFonts w:ascii="Times New Roman" w:cs="Times New Roman" w:eastAsia="Times New Roman" w:hAnsi="Times New Roman"/>
          <w:sz w:val="18"/>
          <w:szCs w:val="18"/>
          <w:b w:val="1"/>
          <w:bCs w:val="1"/>
          <w:i w:val="1"/>
          <w:iCs w:val="1"/>
          <w:color w:val="auto"/>
        </w:rPr>
        <w:t>Registered Broker Dealer</w:t>
      </w:r>
      <w:r>
        <w:rPr>
          <w:rFonts w:ascii="Times New Roman" w:cs="Times New Roman" w:eastAsia="Times New Roman" w:hAnsi="Times New Roman"/>
          <w:sz w:val="18"/>
          <w:szCs w:val="18"/>
          <w:color w:val="auto"/>
        </w:rPr>
        <w:t>”) and is not an affiliate of a Registered Broker Dealer.</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Sophisticated Investor</w:t>
      </w:r>
      <w:r>
        <w:rPr>
          <w:rFonts w:ascii="Times New Roman" w:cs="Times New Roman" w:eastAsia="Times New Roman" w:hAnsi="Times New Roman"/>
          <w:sz w:val="18"/>
          <w:szCs w:val="18"/>
          <w:color w:val="auto"/>
        </w:rPr>
        <w:t>. Such Purchaser acknowledges that it is a sophisticated investor engaged in the business of assessing and assuming investment risks with respect to securities, including securities such as the Shares, and further acknowledges that the Company is entering into this Agreement in reliance on this acknowledgment and such Purchaser’s understanding, acknowledgment and agreement that the Company has disclosed certain confidential matters to such Purchaser as part of its due diligence review that may represent material, non-public information of the Company. Such Purchaser further acknowledges that it is aware of the restrictions imposed by United States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 Such Purchaser hereby waives any claim, or potential claim, it has or may have against the Company relating to the Company’s confidential disclosure, and the Purchaser’s receipt and possession,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Other Securities Transactions.</w:t>
      </w:r>
      <w:r>
        <w:rPr>
          <w:rFonts w:ascii="Times New Roman" w:cs="Times New Roman" w:eastAsia="Times New Roman" w:hAnsi="Times New Roman"/>
          <w:sz w:val="18"/>
          <w:szCs w:val="18"/>
          <w:color w:val="auto"/>
        </w:rPr>
        <w:t xml:space="preserve"> Such Purchaser has not, either directly or indirectly through an affiliate, agent or representative of the Company, engaged in any transaction in the securities of the Company other than with respect to the transactions contemplated herein, since the time that the Purchaser was first contacted by the Company or any other Person regarding the transactions contemplated hereby until the date hereof, except as set forth in filings made with the Commission pursuant to the Exchange Act.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Independent Advice.</w:t>
      </w:r>
      <w:r>
        <w:rPr>
          <w:rFonts w:ascii="Times New Roman" w:cs="Times New Roman" w:eastAsia="Times New Roman" w:hAnsi="Times New Roman"/>
          <w:sz w:val="18"/>
          <w:szCs w:val="18"/>
          <w:color w:val="auto"/>
        </w:rPr>
        <w:t xml:space="preserve"> Such Purchaser understands that nothing in this Agreement or any other materials presented to such Purchaser in connection with the purchase and sale of the Shares constitutes legal, tax or investment advice. Such Purchaser has consulted such legal, tax and investment advisors as it, in its sole discretion, has deemed necessary or appropriate in connection with its purchase of the Shares.</w:t>
      </w:r>
    </w:p>
    <w:p>
      <w:pPr>
        <w:spacing w:after="0" w:line="171"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b w:val="1"/>
          <w:bCs w:val="1"/>
          <w:color w:val="auto"/>
        </w:rPr>
        <w:t xml:space="preserve">Legends. </w:t>
      </w:r>
      <w:r>
        <w:rPr>
          <w:rFonts w:ascii="Times New Roman" w:cs="Times New Roman" w:eastAsia="Times New Roman" w:hAnsi="Times New Roman"/>
          <w:sz w:val="18"/>
          <w:szCs w:val="18"/>
          <w:color w:val="auto"/>
        </w:rPr>
        <w:t>Such Purchaser understands that, until such time as the Shares may be sold pursuant to Rule 144, any certificates representing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whether maintained in a book entry system or otherwise, will bear one or more legends in substantially the following form and substance:</w:t>
      </w:r>
    </w:p>
    <w:p>
      <w:pPr>
        <w:spacing w:after="0" w:line="207" w:lineRule="exact"/>
        <w:rPr>
          <w:sz w:val="20"/>
          <w:szCs w:val="20"/>
          <w:color w:val="auto"/>
        </w:rPr>
      </w:pPr>
    </w:p>
    <w:p>
      <w:pPr>
        <w:jc w:val="both"/>
        <w:ind w:left="980" w:right="640"/>
        <w:spacing w:after="0" w:line="253" w:lineRule="auto"/>
        <w:rPr>
          <w:sz w:val="20"/>
          <w:szCs w:val="20"/>
          <w:color w:val="auto"/>
        </w:rPr>
      </w:pPr>
      <w:r>
        <w:rPr>
          <w:rFonts w:ascii="Times New Roman" w:cs="Times New Roman" w:eastAsia="Times New Roman" w:hAnsi="Times New Roman"/>
          <w:sz w:val="18"/>
          <w:szCs w:val="18"/>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Purchaser or each beneficial purchaser, if any, for whom it is acting as trustee or agent, is resident in any province or territory of Canada, the Shares are subject to a hold period under applicable Canadian securities laws and may not be traded until the expiry of such hold period except as permitted by applicable securities legislation and such Purchaser understands any certificates representing the Shares, whether maintained in a book entry system or otherwise, will bear one or more legends in substantially the following form and substance (and in the event that no physical certificates are issued, the below constitutes written notice of the legend restriction under applicable Canadian securities laws ) until such time as no longer required by applicable law:</w:t>
      </w:r>
    </w:p>
    <w:p>
      <w:pPr>
        <w:spacing w:after="0" w:line="187" w:lineRule="exact"/>
        <w:rPr>
          <w:sz w:val="20"/>
          <w:szCs w:val="20"/>
          <w:color w:val="auto"/>
        </w:rPr>
      </w:pPr>
    </w:p>
    <w:p>
      <w:pPr>
        <w:jc w:val="both"/>
        <w:ind w:left="980" w:right="660"/>
        <w:spacing w:after="0" w:line="266" w:lineRule="auto"/>
        <w:rPr>
          <w:sz w:val="20"/>
          <w:szCs w:val="20"/>
          <w:color w:val="auto"/>
        </w:rPr>
      </w:pPr>
      <w:r>
        <w:rPr>
          <w:rFonts w:ascii="Times New Roman" w:cs="Times New Roman" w:eastAsia="Times New Roman" w:hAnsi="Times New Roman"/>
          <w:sz w:val="18"/>
          <w:szCs w:val="18"/>
          <w:color w:val="auto"/>
        </w:rPr>
        <w:t>“UNLESS PERMITTED UNDER SECURITIES LEGISLATION, THE HOLDER OF THIS SECURITY MUST NOT TRADE THE SECURITY BEFORE THE DATE THAT IS 4 MONTHS AND A DAY AFTER THE LATER OF (I) AUGUST ___, 2022, AND (II) THE DATE THE ISSUER BECAME A REPORTING ISSUER IN ANY PROVINCE OR TERRITORY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any share certificates, whether maintained in a book entry system or otherwise, representing the Shares may contain any legend required by the blue sky laws of any state or applicable Canadian securities laws to the extent such laws are applicable to the sale of such Shares hereunder. The Company shall use its commercially reasonable efforts to help facilitate the removal of such legend upon the earlier of (i) such time when it is legally permitted to do so under Rule 144 or applicable Canadian securities laws, or to facilitate any transfer of the Shares under Rule 144 or applicable Canadian securities laws that may be requested by Purchasers and (ii) following such time that the Commission declares the Registration Statement (as defined below) covering the Shares effective, but in any event, shall not be obligated to incur any material costs or expenses in making such efforts other than as set forth herein.</w:t>
      </w:r>
    </w:p>
    <w:p>
      <w:pPr>
        <w:spacing w:after="0" w:line="18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Company shall, at its sole expense, upon appropriate notice from any Purchaser stating that Registrable Securities (as defined below) have been sold pursuant to an effective Registration Statement (as defined below) or upon notice from the Commission that the Registration Statement (as defined below) covering the resale of the Shares has been declared effective, cause its transfer agent to timely prepare and deliver certificates or book-entry shares representing the Shares to be delivered to a transferee pursuant to the Registration Statement, which certificates or book-entry shares shall be free of any restrictive legends and in such denominations and registered in such names as such Purchaser may request. Further, the Company shall, at its sole expense, cause its legal counsel or other counsel satisfactory to the transfer agent: (i) while the Registration Statement is effective, to issue to the transfer agent a “blanket” legal opinion to allow sales without restriction pursuant to the effective Registration Statement, and (ii) provide all other opinions as may reasonably be required by the transfer agent in connection with the removal of legends (other than any legends required by applicable Canadian securities laws). A Purchaser may request that the Company remove, and the Company agrees to authorize the removal of, any legend from such Shares (other than any legends required by applicable Canadian securities laws), following the delivery by a Purchaser to the Company or the Company’s transfer agent of a legended certificate representing such Shares: (i) following any sale of such Shares pursuant to Rule 144 or (ii) if such Shares are eligible for sale under Rule 144(b)(1). If a legend removal request is made pursuant to the foregoing, the Company will, no later than two business days following the delivery by a Purchaser to the Company or the Company’s transfer agent of a legended certificate representing such Shares (or a request for legend removal, in the case of Shares issued in book-entry form), deliver or cause to be delivered to such Purchaser a certificate representing such Shares that is free from all restrictive legends or an equivalent book-entry position (other than any legends required by applicable Canadian securities laws), as requested by the Purchaser. Certificates for Shares free from all restrictive legends may be transmitted by the Company’s transfer agent to the Purchasers by crediting the account of the Purchaser’s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as directed by such Purchaser. The Company warrants that the Shares shall otherwise be freely transferable on the books and records of the Company as and to the extent provided in this Agreement. If a Purchaser effects a transfer of the Shares in accordance with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hereby agrees that the removal of the restrictive legend pursuant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is predicated upon the Company’s reliance that such Purchaser will sell any such Shares pursuant to either the registration requirements of the Securities Act, including any applicable prospectus delivery requirements, or an exemption therefrom and such Purchaser shall deliver a certificate reasonably satisfactory to the Company to the foregoing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Such Purchaser understands that the Shares are characterized as “restricted securities” under the United States federal securities laws inasmuch as they are being acquired from the Company in a transaction not involving a public offering and that under such laws and applicable regulations such Shares may be resold without registration under the Securities Act only in certain limited circumstances. Accordingly, such Purchaser represents that it is familiar with Rule 144 of the Securities Act, as presently in effect, and understands the resale limitations imposed thereby and by the Securities Act Such Purchase also understands that the Company was formerly a shell company and as of the date of this Agreement, Rule 144 is not available for the resale of Shares until such time as certain conditions are met, including at least one year having elapsed from the time that the Company filed current Form 10 type information with the Commission reflecting its status as an entity that is not a shell company.</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Anti-Money Laundering.</w:t>
      </w:r>
      <w:r>
        <w:rPr>
          <w:rFonts w:ascii="Times New Roman" w:cs="Times New Roman" w:eastAsia="Times New Roman" w:hAnsi="Times New Roman"/>
          <w:sz w:val="18"/>
          <w:szCs w:val="18"/>
          <w:color w:val="auto"/>
        </w:rPr>
        <w:t xml:space="preserve"> The funds used to purchase the Shares which will be advanced by the Purchaser to the Company hereunder will not represent proceeds of crime for the purposes of the Criminal Code (Canada) or the Proceeds of Crime (Money Laundering) and Terrorist Financing Act (Canada) (collectively, “Anti-Money Laundering Laws”) and the Purchaser acknowledges that the Company may in the future be required by law to disclose the Purchaser’s name and other information relating to this Agreement and the Purchaser’s subscription hereunder, on a confidential basis, pursuant to the Anti-Money Laundering Laws and the legislation, regulations or instruments enacting Canadian Economic Sanctions (as defined below). The Purchaser is not a person or entity identified on a list established under any Anti-Money Laundering Law (including, without limitation, Section 83.05 of the Criminal Code (Canada)) and the Purchaser is not a person or entity identified in the legislation or regulations enacting any economic or financial sanctions, laws, regulations, embargoes, or restrictive measures imposed, administered or enforced by Canada, including but not limited to, the provisions of the United Nations Act (Canada), the Special Economic Measures Act (Canada) or any other economic sanctions laws administered by applicable Canadian regulatory authorities (collectively, “Canadian Economic Sanctions”). To the best of its, his or her knowledge, none of the subscription funds to be provided by the Purchaser: (i) have been or will be derived from or related to any activity that is deemed criminal under the laws of Canada, the United States, or any other jurisdiction; or (ii) are being tendered on behalf of a person or entity who has not been identified to the Purchaser, and the Purchaser will promptly notify the Company if the Purchaser discovers that any of such representations cease to be true and provide the Company with appropriate information in connection therewith; none of the funds the Purchaser is using to purchase the Shares are, to the knowledge of the Purchaser, proceeds obtained or delivered, directly or indirectly, as a result of illegal activities.</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REGISTRATION OF THE SHARES AND COMPLIANCE WITH THE SECURITIES ACT.</w:t>
      </w:r>
    </w:p>
    <w:p>
      <w:pPr>
        <w:spacing w:after="0" w:line="225"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Registration Procedures and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0"/>
        <w:spacing w:after="0" w:line="254" w:lineRule="auto"/>
        <w:tabs>
          <w:tab w:leader="none" w:pos="13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Piggyback Rights</w:t>
      </w:r>
      <w:r>
        <w:rPr>
          <w:rFonts w:ascii="Times New Roman" w:cs="Times New Roman" w:eastAsia="Times New Roman" w:hAnsi="Times New Roman"/>
          <w:sz w:val="18"/>
          <w:szCs w:val="18"/>
          <w:color w:val="auto"/>
        </w:rPr>
        <w:t>. In the event that the Company, in its sole discretion, shall determine to prepare and file a registration statement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S-3, or any other appropriate form on which the Shares may be registered for resale (each of the Shares, together with any capital shares issued or issuable, from time to time, upon any reclassification, share combination, share subdivision, share split, share dividend or similar transaction or event or otherwise as a distribution on, in exchange for or with respect to any of the foregoing, in each case held at the relevant time by a Purchaser, the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by the Purchasers, whether or not on a continuous basis pursuant to Rule 415 under the Securities Act, which such registration statement may include shares that may be offered by the Company, which for avoidance of doubt shall not include any pre- or post-effective amendment to a registration statement filed with the Commission as of the date hereof (the “</w:t>
      </w:r>
      <w:r>
        <w:rPr>
          <w:rFonts w:ascii="Times New Roman" w:cs="Times New Roman" w:eastAsia="Times New Roman" w:hAnsi="Times New Roman"/>
          <w:sz w:val="18"/>
          <w:szCs w:val="18"/>
          <w:b w:val="1"/>
          <w:bCs w:val="1"/>
          <w:i w:val="1"/>
          <w:iCs w:val="1"/>
          <w:color w:val="auto"/>
        </w:rPr>
        <w:t>Subsequent Registration Statement</w:t>
      </w:r>
      <w:r>
        <w:rPr>
          <w:rFonts w:ascii="Times New Roman" w:cs="Times New Roman" w:eastAsia="Times New Roman" w:hAnsi="Times New Roman"/>
          <w:sz w:val="18"/>
          <w:szCs w:val="18"/>
          <w:color w:val="auto"/>
        </w:rPr>
        <w:t>”), and has not previously filed a Secondary Registration Statement (as defined below), the Company shall: (i) notify each Purchaser of such determination; and (ii) if, within ten (10) days after receipt of such notice, any Purchaser requests in writing to include all or any part of its Registrable Securities in such Subsequent Registration Statement, include the Registrable Securities as so requested by the applicable Purchaser. Notwithstanding the foregoing and for avoidance of doubt, the Company may, but shall not be required to, file a Subsequent Registration Statement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left="-8" w:firstLine="980"/>
        <w:spacing w:after="0" w:line="259" w:lineRule="auto"/>
        <w:tabs>
          <w:tab w:leader="none" w:pos="13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Secondary Registration Statement. </w:t>
      </w:r>
      <w:r>
        <w:rPr>
          <w:rFonts w:ascii="Times New Roman" w:cs="Times New Roman" w:eastAsia="Times New Roman" w:hAnsi="Times New Roman"/>
          <w:sz w:val="18"/>
          <w:szCs w:val="18"/>
          <w:color w:val="auto"/>
        </w:rPr>
        <w:t>If the Company has not previously filed a Subsequent Registration Statement,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September 16, 2022 (the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use its commercially reasonable efforts to prepare and file with the Commission a Registration Statement on Form S-1 or S-3, as appropriate (the “</w:t>
      </w:r>
      <w:r>
        <w:rPr>
          <w:rFonts w:ascii="Times New Roman" w:cs="Times New Roman" w:eastAsia="Times New Roman" w:hAnsi="Times New Roman"/>
          <w:sz w:val="18"/>
          <w:szCs w:val="18"/>
          <w:b w:val="1"/>
          <w:bCs w:val="1"/>
          <w:i w:val="1"/>
          <w:iCs w:val="1"/>
          <w:color w:val="auto"/>
        </w:rPr>
        <w:t>Secondary Registration Statement</w:t>
      </w:r>
      <w:r>
        <w:rPr>
          <w:rFonts w:ascii="Times New Roman" w:cs="Times New Roman" w:eastAsia="Times New Roman" w:hAnsi="Times New Roman"/>
          <w:sz w:val="18"/>
          <w:szCs w:val="18"/>
          <w:color w:val="auto"/>
        </w:rPr>
        <w:t>”; where used hereafter,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either a Subsequent Registration Statement which includes the Registrable Securities, or the Secondary Registration Statement, as applicable), relating to and providing for the resale of the Shares by the Purchasers on a continuous basis pursuant to Rule 415 under the Securities Act.</w:t>
      </w:r>
    </w:p>
    <w:p>
      <w:pPr>
        <w:spacing w:after="0" w:line="183" w:lineRule="exact"/>
        <w:rPr>
          <w:rFonts w:ascii="Times New Roman" w:cs="Times New Roman" w:eastAsia="Times New Roman" w:hAnsi="Times New Roman"/>
          <w:sz w:val="18"/>
          <w:szCs w:val="18"/>
          <w:color w:val="auto"/>
        </w:rPr>
      </w:pPr>
    </w:p>
    <w:p>
      <w:pPr>
        <w:jc w:val="both"/>
        <w:ind w:left="-8" w:firstLine="980"/>
        <w:spacing w:after="0" w:line="261" w:lineRule="auto"/>
        <w:tabs>
          <w:tab w:leader="none" w:pos="13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subject to receipt of necessary information from the Purchasers, to cause the Commission to declare a Registration Statement covering the Shares effective as soon as practicable after the date of the filing thereof and in any event no later than sixty (60) days after such filing if the Registration Statement and no later than ninety (90) days after such filing if such Registration Statement is reviewed by the Commission (in either case, such date,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8" w:firstLine="980"/>
        <w:spacing w:after="0" w:line="258" w:lineRule="auto"/>
        <w:tabs>
          <w:tab w:leader="none" w:pos="14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prepare and file with the Commission such amendments and supplements to the Registration Statement and the prospectus used in connection therewith as may be necessary to keep the Registration Statement effective until the earliest of (i) the third anniversary of the effective date of the Registration Statement, (ii) such time as all of the Shares purchased by the Purchasers pursuant to the terms of this Agreement have been sold pursuant to the Registration Statement, or (iii) such time as the Shares become eligible for resale by non-affiliates without any volume limitations or other restrictions pursuant to Rule 144(b)(1)(i) under the Securities Act or any other rule of similar effect.</w:t>
      </w:r>
    </w:p>
    <w:p>
      <w:pPr>
        <w:spacing w:after="0" w:line="183" w:lineRule="exact"/>
        <w:rPr>
          <w:rFonts w:ascii="Times New Roman" w:cs="Times New Roman" w:eastAsia="Times New Roman" w:hAnsi="Times New Roman"/>
          <w:sz w:val="18"/>
          <w:szCs w:val="18"/>
          <w:color w:val="auto"/>
        </w:rPr>
      </w:pPr>
    </w:p>
    <w:p>
      <w:pPr>
        <w:jc w:val="both"/>
        <w:ind w:left="-8" w:firstLine="980"/>
        <w:spacing w:after="0" w:line="252" w:lineRule="auto"/>
        <w:tabs>
          <w:tab w:leader="none" w:pos="136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obligations, the Company may, upon written notice to the Purchasers, which notice shall not contain any information that is or the Company reasonably believes is material non-public information, for a reasonable period of time, not to exceed forty-five (45) days in the case of clauses (A) and (B) below, or thirty (30) days in the case of clause (C) below (each, a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color w:val="auto"/>
        </w:rPr>
        <w:t>”), delay the filing of a Secondary Registration Statement or a request for acceleration of the effective date, or suspend the effectiveness of any Registration Statement, in the event that (A) the Company is engaged in any activity or transaction or preparations or negotiations for any activity or transaction that the Company desires to keep confidential for business reasons, if the Company determines in good faith that the public disclosure requirements imposed on the Company under the Securities Act in connection with the Registration Statement would require at that time disclosure of such activity, transaction, preparations or negotiations and such disclosure could result in material harm to the Company or its business transactions or activities, (B) the Company does not yet have appropriate financial statements of any acquired or to be acquired entities necessary for filing, or (C) any other event occurs that makes any statement of a material fact made in such Registration Statement, including any document incorporated by reference therein, untrue or that requires the making of any additions or changes in the Registration Statement in order to make the statements therein not misleading; provided, however, that in the case of a Blackout Period pursuant to clause (A) above, the Blackout Period shall terminate upon the earlier of (i) such forty-five (45) day or thirty (30) day period, as applicable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completion, resolution or public announcement of the relevant transaction or event. If the Company suspends the effectiveness of a Registration Statement pursuant to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the Company shall, as promptly as reasonably practicable following the termination of the circumstance which entitled the Company to do so, take such actions as may be necessary to reinstate the effectiveness of such Registration Statement and give written notice to the Purchasers authorizing the Purchasers to resume offerings and sales pursuant to such Registration Statement. If as a result thereof the prospectus included in such Registration Statement has been amended or supplemented to comply with the requirements of the Securities Act, the Company shall enclose such revised prospectus with the notice to Investor given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Company shall be entitled to exercise its rights under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not more than once in any six (6) month period; provided, however, that the aggregate number of days of all Blackout Periods hereunder shall not exceed seventy-five (75) days in any twelve (12) month period. After the expiration of any Blackout Period and without further request from the Investor, the Company shall effect the filing (or if required amendment or supplement) of the Registration Statement, or the filing of other documents, as necessary to allow the Investor to resell the Registrable Securities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4" w:name="page45"/>
    <w:bookmarkEnd w:id="44"/>
    <w:p>
      <w:pPr>
        <w:jc w:val="both"/>
        <w:ind w:firstLine="980"/>
        <w:spacing w:after="0" w:line="266" w:lineRule="auto"/>
        <w:tabs>
          <w:tab w:leader="none" w:pos="131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Purchasers with respect to the Shares registered under any Registration Statement (and to each underwriter, if any, of such Shares) such number of copies of prospectuses and such other documents as the Purchaser may reasonably request, in order to facilitate the public sale or other disposition of all or any of the Shares by the Purchaser.</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4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bear all expenses in connection with the procedures in paragraphs (a) through (f)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registration of the Shares pursuant to the Registration Statement, other than fees and expenses, if any, of counsel or other advisers to the Purchasers or underwriting discounts, brokerage fees and commissions incurred by the Purchaser, if any in connection with the offering of the Shares pursuant to the Registration Statement.</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4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enable the Purchasers to sell the Shares under Rule 144 to the Securities Act, the Company shall use its commercially reasonable efforts to comply with the requirements of Rule 144, including without limitation, use its commercially reasonable efforts to comply with the requirements of Rule 144(c)(1) with respect to public information about the Company and to timely file all reports required to be filed by the Company under the Exchange Act.</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3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Purchasers an opportunity to review and comment on all disclosures regarding the Purchasers and any plan of distribution proposed by them in connection with the preparation of any Registration Statement. Notwithstanding anything to the contrary contained herein, in no event shall the Company be permitted to name any Purchaser or affiliate of a Purchaser as an “underwriter” without the prior written consent of such Purchaser.</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Each Purchaser agrees that it will not effect any disposition of the Shares that would constitute a sale within the meaning of the Securities Act or pursuant to any applicable state securities laws, unless and until (1) there is then in effect a registration statement under the Securities Act covering such proposed disposition and such disposition is made in accordance with such registration statement or (2) such disposition is otherwise permitted by law, including pursuant to the procedures set forth in Rule 144 under the Securities Act. Notwithstanding the preceding sentence, no restriction shall apply to a transfer by a Purchaser that is a partnership transferring to its partners or former partners in accordance with partnership interests.</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b w:val="1"/>
          <w:bCs w:val="1"/>
          <w:i w:val="1"/>
          <w:iCs w:val="1"/>
          <w:color w:val="auto"/>
        </w:rPr>
        <w:t>Purchaser/Affiliate</w:t>
      </w:r>
      <w:r>
        <w:rPr>
          <w:rFonts w:ascii="Times New Roman" w:cs="Times New Roman" w:eastAsia="Times New Roman" w:hAnsi="Times New Roman"/>
          <w:sz w:val="18"/>
          <w:szCs w:val="18"/>
          <w:color w:val="auto"/>
        </w:rPr>
        <w:t>” shall mean any affiliate of the Purchaser, including, without limitation, any general partner or managing member of the Purchaser, any investment adviser of the Purchaser, or any transferee who is an affiliate of the Purchaser, and any person who controls the Purchaser or any affiliate of the Purchaser within the meaning of Section 15 of the Securities Act or Section 20 of the Exchange Act; and (ii) the term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include any preliminary prospectus, final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free writing prospectus, exhibit, supplement or amendment included in or relating to, and any document incorporated by reference in, the Registration Statement referred to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left="-980" w:firstLine="980"/>
        <w:spacing w:after="0" w:line="251" w:lineRule="auto"/>
        <w:tabs>
          <w:tab w:leader="none" w:pos="3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Purchasers and each Purchaser/Affiliate, against any losses, claims, damages, liabilities or expenses, joint or several, that such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as amended at the time of effectiveness of the Registration Statement, including any information deemed to be a part thereof as of the time of effectiveness pursuant to paragraph (b) of Rule 430A, or pursuant to Rules 430B, 430C or 434, of the Rules and Regulations, or the Prospectus, in the form first filed with the Commission pursuant to Rule 424(b) of the Regulations,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or (ii) arise out of or are based in whole or in part on any inaccuracy in the representations or warranties of the Company contained in this Agreement, breach of any covenant of the Company contained in this Agreement or any failure of the Company to perform its other obligations hereunder or under law, and will promptly reimburse each Purchaser and each Purchaser/Affiliate for any legal and other out-of-pocket expenses as such expenses are reasonably incurred and documented by such Purchaser or such Purchaser/Affiliate in connection with investigating, defending or preparing to defend, settling, compromising or paying any such loss, claim, damage, liability, expense or action; provided, however, that the Company will not be liable for amounts paid in settlement of any such loss, claim, damage, liability or action if such settlement is effected without the written consent of the Company, which consent shall not be unreasonably withheld or delayed, and the Company will not be liable in any such case to the extent that any such loss, claim, damage, liability or expense arises out of or is based upon (i) the gross negligence or willful misconduct of such Purchaser, or (ii) an untrue statement or alleged untrue statement or omission or alleged omission made in the Registration Statement, the Prospectus or any amendment or supplement thereto in reliance upon and in conformity with written information furnished to the Company by or on behalf of the Purchaser expressly for use therein, or (iii) the inaccuracy of any representation or warranty made by such Purchaser herein or (iv) any statement or omission in any Prospectus that is corrected in any subsequent Prospectus that was delivered to the Purchaser prior to the pertinent sale or sales by the Purchaser. Any such indemnified Purchaser shall return all payments made hereunder if it is determined, by a final, non-appealable judgment by a court or arbitral tribunal, that the losses for which such payments were made resulted from such Indemnified Person’s gross negligence or willful misconduct.</w:t>
      </w:r>
    </w:p>
    <w:p>
      <w:pPr>
        <w:spacing w:after="0" w:line="203" w:lineRule="exact"/>
        <w:rPr>
          <w:rFonts w:ascii="Times New Roman" w:cs="Times New Roman" w:eastAsia="Times New Roman" w:hAnsi="Times New Roman"/>
          <w:sz w:val="18"/>
          <w:szCs w:val="18"/>
          <w:color w:val="auto"/>
        </w:rPr>
      </w:pPr>
    </w:p>
    <w:p>
      <w:pPr>
        <w:jc w:val="both"/>
        <w:ind w:left="-980" w:firstLine="980"/>
        <w:spacing w:after="0" w:line="252" w:lineRule="auto"/>
        <w:tabs>
          <w:tab w:leader="none" w:pos="4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will severally, but not jointly, indemnify and hold harmless the Company, each of its directors, each of its officers who signed the Registration Statement and each person, if any, who controls the Company within the meaning of Section 15 of the Securities Act or Section 20 of the Exchange Act, against any losses, claims, damages, liabilities or expenses that the Company, each of its directors, each of its officers who signed the Registration Statement or controlling person incurs, under the Securities Act, the Exchange Act, or any other federal or state statutory law or regulation, or at common law or otherwise (including in settlement of any litigation, but only if such settlement is effected with the written consent of such Purchaser) insofar as such losses, claims, damages, liabilities or expenses (or actions in respect thereof as contemplated below) arise out of or are based upon (i) any failure to comply with the covenants and agreements contained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respecting the sale of the Shares or (ii) the inaccuracy of any representation or warranty made by such Purchaser herein or (iii)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expressly for use therein; and will reimburse the Company, each of its directors, each of its officers who signed the Registration Statement or controlling person for any legal and other expense reasonably incurred by the Company, each of its directors, each of its officers who signed the Registration Statement or controlling person in connection with investigating, defending, settling, compromising or paying any such loss, claim, damage, liability, expense or action; provided, however, that (i) each Purchaser’s aggregate liability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exceed the amount of net proceeds received by such Purchaser on the sale of the Shares pursuant to the Registration Statement and (ii) the Purchasers will not be liable for amounts paid in settlement of any such loss, claim, damage, liability or action if such settlement is effected without the written consent of such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423545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46" w:name="page47"/>
    <w:bookmarkEnd w:id="46"/>
    <w:p>
      <w:pPr>
        <w:jc w:val="both"/>
        <w:ind w:left="-980" w:firstLine="980"/>
        <w:spacing w:after="0" w:line="251" w:lineRule="auto"/>
        <w:tabs>
          <w:tab w:leader="none" w:pos="4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notice of the threat or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unless such settlement includes an unconditional release of such indemnified party from all liability on claims that are the subject matter of such proceeding.</w:t>
      </w:r>
    </w:p>
    <w:p>
      <w:pPr>
        <w:spacing w:after="0" w:line="204" w:lineRule="exact"/>
        <w:rPr>
          <w:rFonts w:ascii="Times New Roman" w:cs="Times New Roman" w:eastAsia="Times New Roman" w:hAnsi="Times New Roman"/>
          <w:sz w:val="18"/>
          <w:szCs w:val="18"/>
          <w:color w:val="auto"/>
        </w:rPr>
      </w:pPr>
    </w:p>
    <w:p>
      <w:pPr>
        <w:jc w:val="both"/>
        <w:ind w:left="-980" w:firstLine="980"/>
        <w:spacing w:after="0" w:line="251" w:lineRule="auto"/>
        <w:tabs>
          <w:tab w:leader="none" w:pos="3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is required by its terms but is for any reason held to be unavailable to or otherwise insufficient to hold harmless an indemnified party under paragraphs (a), (b) or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private placement of Shares hereunder or (ii) if the allocation provided by clause (i) 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each Purchaser on the other shall be deemed to be in the same proportion as the amount paid by such Purchaser to the Company pursuant to this Agreement for the Shares purchased by such Purchaser that were sold pursuant to the Registration Statement bears to the difference between the amount such Purchaser paid for the Shares that were sold pursuant to the Registration Statement and the amount received by such Purchaser from such sale. The relative fault of the Company on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the notice of the threat or commencement of any threat or action shall apply if a claim for contribution is to be made under this paragraph (d); provided, however,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 Purchaser shall be required to contribute any amount in excess of the amount of net proceeds received by such Purchaser on the sale of the Shares pursuant to the Registration Statement. No person guilty of fraudulent misrepresentation (within the meaning of Section 11(f) of the Securities Act) shall be entitled to contribution from any person who was not guilty of such fraudulent misrepresentation. The Purchasers’ obligations to contribute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432435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47" w:name="page48"/>
    <w:bookmarkEnd w:id="47"/>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Information Available</w:t>
      </w:r>
      <w:r>
        <w:rPr>
          <w:rFonts w:ascii="Times New Roman" w:cs="Times New Roman" w:eastAsia="Times New Roman" w:hAnsi="Times New Roman"/>
          <w:sz w:val="18"/>
          <w:szCs w:val="18"/>
          <w:color w:val="auto"/>
        </w:rPr>
        <w:t>. The Company, upon the reasonable request of a Purchaser, shall make available for inspection by such Purchaser, any deemed underwriter participating in any disposition pursuant to the Registration Statement and any attorney, accountant or other agent retained by the Purchasers or any deemed underwriter, all financial and other records, pertinent corporate documents and properties of the Company.</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7.</w:t>
        <w:tab/>
        <w:t>NO BROKER’S FEE.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Each of the Company and the Purchasers hereby represents that, other than as may be payable to the Placement Agent,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financial advisor’s or other similar fee or commission in connection with the transactions contemplated by this Agreement. Each party hereto further agrees to indemnify each other party for any claims, losses or expenses incurred by such other party as a result of the representation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being untrue.</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8.</w:t>
        <w:tab/>
        <w:t>COVENANTS.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Form D; Blue Sky Filings</w:t>
      </w:r>
      <w:r>
        <w:rPr>
          <w:rFonts w:ascii="Times New Roman" w:cs="Times New Roman" w:eastAsia="Times New Roman" w:hAnsi="Times New Roman"/>
          <w:sz w:val="18"/>
          <w:szCs w:val="18"/>
          <w:color w:val="auto"/>
        </w:rPr>
        <w:t>. The Company agrees to file a Form D with respect to the Shares as required under Regulation D of the Securities Act and a Form 45-106F1 with respect to the Shares as required under National Instrument 45-106, if required. The Company will take such action as the Company shall reasonably determine is necessary in order to obtain an exemption from, or to qualify the Shares for, sale to the Purchasers at each of the Closings respectively pursuant to this Agreement under applicable securities of “Blue Sky” laws of the states of the United States, and shall provide evidence of such actions promptly upon the written request of the Purchasers.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On the Closing Date, all share transfer or other taxes (other than income taxes) that are required to be paid in connection with the issuance, sale and delivery of the Shares to the Purchasers hereunder will be fully paid or provided for by the Company and all laws imposing such taxes will have been fully complied with and the Purchasers and their respective affiliates shall have no obligation therefor.</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Listing of Common Shares</w:t>
      </w:r>
      <w:r>
        <w:rPr>
          <w:rFonts w:ascii="Times New Roman" w:cs="Times New Roman" w:eastAsia="Times New Roman" w:hAnsi="Times New Roman"/>
          <w:sz w:val="18"/>
          <w:szCs w:val="18"/>
          <w:color w:val="auto"/>
        </w:rPr>
        <w:t xml:space="preserve">. The Company shall promptly secure the listing of the Shares upon each national securities exchange and automated quotation system that requires an application by the Company for listing, if any, upon which Common Shares are then listed (subject to official notice of issuance) and shall maintain such listing, so long as any other Common Shares shall be so listed. The Company shall use its commercially reasonable efforts to maintain the Common Shares’ listing on the Trading Market.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9.</w:t>
        <w:tab/>
        <w:t>NOTICES.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w:t>
      </w:r>
    </w:p>
    <w:p>
      <w:pPr>
        <w:spacing w:after="0" w:line="176"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if to the Company,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Vancouver, British Columbia, V6C 2T5</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Craig Shesky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craig@metals.co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Boston, Massachusetts 02111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Michael L. Fantozzi, Esq. and Daniel T. Kajunski, Esq.</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MLFantozzi@mintz.com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DTKajunski@mintz.com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Person at such other place as the Company shall designate to the Purchasers in writing;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firstLine="980"/>
        <w:spacing w:after="0" w:line="282" w:lineRule="auto"/>
        <w:tabs>
          <w:tab w:leader="none" w:pos="13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Purchasers, to the address set forth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to such other Person at such other place as the Purchasers shall designate to the Company in writing.</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10.</w:t>
        <w:tab/>
        <w:t>MISCELLANEOUS.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 xml:space="preserve"> Neither this Agreement nor any provision hereof may be changed, waived, discharged, terminated, modified or amended except upon the written consent of the Company and Purchasers holding at a majority of the Shares issued hereunder and then-held by all Purchasers, in the case of any change, discharge, termination, modification, or of the party hereto against whom the waiver is to be effective, in the case of a waiver, provided that if any amendment or waiver disproportionately and adversely affects a Purchaser (or group of Purchasers) in any material respect, the consent of such disproportionately affected Purchaser (or group of Purchasers) shall also be required.</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xml:space="preserve"> The headings of the various sections of this Agreement have been inserted for convenience of reference only and shall not be deemed to be part of this Agreement. The terms “hereof,” “herein,” “hereby” and derivative or similar words refer to this Agreement as a whole and not to any particular provision of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singular shall include the plural, the plural the singular, the use of any gender shall be applicable to all genders. The term “including” or “includes” means “including without limitation” or “includes without limitation.”</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In case any provision contained in this Agreement should be invalid, illegal or unenforceable in any respect, the validity, legality and enforceability of the remaining provisions contained herein shall not in any way be affected or impaired thereby.</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The representations and warranties contained herein shall survive the Closing and the delivery of the Shares. The agreements and covenants contained herein shall survive for the applicable statute of limitations.</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Governing Law; Jurisdiction.</w:t>
      </w:r>
      <w:r>
        <w:rPr>
          <w:rFonts w:ascii="Times New Roman" w:cs="Times New Roman" w:eastAsia="Times New Roman" w:hAnsi="Times New Roman"/>
          <w:sz w:val="18"/>
          <w:szCs w:val="18"/>
          <w:color w:val="auto"/>
        </w:rPr>
        <w:t xml:space="preserve"> This Agreement shall be governed by and interpreted in accordance with the substantive laws of the State of New York, without regard to its or any other jurisdiction’s choice of law rules. Any and all disputes arising out of, concerning, or related to this Agreement, or to the interpretation, performance, breach or termination thereof shall be referred to and resolved by the federal courts located in New York, New York.</w:t>
      </w:r>
    </w:p>
    <w:p>
      <w:pPr>
        <w:jc w:val="both"/>
        <w:spacing w:after="0" w:line="251" w:lineRule="auto"/>
        <w:rPr>
          <w:sz w:val="20"/>
          <w:szCs w:val="20"/>
          <w:color w:val="auto"/>
        </w:rPr>
      </w:pPr>
      <w:r>
        <w:rPr>
          <w:rFonts w:ascii="Times New Roman" w:cs="Times New Roman" w:eastAsia="Times New Roman" w:hAnsi="Times New Roman"/>
          <w:sz w:val="18"/>
          <w:szCs w:val="18"/>
          <w:color w:val="auto"/>
        </w:rPr>
        <w:t>EACH PARTY HEREBY WAIVES ITS RIGHTS TO A JURY TRIAL OF ANY CLAIM OR CAUSE OF ACTION BASED UPON OR ARISING OUT OF THIS AGREEMENT, THE OTHER TRANSACTION DOCUMENTS, THE SHARES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in counterparts, each of which shall constitute an original, but all of which, when taken together, shall constitute but one instrument, and shall become effective when one or more counterparts have been signed by each party hereto and delivered to the other party.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79"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xml:space="preserve"> Except as otherwise expressly provided herein, the provisions hereof shall inure to the benefit of, and be binding upon, the successors, assigns, heirs, executors and administrators of the parties hereto. None of the Purchasers may assign this Agreement or any rights or obligations hereunder, in whole or in part, without the prior written consent of the Company.</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The Placement Agent shall be the third-party beneficiary of the representations and warranties of the Company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representations and warranties of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and the other documents and instruments delivered pursuant hereto or thereto, including the exhibits hereto or thereto, constitute the full and entire understanding and agreement between the parties hereto with regard to the subjects hereof and thereof.</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color w:val="auto"/>
        </w:rPr>
        <w:t>Independent Nature of Purchasers’ Obligations And Rights.</w:t>
      </w:r>
      <w:r>
        <w:rPr>
          <w:rFonts w:ascii="Times New Roman" w:cs="Times New Roman" w:eastAsia="Times New Roman" w:hAnsi="Times New Roman"/>
          <w:sz w:val="18"/>
          <w:szCs w:val="18"/>
          <w:color w:val="auto"/>
        </w:rPr>
        <w:t xml:space="preserve">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thereto, shall be deemed to constitute the Purchasers as a partnership, an association, a joint venture or any other kind of entity, or create a presumption that the Purchasers are in any way acting in concert or as a group, or are deemed affiliates (as such term is defined under the Exchange Act)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Each Purchaser acknowledges that it is not relying upon any person, firm, or corporation, other than the Company and its officers and directors, in making its investment or decision to invest in the Company.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Shares.</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xml:space="preserve"> Except as otherwise provided herein and the Placement Agency Agreement, or in the other documents or instruments contemplated hereby, each of the Company and the Purchasers shall bear its own expenses and legal fees incurred on its behalf with respect to this Agreement and the transactions contemplated hereby.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color w:val="auto"/>
        </w:rPr>
        <w:t>Further Actions.</w:t>
      </w:r>
      <w:r>
        <w:rPr>
          <w:rFonts w:ascii="Times New Roman" w:cs="Times New Roman" w:eastAsia="Times New Roman" w:hAnsi="Times New Roman"/>
          <w:sz w:val="18"/>
          <w:szCs w:val="18"/>
          <w:color w:val="auto"/>
        </w:rPr>
        <w:t xml:space="preserve"> Each party hereto agrees to execute, acknowledge, and deliver such further instruments, and to do all such other acts, as may be necessary or appropriate in order to carry out the purposes and intent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b w:val="1"/>
          <w:bCs w:val="1"/>
          <w:color w:val="auto"/>
        </w:rPr>
        <w:t>Form 8-K.</w:t>
      </w:r>
      <w:r>
        <w:rPr>
          <w:rFonts w:ascii="Times New Roman" w:cs="Times New Roman" w:eastAsia="Times New Roman" w:hAnsi="Times New Roman"/>
          <w:sz w:val="18"/>
          <w:szCs w:val="18"/>
          <w:color w:val="auto"/>
        </w:rPr>
        <w:t xml:space="preserve"> On or before the earlier of (i) the second (2nd) Business Day following the Effective Date and (ii) the date on which the Company files its quarterly report on Form 10-Q for the quarter ended June 30, 2022, the Company shall file a Current Report on Form 8-K with the Commission describing the terms of the transactions contemplated by this Agreement (the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xml:space="preserve">”); provided, however that the Purchasers shall be given an opportunity to review and comment on the disclosure contained in the Form 8-K prior to filing). Except for the Form 8-K, all public announcements regarding this Agreement shall be issued only in accordance with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From and after the filing of the Form 8-K, the Purchasers shall not be in possession of any material, non-public information received from the Company or any of their respective officers, directors or employees that is not disclosed in the Form 8-K.</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xml:space="preserve"> The Company may unilaterally issue a press release or other public announcement concerning the execution of this Agreement, the terms and conditions hereof or the consummation of the transactions contemplated hereby, provided however, that the Company shall not identify by name any Purchaser in such press release or other public announcement (except to the extent required by law), without the prior written consent of such 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52" w:name="page53"/>
    <w:bookmarkEnd w:id="52"/>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GERARD BARRON</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Gerard Barron</w:t>
            </w:r>
          </w:p>
        </w:tc>
      </w:tr>
    </w:tbl>
    <w:p>
      <w:pPr>
        <w:spacing w:after="0" w:line="1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53" w:name="page54"/>
    <w:bookmarkEnd w:id="53"/>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August 12,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w:t>
      </w:r>
      <w:r>
        <w:rPr>
          <w:rFonts w:ascii="Times New Roman" w:cs="Times New Roman" w:eastAsia="Times New Roman" w:hAnsi="Times New Roman"/>
          <w:sz w:val="18"/>
          <w:szCs w:val="18"/>
          <w:b w:val="1"/>
          <w:bCs w:val="1"/>
          <w:color w:val="auto"/>
        </w:rPr>
        <w:t xml:space="preserve"> TMC </w:t>
      </w:r>
      <w:r>
        <w:rPr>
          <w:rFonts w:ascii="Times New Roman" w:cs="Times New Roman" w:eastAsia="Times New Roman" w:hAnsi="Times New Roman"/>
          <w:sz w:val="12"/>
          <w:szCs w:val="12"/>
          <w:b w:val="1"/>
          <w:bCs w:val="1"/>
          <w:color w:val="auto"/>
        </w:rPr>
        <w:t>the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 xml:space="preserve">company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company organized under the laws of the Province of British Columbia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the purchasers whose names and addresses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color w:val="auto"/>
        </w:rPr>
        <w:t>are set forth on the signature pages hereof (each, a “</w:t>
      </w:r>
      <w:r>
        <w:rPr>
          <w:rFonts w:ascii="Times New Roman" w:cs="Times New Roman" w:eastAsia="Times New Roman" w:hAnsi="Times New Roman"/>
          <w:sz w:val="17"/>
          <w:szCs w:val="17"/>
          <w:b w:val="1"/>
          <w:bCs w:val="1"/>
          <w:i w:val="1"/>
          <w:iCs w:val="1"/>
          <w:color w:val="auto"/>
        </w:rPr>
        <w:t>Purchaser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Purchasers</w:t>
      </w:r>
      <w:r>
        <w:rPr>
          <w:rFonts w:ascii="Times New Roman" w:cs="Times New Roman" w:eastAsia="Times New Roman" w:hAnsi="Times New Roman"/>
          <w:sz w:val="17"/>
          <w:szCs w:val="17"/>
          <w:color w:val="auto"/>
        </w:rPr>
        <w:t>”). For purposes of this Agreement the terms defined in this Agreement include the plural as well as the singular.</w:t>
      </w:r>
    </w:p>
    <w:p>
      <w:pPr>
        <w:spacing w:after="0" w:line="16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in furtherance of such desire, the Purchasers desire to purchase, and the Company has agreed to sell, 6,250,000 common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par value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for a purchase price of $0.80 per share, for aggregate gross proceeds to the Company of $5,000,000.</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in this Agreement, and for other good and valuable consideration, the receipt and sufficiency of which are hereby acknowledged, the Company and the Purchasers hereby agree, severally and not jointly, as follows:</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AUTHORIZATION OF SALE OF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authorized the sale and issuance of the Common Shares to the Purchasers on the terms and subject to the conditions set forth in this Agreement. The Common Shares that may be sold to the Purchasers hereunder at the Closing (as defined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shall be referred to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AGREEMENT TO SELL AND PURCHASE THE SHARES.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At the Closing, the Company will issue, sell and deliver to each Purchaser, and such Purchaser will purchase from the Company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that number of Common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set forth opposite such Purchaser’s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for the purchase price set forth therein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For purposes of this Agreement, the following terms shall have the following meanings:</w:t>
      </w:r>
    </w:p>
    <w:p>
      <w:pPr>
        <w:spacing w:after="0" w:line="225"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(a)</w:t>
        <w:tab/>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other than a Saturday or Sunday, on which banks in New York City are open for the general transaction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3" w:lineRule="exact"/>
        <w:rPr>
          <w:sz w:val="20"/>
          <w:szCs w:val="20"/>
          <w:color w:val="auto"/>
        </w:rPr>
      </w:pPr>
    </w:p>
    <w:p>
      <w:pPr>
        <w:jc w:val="both"/>
        <w:ind w:firstLine="980"/>
        <w:spacing w:after="0" w:line="262" w:lineRule="auto"/>
        <w:tabs>
          <w:tab w:leader="none" w:pos="14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 of the Company</w:t>
      </w:r>
      <w:r>
        <w:rPr>
          <w:rFonts w:ascii="Times New Roman" w:cs="Times New Roman" w:eastAsia="Times New Roman" w:hAnsi="Times New Roman"/>
          <w:sz w:val="18"/>
          <w:szCs w:val="18"/>
          <w:color w:val="auto"/>
        </w:rPr>
        <w:t>” shall mean, with respect to the Company, the knowledge of any of Gerard Barron, Craig Shesky and Anthony O’Sullivan. Such individuals will be deemed to have “knowledge” of a particular fact or other matter if such individual has or at any time had actual knowledge of such fact or other matter or if, in the absence of such actual knowledge, such person reasonably should have known such fact or other matter based on their role in the Company.</w:t>
      </w:r>
    </w:p>
    <w:p>
      <w:pPr>
        <w:spacing w:after="0" w:line="176" w:lineRule="exact"/>
        <w:rPr>
          <w:rFonts w:ascii="Times New Roman" w:cs="Times New Roman" w:eastAsia="Times New Roman" w:hAnsi="Times New Roman"/>
          <w:sz w:val="18"/>
          <w:szCs w:val="18"/>
          <w:color w:val="auto"/>
        </w:rPr>
      </w:pPr>
    </w:p>
    <w:p>
      <w:pPr>
        <w:jc w:val="both"/>
        <w:ind w:firstLine="980"/>
        <w:spacing w:after="0" w:line="262" w:lineRule="auto"/>
        <w:tabs>
          <w:tab w:leader="none" w:pos="14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nation, federal, state, provincial, county municipal, local or foreign government, or other political subdivision thereof or any other governmental, administrative, judicial, arbitral, legislative, executive, regulatory or self-regulatory authority, instrumentality, agency, commission or body and any entity exercising executive, legislative, judicial, regulatory, taxing or administrative functions of or pertaining to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ind w:firstLine="980"/>
        <w:spacing w:after="0" w:line="286" w:lineRule="auto"/>
        <w:tabs>
          <w:tab w:leader="none" w:pos="14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provincial, local or foreign law (including common law), statute, code, ordinance, rule, regulation, order, judgment, writ, stipulation, award, injunction, decree, arbitration award or finding or any other legally enforceable requirement.</w:t>
      </w:r>
    </w:p>
    <w:p>
      <w:pPr>
        <w:spacing w:after="0" w:line="154" w:lineRule="exact"/>
        <w:rPr>
          <w:rFonts w:ascii="Times New Roman" w:cs="Times New Roman" w:eastAsia="Times New Roman" w:hAnsi="Times New Roman"/>
          <w:sz w:val="18"/>
          <w:szCs w:val="18"/>
          <w:color w:val="auto"/>
        </w:rPr>
      </w:pPr>
    </w:p>
    <w:p>
      <w:pPr>
        <w:jc w:val="both"/>
        <w:ind w:firstLine="980"/>
        <w:spacing w:after="0" w:line="259" w:lineRule="auto"/>
        <w:tabs>
          <w:tab w:leader="none" w:pos="1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means any change, event, development, condition, occurrence or effect that is, or could reasonably be expected to be, materially adverse to the business, financial condition, prospects, assets, liabilities or results of operations of the Company and its subsidiaries considered as one enterprise;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183" w:lineRule="exact"/>
        <w:rPr>
          <w:rFonts w:ascii="Times New Roman" w:cs="Times New Roman" w:eastAsia="Times New Roman" w:hAnsi="Times New Roman"/>
          <w:sz w:val="18"/>
          <w:szCs w:val="18"/>
          <w:color w:val="auto"/>
        </w:rPr>
      </w:pPr>
    </w:p>
    <w:p>
      <w:pPr>
        <w:jc w:val="both"/>
        <w:ind w:left="1920" w:hanging="454"/>
        <w:spacing w:after="0" w:line="266"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Canada or any other geographic region in which the Company conducts business, if the Company is not disproportionately affected thereby;</w:t>
      </w:r>
    </w:p>
    <w:p>
      <w:pPr>
        <w:spacing w:after="0" w:line="17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credit or capital market conditions, including interest rates or exchange rates, or any changes therein,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right="20" w:hanging="454"/>
        <w:spacing w:after="0" w:line="282"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conducts business, if the Company is not disproportionately affected thereby;</w:t>
      </w:r>
    </w:p>
    <w:p>
      <w:pPr>
        <w:spacing w:after="0" w:line="161" w:lineRule="exact"/>
        <w:rPr>
          <w:rFonts w:ascii="Times New Roman" w:cs="Times New Roman" w:eastAsia="Times New Roman" w:hAnsi="Times New Roman"/>
          <w:sz w:val="18"/>
          <w:szCs w:val="18"/>
          <w:color w:val="auto"/>
        </w:rPr>
      </w:pPr>
    </w:p>
    <w:p>
      <w:pPr>
        <w:ind w:left="1920" w:hanging="454"/>
        <w:spacing w:after="0"/>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after the date hereof, if the Company is not disproportionately affected thereby;</w:t>
      </w:r>
    </w:p>
    <w:p>
      <w:pPr>
        <w:spacing w:after="0" w:line="225"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 after the date of this Agreement, if the Company is not disproportionately affected thereby; or</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arising in connection with earthquakes, hostilities, acts of war, sabotage or terrorism or military actions or any escalation or material worsening of any such hostilities, acts of war, sabotage or terrorism or military actions.</w:t>
      </w:r>
    </w:p>
    <w:p>
      <w:pPr>
        <w:spacing w:after="0" w:line="157" w:lineRule="exact"/>
        <w:rPr>
          <w:rFonts w:ascii="Times New Roman" w:cs="Times New Roman" w:eastAsia="Times New Roman" w:hAnsi="Times New Roman"/>
          <w:sz w:val="18"/>
          <w:szCs w:val="18"/>
          <w:color w:val="auto"/>
        </w:rPr>
      </w:pPr>
    </w:p>
    <w:p>
      <w:pPr>
        <w:ind w:right="20" w:firstLine="980"/>
        <w:spacing w:after="0" w:line="286" w:lineRule="auto"/>
        <w:tabs>
          <w:tab w:leader="none" w:pos="13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share company, joint venture, sole proprietorship, unincorporated organization, Governmental Entity or any other form of entity not specifically listed herein.</w:t>
      </w:r>
    </w:p>
    <w:p>
      <w:pPr>
        <w:spacing w:after="0" w:line="154" w:lineRule="exact"/>
        <w:rPr>
          <w:rFonts w:ascii="Times New Roman" w:cs="Times New Roman" w:eastAsia="Times New Roman" w:hAnsi="Times New Roman"/>
          <w:sz w:val="18"/>
          <w:szCs w:val="18"/>
          <w:color w:val="auto"/>
        </w:rPr>
      </w:pPr>
    </w:p>
    <w:p>
      <w:pPr>
        <w:ind w:left="1720" w:hanging="740"/>
        <w:spacing w:after="0"/>
        <w:tabs>
          <w:tab w:leader="none" w:pos="1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means EAS Advisors, LLC, through Odeon Capital Group LLC.</w:t>
      </w:r>
    </w:p>
    <w:p>
      <w:pPr>
        <w:spacing w:after="0" w:line="225" w:lineRule="exact"/>
        <w:rPr>
          <w:rFonts w:ascii="Times New Roman" w:cs="Times New Roman" w:eastAsia="Times New Roman" w:hAnsi="Times New Roman"/>
          <w:sz w:val="18"/>
          <w:szCs w:val="18"/>
          <w:color w:val="auto"/>
        </w:rPr>
      </w:pPr>
    </w:p>
    <w:p>
      <w:pPr>
        <w:ind w:left="1820" w:hanging="840"/>
        <w:spacing w:after="0"/>
        <w:tabs>
          <w:tab w:leader="none" w:pos="1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Agency Agreement</w:t>
      </w:r>
      <w:r>
        <w:rPr>
          <w:rFonts w:ascii="Times New Roman" w:cs="Times New Roman" w:eastAsia="Times New Roman" w:hAnsi="Times New Roman"/>
          <w:sz w:val="18"/>
          <w:szCs w:val="18"/>
          <w:color w:val="auto"/>
        </w:rPr>
        <w:t>” means that certain placement agency letter agreement between the Company and the Placement</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w:t>
      </w:r>
    </w:p>
    <w:p>
      <w:pPr>
        <w:spacing w:after="0" w:line="202" w:lineRule="exact"/>
        <w:rPr>
          <w:rFonts w:ascii="Times New Roman" w:cs="Times New Roman" w:eastAsia="Times New Roman" w:hAnsi="Times New Roman"/>
          <w:sz w:val="18"/>
          <w:szCs w:val="18"/>
          <w:color w:val="auto"/>
        </w:rPr>
      </w:pPr>
    </w:p>
    <w:p>
      <w:pPr>
        <w:jc w:val="both"/>
        <w:ind w:firstLine="980"/>
        <w:spacing w:after="0" w:line="268" w:lineRule="auto"/>
        <w:tabs>
          <w:tab w:leader="none" w:pos="13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individual or entity the Company wholly-owns or controls, or in which the Company, directly or indirectly, owns a majority of the voting shares or similar voting interest, in each case that would be disclosable pursuant to Item 601(b)(21) of Regulation S-K promulgated under the Securities Act (as defined below).</w:t>
      </w:r>
    </w:p>
    <w:p>
      <w:pPr>
        <w:spacing w:after="0" w:line="170" w:lineRule="exact"/>
        <w:rPr>
          <w:rFonts w:ascii="Times New Roman" w:cs="Times New Roman" w:eastAsia="Times New Roman" w:hAnsi="Times New Roman"/>
          <w:sz w:val="18"/>
          <w:szCs w:val="18"/>
          <w:color w:val="auto"/>
        </w:rPr>
      </w:pPr>
    </w:p>
    <w:p>
      <w:pPr>
        <w:ind w:left="1680" w:hanging="700"/>
        <w:spacing w:after="0"/>
        <w:tabs>
          <w:tab w:leader="none" w:pos="1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Nasdaq Global Select Market.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CLOSING, CLOSING CONDITIONS AND CLOSING DELIVERIES.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closing of the purchase and sale of the Shares pursuant to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occur no later than 5:00 p.m., Eastern time, on or before September 30, 2022, subject to the satisfaction or waiver of all of conditions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delivery of all of the closing deliveries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(such date,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at the offices of Mintz, Levin, Cohn, Ferris, Glovsky and Popeo, P.C. (“</w:t>
      </w:r>
      <w:r>
        <w:rPr>
          <w:rFonts w:ascii="Times New Roman" w:cs="Times New Roman" w:eastAsia="Times New Roman" w:hAnsi="Times New Roman"/>
          <w:sz w:val="18"/>
          <w:szCs w:val="18"/>
          <w:b w:val="1"/>
          <w:bCs w:val="1"/>
          <w:i w:val="1"/>
          <w:iCs w:val="1"/>
          <w:color w:val="auto"/>
        </w:rPr>
        <w:t>Mintz</w:t>
      </w:r>
      <w:r>
        <w:rPr>
          <w:rFonts w:ascii="Times New Roman" w:cs="Times New Roman" w:eastAsia="Times New Roman" w:hAnsi="Times New Roman"/>
          <w:sz w:val="18"/>
          <w:szCs w:val="18"/>
          <w:color w:val="auto"/>
        </w:rPr>
        <w:t>”), One Financial Center, Boston, MA 02111, or at such other time and place as may be agreed to by the Company and the Purchasers. At or prior to the Closing, each of the Company and the Purchasers shall execute any related agreements or other documents required hereunder to be executed as of the Closing hereunder, each dated as of the date of the Closing or the date hereof, as applicable.</w:t>
      </w:r>
    </w:p>
    <w:p>
      <w:pPr>
        <w:spacing w:after="0" w:line="18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Closing Conditions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980"/>
        <w:spacing w:after="0" w:line="266" w:lineRule="auto"/>
        <w:tabs>
          <w:tab w:leader="none" w:pos="14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Closing Condition</w:t>
      </w:r>
      <w:r>
        <w:rPr>
          <w:rFonts w:ascii="Times New Roman" w:cs="Times New Roman" w:eastAsia="Times New Roman" w:hAnsi="Times New Roman"/>
          <w:sz w:val="18"/>
          <w:szCs w:val="18"/>
          <w:color w:val="auto"/>
        </w:rPr>
        <w:t>. As of the date hereof, there shall have been no Law enacted, entered, promulgated, enforced or deemed applicable by any Governmental Entity of competent jurisdiction that is in effect and makes illegal or otherwise prohibits or materially delays the consummation of the Closing.</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3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Purchaser’s Obligations</w:t>
      </w:r>
      <w:r>
        <w:rPr>
          <w:rFonts w:ascii="Times New Roman" w:cs="Times New Roman" w:eastAsia="Times New Roman" w:hAnsi="Times New Roman"/>
          <w:sz w:val="18"/>
          <w:szCs w:val="18"/>
          <w:color w:val="auto"/>
        </w:rPr>
        <w:t>. Each Purchaser’s obligation to purchase the Shares at the Closing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jc w:val="both"/>
        <w:ind w:left="1920" w:hanging="454"/>
        <w:spacing w:after="0" w:line="266" w:lineRule="auto"/>
        <w:tabs>
          <w:tab w:leader="none" w:pos="1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representations and warranties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true and correct in all material respects as of the date of this Agreement, other than the representations and warranties set forth in </w:t>
      </w:r>
      <w:r>
        <w:rPr>
          <w:rFonts w:ascii="Times New Roman" w:cs="Times New Roman" w:eastAsia="Times New Roman" w:hAnsi="Times New Roman"/>
          <w:sz w:val="18"/>
          <w:szCs w:val="18"/>
          <w:u w:val="single" w:color="auto"/>
          <w:color w:val="auto"/>
        </w:rPr>
        <w:t>Sections 4.1, 4.2, 4.3, 4.5, 4.8, 4.9, and 4.14</w:t>
      </w:r>
      <w:r>
        <w:rPr>
          <w:rFonts w:ascii="Times New Roman" w:cs="Times New Roman" w:eastAsia="Times New Roman" w:hAnsi="Times New Roman"/>
          <w:sz w:val="18"/>
          <w:szCs w:val="18"/>
          <w:color w:val="auto"/>
        </w:rPr>
        <w:t xml:space="preserve"> which shall be true and correct in all respects as of the date of this Agreement.</w:t>
      </w:r>
    </w:p>
    <w:p>
      <w:pPr>
        <w:spacing w:after="0" w:line="175" w:lineRule="exact"/>
        <w:rPr>
          <w:rFonts w:ascii="Times New Roman" w:cs="Times New Roman" w:eastAsia="Times New Roman" w:hAnsi="Times New Roman"/>
          <w:sz w:val="18"/>
          <w:szCs w:val="18"/>
          <w:color w:val="auto"/>
        </w:rPr>
      </w:pPr>
    </w:p>
    <w:p>
      <w:pPr>
        <w:jc w:val="both"/>
        <w:ind w:left="1920" w:hanging="454"/>
        <w:spacing w:after="0" w:line="266" w:lineRule="auto"/>
        <w:tabs>
          <w:tab w:leader="none" w:pos="1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with in all material respects all agreements and conditions herein required to be performed or complied with by the Company on or before the date of this Agreement, or any breach or failure to do so has been cured as of the date of this Agreement.</w:t>
      </w:r>
    </w:p>
    <w:p>
      <w:pPr>
        <w:spacing w:after="0" w:line="176"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upon delivery of the closing deliverables set forth in </w:t>
      </w:r>
      <w:r>
        <w:rPr>
          <w:rFonts w:ascii="Times New Roman" w:cs="Times New Roman" w:eastAsia="Times New Roman" w:hAnsi="Times New Roman"/>
          <w:sz w:val="18"/>
          <w:szCs w:val="18"/>
          <w:u w:val="single" w:color="auto"/>
          <w:color w:val="auto"/>
        </w:rPr>
        <w:t>Sections 3.3(c)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the Purchaser shall be irrevocably bound to purchase the Shares, subject only to the Company’s issuance of the Shares under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firstLine="980"/>
        <w:spacing w:after="0" w:line="282" w:lineRule="auto"/>
        <w:tabs>
          <w:tab w:leader="none" w:pos="13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Company’s Obligations</w:t>
      </w:r>
      <w:r>
        <w:rPr>
          <w:rFonts w:ascii="Times New Roman" w:cs="Times New Roman" w:eastAsia="Times New Roman" w:hAnsi="Times New Roman"/>
          <w:sz w:val="18"/>
          <w:szCs w:val="18"/>
          <w:color w:val="auto"/>
        </w:rPr>
        <w:t>. The Company’s obligation to issue and sell the Shares at the Closing to a Purchaser is subject to the fulfillment, on or before the Closing, of each of the following conditions, unless waived:</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Purchaser’s representations and warranties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true and correct in all material respects at the date of the Closing, with the same force and effect as if they had been made on and as of said date.</w:t>
      </w:r>
    </w:p>
    <w:p>
      <w:pPr>
        <w:spacing w:after="0" w:line="161" w:lineRule="exact"/>
        <w:rPr>
          <w:rFonts w:ascii="Times New Roman" w:cs="Times New Roman" w:eastAsia="Times New Roman" w:hAnsi="Times New Roman"/>
          <w:sz w:val="18"/>
          <w:szCs w:val="18"/>
          <w:color w:val="auto"/>
        </w:rPr>
      </w:pPr>
    </w:p>
    <w:p>
      <w:pPr>
        <w:ind w:left="1920" w:hanging="454"/>
        <w:spacing w:after="0" w:line="282" w:lineRule="auto"/>
        <w:tabs>
          <w:tab w:leader="none" w:pos="19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shall have performed and complied with in all material respects all agreements and conditions herein required to be performed or complied with by it on or before the Closing, or any breach or failure to do so has been 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Closing Deliveries.</w:t>
      </w:r>
    </w:p>
    <w:p>
      <w:pPr>
        <w:spacing w:after="0" w:line="225" w:lineRule="exact"/>
        <w:rPr>
          <w:sz w:val="20"/>
          <w:szCs w:val="20"/>
          <w:color w:val="auto"/>
        </w:rPr>
      </w:pPr>
    </w:p>
    <w:p>
      <w:pPr>
        <w:jc w:val="both"/>
        <w:ind w:firstLine="980"/>
        <w:spacing w:after="0" w:line="268" w:lineRule="auto"/>
        <w:tabs>
          <w:tab w:leader="none" w:pos="13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the Purchase Price at Closing</w:t>
      </w:r>
      <w:r>
        <w:rPr>
          <w:rFonts w:ascii="Times New Roman" w:cs="Times New Roman" w:eastAsia="Times New Roman" w:hAnsi="Times New Roman"/>
          <w:sz w:val="18"/>
          <w:szCs w:val="18"/>
          <w:color w:val="auto"/>
        </w:rPr>
        <w:t>. At the Closing, each Purchaser shall deliver, or cause to be delivered, to the Company,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equal to the Purchase Price by wire transfer of immediately available funds to the Company’s account pursuant to wire instructions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Each Purchaser’s obligations to pay the Purchase Price shall be several and not joint.</w:t>
      </w:r>
    </w:p>
    <w:p>
      <w:pPr>
        <w:spacing w:after="0" w:line="170" w:lineRule="exact"/>
        <w:rPr>
          <w:rFonts w:ascii="Times New Roman" w:cs="Times New Roman" w:eastAsia="Times New Roman" w:hAnsi="Times New Roman"/>
          <w:sz w:val="18"/>
          <w:szCs w:val="18"/>
          <w:color w:val="auto"/>
        </w:rPr>
      </w:pPr>
    </w:p>
    <w:p>
      <w:pPr>
        <w:jc w:val="both"/>
        <w:ind w:firstLine="980"/>
        <w:spacing w:after="0" w:line="257" w:lineRule="auto"/>
        <w:tabs>
          <w:tab w:leader="none" w:pos="13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the Shares at the Closing</w:t>
      </w:r>
      <w:r>
        <w:rPr>
          <w:rFonts w:ascii="Times New Roman" w:cs="Times New Roman" w:eastAsia="Times New Roman" w:hAnsi="Times New Roman"/>
          <w:sz w:val="18"/>
          <w:szCs w:val="18"/>
          <w:color w:val="auto"/>
        </w:rPr>
        <w:t>. At the Closing, the Company shall issue, or cause the Company’s transfer agent to issue,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in global form through a book-entry account maintained by the Company’s transfer agent the number of Shares purchased by such Purchaser,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at the Closing against payment by such Purchaser of the Purchase Price (including providing a copy of the irrevocable instructions delivered by the Company to the Company’s transfer agent instructing the transfer agent to issue the Shares to the Purchasers by crediting the Shares to the respective accounts of the Purchasers on the transfer agent’s book-entry system on the Closing Date and confirmation from the transfer agent that such Shares were so issued on the date thereof). Such Shares shall be appropriately legended as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herein.</w:t>
      </w:r>
    </w:p>
    <w:p>
      <w:pPr>
        <w:spacing w:after="0" w:line="182" w:lineRule="exact"/>
        <w:rPr>
          <w:rFonts w:ascii="Times New Roman" w:cs="Times New Roman" w:eastAsia="Times New Roman" w:hAnsi="Times New Roman"/>
          <w:sz w:val="18"/>
          <w:szCs w:val="18"/>
          <w:color w:val="auto"/>
        </w:rPr>
      </w:pPr>
    </w:p>
    <w:p>
      <w:pPr>
        <w:jc w:val="both"/>
        <w:ind w:firstLine="980"/>
        <w:spacing w:after="0" w:line="268" w:lineRule="auto"/>
        <w:tabs>
          <w:tab w:leader="none" w:pos="13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Secretary’s Certificate</w:t>
      </w:r>
      <w:r>
        <w:rPr>
          <w:rFonts w:ascii="Times New Roman" w:cs="Times New Roman" w:eastAsia="Times New Roman" w:hAnsi="Times New Roman"/>
          <w:sz w:val="18"/>
          <w:szCs w:val="18"/>
          <w:color w:val="auto"/>
        </w:rPr>
        <w:t>. On the date of this Agreement, the Purchasers and the Placement Agent shall have received a certificate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Secretary of the Company, certifying the resolutions of the Board of Directors of the Company or a duly authorized committee thereof approving this Agreement and all of the transactions contemplated hereunder, all as in effect on the date of this Agreement.</w:t>
      </w:r>
    </w:p>
    <w:p>
      <w:pPr>
        <w:spacing w:after="0" w:line="170" w:lineRule="exact"/>
        <w:rPr>
          <w:rFonts w:ascii="Times New Roman" w:cs="Times New Roman" w:eastAsia="Times New Roman" w:hAnsi="Times New Roman"/>
          <w:sz w:val="18"/>
          <w:szCs w:val="18"/>
          <w:color w:val="auto"/>
        </w:rPr>
      </w:pPr>
    </w:p>
    <w:p>
      <w:pPr>
        <w:ind w:right="20" w:firstLine="980"/>
        <w:spacing w:after="0" w:line="286" w:lineRule="auto"/>
        <w:tabs>
          <w:tab w:leader="none" w:pos="13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On the date of this Agreement, the Purchasers and the Placement Agent shall have received a certificate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President and Chief Executive Officer of the Company certifying to the fulfillment of the conditions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980"/>
        <w:spacing w:after="0" w:line="268" w:lineRule="auto"/>
        <w:tabs>
          <w:tab w:leader="none" w:pos="19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Opinions. </w:t>
      </w:r>
      <w:r>
        <w:rPr>
          <w:rFonts w:ascii="Times New Roman" w:cs="Times New Roman" w:eastAsia="Times New Roman" w:hAnsi="Times New Roman"/>
          <w:sz w:val="18"/>
          <w:szCs w:val="18"/>
          <w:color w:val="auto"/>
        </w:rPr>
        <w:t>On the date of this Agreement, the Purchasers shall have received opinions of Fasken Martineau DuMoulin LLP,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Canadian counsel for the Company, and Mintz, U.S. counsel for the Company, each dated as of the date of this Agreement, in a form reasonably satisfactory to the Purchasers and the Placement Agent.</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disclosed in the SEC Documents (as defined below) and publicly available prior to the date of this Agreement and only as and to the extent disclosed therein, the Company hereby represents, warrants and covenants to the Purchasers, as of the date of this Agreement (unless specified otherwise herein), as follows:</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Organization and Standing</w:t>
      </w:r>
      <w:r>
        <w:rPr>
          <w:rFonts w:ascii="Times New Roman" w:cs="Times New Roman" w:eastAsia="Times New Roman" w:hAnsi="Times New Roman"/>
          <w:sz w:val="18"/>
          <w:szCs w:val="18"/>
          <w:color w:val="auto"/>
        </w:rPr>
        <w:t>. The Company has been duly continued and is validly existing and in good standing under the laws of the Province of British Columbia, Canada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 The Company owns, directly or through subsidiaries, all of the issued and outstanding equity securities of each of its subsidiaries. Each of the Company’s subsidiaries has been duly incorporated or organized and is validly existing and in good standing under the laws of its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Corporate Power; Authorization</w:t>
      </w:r>
      <w:r>
        <w:rPr>
          <w:rFonts w:ascii="Times New Roman" w:cs="Times New Roman" w:eastAsia="Times New Roman" w:hAnsi="Times New Roman"/>
          <w:sz w:val="18"/>
          <w:szCs w:val="18"/>
          <w:color w:val="auto"/>
        </w:rPr>
        <w:t>. The Company has all requisite corporate power, and the Company and its Board of Directors have taken all requisite corporate action, to authorize, execute and deliver this Agreement, to consummate the transactions contemplated herein and therein, including to sell, issue and deliver the Shares to the Purchasers, and to carry out and perform all of the Company’s obligations hereunder and thereunder. This Agreement constitutes the legal, valid and binding obligation of the Company, enforceable against the Company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Issuance and Delivery of the Shares</w:t>
      </w:r>
      <w:r>
        <w:rPr>
          <w:rFonts w:ascii="Times New Roman" w:cs="Times New Roman" w:eastAsia="Times New Roman" w:hAnsi="Times New Roman"/>
          <w:sz w:val="18"/>
          <w:szCs w:val="18"/>
          <w:color w:val="auto"/>
        </w:rPr>
        <w:t xml:space="preserve">. The Shares have been duly authorized and, when issued and paid for in compliance with the provisions of this Agreement, will be validly issued, fully paid and nonassessable. The issuance and delivery of the Shares is not subject to preemptive, co-sale, right of first refusal or any other similar rights of the shareholders of the Company or any other Person or any liens or encumbrances, other than encumbrances under applicable securities laws. Assuming the accuracy of the representations made by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offer and issuance by the Company of the Shares is exempt from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is exempt from the prospectus requirement under applicable Canadian securities laws.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SEC Documents; Financial Statements; Independent Accountants</w:t>
      </w:r>
      <w:r>
        <w:rPr>
          <w:rFonts w:ascii="Times New Roman" w:cs="Times New Roman" w:eastAsia="Times New Roman" w:hAnsi="Times New Roman"/>
          <w:sz w:val="18"/>
          <w:szCs w:val="18"/>
          <w:color w:val="auto"/>
        </w:rPr>
        <w:t>. The Company is subject to the reporting requirements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has filed or will file in a timely manner all documents that the Company was or is required to file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Sections 13, 14(a) and 15(d) of the Exchange Act, since September 9, 2021 (the foregoing documents (together with any documents filed by the Company under the Exchange Act, whether or not required) being collectively referred to herein as the “</w:t>
      </w:r>
      <w:r>
        <w:rPr>
          <w:rFonts w:ascii="Times New Roman" w:cs="Times New Roman" w:eastAsia="Times New Roman" w:hAnsi="Times New Roman"/>
          <w:sz w:val="18"/>
          <w:szCs w:val="18"/>
          <w:b w:val="1"/>
          <w:bCs w:val="1"/>
          <w:i w:val="1"/>
          <w:iCs w:val="1"/>
          <w:color w:val="auto"/>
        </w:rPr>
        <w:t>SEC Documents</w:t>
      </w:r>
      <w:r>
        <w:rPr>
          <w:rFonts w:ascii="Times New Roman" w:cs="Times New Roman" w:eastAsia="Times New Roman" w:hAnsi="Times New Roman"/>
          <w:sz w:val="18"/>
          <w:szCs w:val="18"/>
          <w:color w:val="auto"/>
        </w:rPr>
        <w:t>”). As of their respective filing dates (or, if amended prior to the date of this Agreement, when amended), all SEC Documents complied in all material respects with the requirements of the Exchange Act and the rules and regulations of the Commission promulgated thereunder. None of the SEC Documents as of their respective filing dates contained any untrue statement of material fact or omitted to state a material fact required to be stated therein or necessary to make the statements made therein, in light of the circumstances under which they were made, not misleading. The financial statements of the Company set forth in the SEC Documents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with the published rules and regulations of the Commission with respect thereto. The Financial Statements have been prepared in accordance with United States generally accepted accounting principles consistently applied and fairly present the financial position of the Company at the dates thereof and the results of its operations and cash flows for the periods then ended (subject, in the case of unaudited statements, to normal, recurring adjustments). The accountants who certified the Financial Statements are independent public accountants as required by the Securities Act and the Exchange Act and the regulations thereunder and the Public Company Accounting Oversight Board.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 As set forth in the SEC Documents as of the date set forth therein, all of the Company’s outstanding capital shares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there are no existing options, warrants, calls, subscriptions or other rights, agreements, arrangements or commitments of any character, relating to the issued or unissued capital shares of the Company, obligating the Company to issue, transfer, sell, redeem, purchase, repurchase or otherwise acquire or cause to be issued, transferred, sold, redeemed, purchased, repurchased or otherwise acquired any capital shares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Neither the execution of this Agreement nor the issuance of Common Shares or other securities pursuant to any provision of this Agreement will give rise to any preemptive rights or rights of first refusal on behalf of any Person or result in the triggering of any anti-dilution or other similar rights. Other than the Common Shares, there are no other shares of any other class or series of capital shares of the Company issued or outstanding. The Company’s Articles and Notice of Articles, as amended and as in effect on the date hereof (collectively,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are included in the SEC Documents, and the Company shall not amend or otherwise modify the Articles as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Except as disclosed in the Company’s SEC Documents, there are no legal or governmental actions, suits or other proceedings pending or, to the Knowledge of the Company, threatened against the Company or any of its subsidiaries, before or by any Governmental Entity, which actions, suits or proceedings, individually or in the aggregate, could reasonably be expected to (a) challenge this Agreement or prohibit or delay the transactions contemplated herein or (b) have a Material Adverse Effect. Neither the Company nor any of its subsidiaries, is a party to or subject to the provisions of any injunction, judgment, decree or order of any Governmental Entity that might have a Material Adverse Effect.</w:t>
      </w:r>
    </w:p>
    <w:p>
      <w:pPr>
        <w:spacing w:after="0" w:line="1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Governmental Consents</w:t>
      </w:r>
      <w:r>
        <w:rPr>
          <w:rFonts w:ascii="Times New Roman" w:cs="Times New Roman" w:eastAsia="Times New Roman" w:hAnsi="Times New Roman"/>
          <w:sz w:val="18"/>
          <w:szCs w:val="18"/>
          <w:color w:val="auto"/>
        </w:rPr>
        <w:t>. No consent, approval, order or authorization of, or registration, qualification, designation, declaration or filing with, any Governmental Entity or the Trading Market on the part of the Company is required in connection with the consummation of the transactions contemplated by this Agreement except for the filing of a Form D with the Commission under the Securities Act and compliance with the securities and blue sky laws in the states and other jurisdictions in which Common Shares are offered and/or sold, and applicable Canadian securities laws, if applicable, and filing of a Form 45-106F1 as required under National Instrument 45-106, which compliance will be effected by the Company in accordance with such laws.</w:t>
      </w:r>
    </w:p>
    <w:p>
      <w:pPr>
        <w:spacing w:after="0" w:line="39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No Default or Consents</w:t>
      </w:r>
      <w:r>
        <w:rPr>
          <w:rFonts w:ascii="Times New Roman" w:cs="Times New Roman" w:eastAsia="Times New Roman" w:hAnsi="Times New Roman"/>
          <w:sz w:val="18"/>
          <w:szCs w:val="18"/>
          <w:color w:val="auto"/>
        </w:rPr>
        <w:t>. Neither the Company nor any of its subsidiaries, is in violation or default under its organizational documents. Neither the execution, delivery or performance of this Agreement by the Company nor the consummation of any of the transactions contemplated hereby (including the issuance, sale and delivery by the Company of the Shares) will: (i)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any subsidiary pursuant to the terms of, any indenture, mortgage, deed of trust or other agreement or instrument to which the Company or any of its subsidiaries is a party or by which either or them or any of their respective properties or businesses are bound, or any franchise, license, permit, judgment, decree, order, statute, rule or regulation (including federal and state securities laws and regulations) and the rules and regulations, assuming the correctness of the representations and warranties made by the Purchasers herein, of any self-regulatory organization to which the Company or any of its subsidiaries or their securities are subject) applicable to the Company, or (ii) violate or conflict with any provision of the Articles, except in the case of clause (i) as would not cause, either individually or in the aggregate, a Material Adverse Effect, and except for such consents or waivers which have already been obtained and are in full force and effect.</w:t>
      </w:r>
    </w:p>
    <w:p>
      <w:pPr>
        <w:spacing w:after="0" w:line="19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Since December 31, 2021, except as specifically disclosed in the SEC Documents, there have been no events, occurrences or developments that have had or would reasonably be expected to have, either individually or in the aggregate, a Material Adverse Effect. Except for the transactions contemplated by this Agreement, no event, liability or development has occurred or exists with respect to the Company or any of its subsidiaries or their respective businesses, properties, operations or financial conditions that would be required to be disclosed by the Company under applicable securities laws at the Effective Date that has not been publicly disclosed at least one Trading Market trading day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(other than the Placement Agent, as to which the Company makes no representation or warranty), has engaged in any form of general solicitation or general advertising (within the meaning of Regulation D promulgated under the Securities Act or under applicable Canadian securities laws) in connection with the offer or sale of the Shares.</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No Integrated Offering.</w:t>
      </w:r>
      <w:r>
        <w:rPr>
          <w:rFonts w:ascii="Times New Roman" w:cs="Times New Roman" w:eastAsia="Times New Roman" w:hAnsi="Times New Roman"/>
          <w:sz w:val="18"/>
          <w:szCs w:val="18"/>
          <w:color w:val="auto"/>
        </w:rPr>
        <w:t xml:space="preserve"> None of the Company or any of its affiliates, or any Person acting on their behalf has, directly or indirectly, made any offers or sales of any security or solicited any offers to buy any security, under circumstances that would require registration of any of the Shares under the Securities Act or cause this offering of the Shares to be integrated with prior offerings by the Company for purposes of the Securities Act or any applicable shareholder approval provisions, including under the rules and regulations of the Trading Market.</w:t>
      </w:r>
    </w:p>
    <w:p>
      <w:pPr>
        <w:spacing w:after="0" w:line="176"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4.12</w:t>
        <w:tab/>
        <w:t>[</w:t>
      </w: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To the Knowledge of the Company, the Company and its subsidiaries own, possess, license or have rights to use, on terms that the Company believes to be reasonable, all patents, patent applications, trademarks, trademark applications, service marks, trade names, copyrights, licenses, trade secrets, know-how and other similar rights that are necessary or material for use in connection with the businesses of the Company and its subsidiaries as described in the SEC Documents (collectively, the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Neither the Company nor any of its subsidiaries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and confidentiality of the Intellectual Property Rights (excluding any patents or patent applications that have or will become public), except where the failure to do so would not, individually or in the aggregate, have a Material Adverse Effect.</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The Company understands and confirms that the Purchasers will rely on the representations, warranties and covenants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effecting the transactions contemplated by this Agreement. To the Knowledge of the Company, all due diligence materials regarding the Company and its business and the transactions contemplated hereby (including the information referred to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hereof), furnished by or on behalf of the Company to the Purchasers upon their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misleading.</w:t>
      </w:r>
    </w:p>
    <w:p>
      <w:pPr>
        <w:spacing w:after="0" w:line="182" w:lineRule="exact"/>
        <w:rPr>
          <w:sz w:val="20"/>
          <w:szCs w:val="20"/>
          <w:color w:val="auto"/>
        </w:rPr>
      </w:pPr>
    </w:p>
    <w:p>
      <w:pPr>
        <w:ind w:left="340"/>
        <w:spacing w:after="0"/>
        <w:tabs>
          <w:tab w:leader="none" w:pos="8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b w:val="1"/>
          <w:bCs w:val="1"/>
          <w:color w:val="auto"/>
        </w:rPr>
        <w:t>Contracts.</w:t>
      </w:r>
    </w:p>
    <w:p>
      <w:pPr>
        <w:spacing w:after="0" w:line="229" w:lineRule="exact"/>
        <w:rPr>
          <w:sz w:val="20"/>
          <w:szCs w:val="20"/>
          <w:color w:val="auto"/>
        </w:rPr>
      </w:pPr>
    </w:p>
    <w:p>
      <w:pPr>
        <w:jc w:val="both"/>
        <w:ind w:firstLine="980"/>
        <w:spacing w:after="0" w:line="266" w:lineRule="auto"/>
        <w:tabs>
          <w:tab w:leader="none" w:pos="14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indenture, contract, lease, mortgage, deed of trust, note agreement, loan or other agreement or instrument of a character that is required to be described or summarized in the SEC Documents or to be filed as an exhibit to the SEC Documents under the Exchange Act and the rules and regulations promulgated thereunder (collectively,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 is so described, summarized or filed.</w:t>
      </w:r>
    </w:p>
    <w:p>
      <w:pPr>
        <w:spacing w:after="0" w:line="175" w:lineRule="exact"/>
        <w:rPr>
          <w:rFonts w:ascii="Times New Roman" w:cs="Times New Roman" w:eastAsia="Times New Roman" w:hAnsi="Times New Roman"/>
          <w:sz w:val="18"/>
          <w:szCs w:val="18"/>
          <w:color w:val="auto"/>
        </w:rPr>
      </w:pPr>
    </w:p>
    <w:p>
      <w:pPr>
        <w:jc w:val="both"/>
        <w:ind w:firstLine="980"/>
        <w:spacing w:after="0" w:line="253" w:lineRule="auto"/>
        <w:tabs>
          <w:tab w:leader="none" w:pos="13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Contracts to which the Company or any of its subsidiaries is a party have been duly and validly authorized, executed and delivered by the Company or such subsidiary and constitute the legal, valid and binding agreements of the Company or such subsidiary, enforceable by and against the Company and its subsidiaries in accordance with their respective terms, except as such enforceability may be limited by applicable bankruptcy, insolvency, reorganization or other similar laws relating to enforcement of creditors’ rights generally, and general equitable principles relating to the availability of remedies, except as rights to indemnity or contribution may be limited by federal or state securities laws. Neither the Company nor any of its subsidiaries nor, to the Knowledge of the Company, any third party has violated any provision of, or failed to perform any obligation required under the provisions of, any of the Material Contracts. Neither the Company nor any of its subsidiaries nor, to the Knowledge of the Company, any third party is in breach or default, or has received written notice of breach or default, of any of the Material Contracts. To the Knowledge of the Company, no event has occurred that, with notice or lapse of time or both, would constitute such a breach or default pursuant to any Material Contract by the Company or any of its subsidiaries, or, to the Knowledge of the Company, any other party thereto, and, as of the date of this Agreement, neither the Company nor any of its subsidiaries has received written notice of the foregoing or from the counterparty to any Material Contract (or, to the Knowledge of the Company, any of such counterparty's affiliates) regarding an intent to terminate, cancel, or modify any Material Contract (whether as a result of a change of control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firstLine="324"/>
        <w:spacing w:after="0" w:line="263"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Properties and Assets.</w:t>
      </w:r>
      <w:r>
        <w:rPr>
          <w:rFonts w:ascii="Times New Roman" w:cs="Times New Roman" w:eastAsia="Times New Roman" w:hAnsi="Times New Roman"/>
          <w:sz w:val="18"/>
          <w:szCs w:val="18"/>
          <w:color w:val="auto"/>
        </w:rPr>
        <w:t xml:space="preserve"> The Company and its subsidiaries have good and marketable title to all the properties and assets described as owned by them in the latest Financial Statements set forth in the SEC Documents, free and clear of all liens, mortgages, pledges or encumbrances of any kind except</w:t>
      </w:r>
    </w:p>
    <w:p>
      <w:pPr>
        <w:spacing w:after="0" w:line="1" w:lineRule="exact"/>
        <w:rPr>
          <w:sz w:val="20"/>
          <w:szCs w:val="20"/>
          <w:color w:val="auto"/>
        </w:rPr>
      </w:pPr>
    </w:p>
    <w:p>
      <w:pPr>
        <w:jc w:val="both"/>
        <w:ind w:firstLine="8"/>
        <w:spacing w:after="0" w:line="253" w:lineRule="auto"/>
        <w:tabs>
          <w:tab w:leader="none" w:pos="2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if any, reflected in such Financial Statements or (b) those that are not material in amount and do not adversely affect the use made of such property by the Company or any subsidiary. The Company and its subsidiaries hold their respective leased properties under valid and binding leases, except as would not have a Material Adverse Effect. The Company and its subsidiaries own or lease all such properties as are materially necessary to their respective operations as now conducted.</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Compliance and Regulatory</w:t>
      </w:r>
      <w:r>
        <w:rPr>
          <w:rFonts w:ascii="Times New Roman" w:cs="Times New Roman" w:eastAsia="Times New Roman" w:hAnsi="Times New Roman"/>
          <w:sz w:val="18"/>
          <w:szCs w:val="18"/>
          <w:color w:val="auto"/>
        </w:rPr>
        <w:t>. The Company and its subsidiaries are in compliance with all applicable laws, rules and regulations of the jurisdictions in which they are conducting their business, including all applicable local, state and federal environmental laws and regulations, or any applicable laws enforced by equivalent Governmental Entities outside the United States, except where failures to be so in compliance, individually or in the aggregate, would not reasonably be expected to have a Material Adverse Effect.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Company and its subsidiaries have filed on a timely basis (giving effect to extensions) all required federal, state and foreign income and franchise tax returns and have timely paid or accrued all taxes shown as due thereon, including interest and penalties, and to the Knowledge of the Company there is no tax deficiency that has been or might be asserted or threatened against it or them that could have a Material Adverse Effect. All tax liabilities accrued through the date hereof have been adequately provided for on the books of the Company. There are no liens for material taxes upon the assets of the Company or any of its subsidiaries other than for current taxes not yet due and payable or for taxes that are being contested in good faith by appropriate proceedings and for which adequate reserves in accordance with GAAP has been made in the Company's most recent financial statements included in the SEC Documents.</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The Company is not, and immediately after receipt of payment for the Shares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The Company maintains insurance underwritten by insurers of recognized financial responsibility, of the types and in the amounts that the Company reasonably believes is adequate for businesses of the Company and its subsidiaries, including directors’ and officers’ liability insurance and general and employer’s liability and all other risks customarily insured against and against such risks which the Company believes it is prudent to insure against, with such deductibles as are customary for companies in the same or similar business, all of which insurance is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color w:val="auto"/>
        </w:rPr>
        <w:t>Price of Common Shares.</w:t>
      </w:r>
      <w:r>
        <w:rPr>
          <w:rFonts w:ascii="Times New Roman" w:cs="Times New Roman" w:eastAsia="Times New Roman" w:hAnsi="Times New Roman"/>
          <w:sz w:val="18"/>
          <w:szCs w:val="18"/>
          <w:color w:val="auto"/>
        </w:rPr>
        <w:t xml:space="preserve"> The Company has not taken, and will not take, directly or indirectly, any action designed to cause or result in, or that has constituted or that might reasonably be expected to constitute, the stabilization or manipulation of the price of the Common Shares to facilitate the sale or resale of the Shares.</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Governmental Permits, Etc.</w:t>
      </w:r>
      <w:r>
        <w:rPr>
          <w:rFonts w:ascii="Times New Roman" w:cs="Times New Roman" w:eastAsia="Times New Roman" w:hAnsi="Times New Roman"/>
          <w:sz w:val="18"/>
          <w:szCs w:val="18"/>
          <w:color w:val="auto"/>
        </w:rPr>
        <w:t xml:space="preserve"> The Company and its subsidiaries have all franchises, licenses, permits, certificates and other authorizations from such Governmental Entity that are currently necessary for the operation of their respective businesses as currently conducted (collectively,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where the failure to possess such Permits would not reasonably be expected, individually or in the aggregate, to have a Material Adverse Effect. Neither the Company nor any of its subsidiaries has received any written notice requiring or threatening any revocation or modification of any such Permits, where such revocation or modification would reasonably be expected to have a Material Adverse Effect.</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Internal Control over Financial Reporting.</w:t>
      </w:r>
      <w:r>
        <w:rPr>
          <w:rFonts w:ascii="Times New Roman" w:cs="Times New Roman" w:eastAsia="Times New Roman" w:hAnsi="Times New Roman"/>
          <w:sz w:val="18"/>
          <w:szCs w:val="18"/>
          <w:color w:val="auto"/>
        </w:rPr>
        <w:t xml:space="preserve"> The Company maintains internal control over financial reporting (as such term is defined in paragraph (f) of Rule 13a-15 under the Exchange Act) as required by Rule 13a-15 under the Exchange Act. To the Knowledge of the Company, since the end of the Company’s most recent audited fiscal year, there has been no material weakness in the design or operation of the Company’s internal control over financial reporting (whether or not remediated) which are reasonably likely to adversely affect the Company’s ability to record, process, summarize and report financial information.</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Foreign Corrupt Practices.</w:t>
      </w:r>
      <w:r>
        <w:rPr>
          <w:rFonts w:ascii="Times New Roman" w:cs="Times New Roman" w:eastAsia="Times New Roman" w:hAnsi="Times New Roman"/>
          <w:sz w:val="18"/>
          <w:szCs w:val="18"/>
          <w:color w:val="auto"/>
        </w:rPr>
        <w:t xml:space="preserve"> Neither the Company nor any of its subsidiaries nor, to the Knowledge of the Company, any director, officer, agent, employee or other Person acting on behalf of the Company or any of its subsidiaries, has, in the course of its actions for, or on behalf of, the Company or any subsidiary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1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Employee Relations.</w:t>
      </w:r>
      <w:r>
        <w:rPr>
          <w:rFonts w:ascii="Times New Roman" w:cs="Times New Roman" w:eastAsia="Times New Roman" w:hAnsi="Times New Roman"/>
          <w:sz w:val="18"/>
          <w:szCs w:val="18"/>
          <w:color w:val="auto"/>
        </w:rPr>
        <w:t xml:space="preserve"> No material labor dispute with the employees of the Company or any of its subsidiaries, or with the employees of any principal supplier, manufacturer, customer or contractor of the Company or any of its subsidiaries, exists or, to the Company’s Knowledge,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subject the Company to any material liability with respect to any of the foregoing matters.</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The Company and its subsidiaries are in compliance in all material respects with all presently applicable provisions of the Employee Retirement Income Security Act of 1974, as amended, including the regulations and published interpretations thereunder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no “reportable event” (as defined in ERISA) has occurred with respect to any “pension plan” (as defined in ERISA) for which the Company or any subsidiary would have any material liability; the Company nor any of its subsidiaries has not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each “Pension Plan” for which the Company or any of its subsidiaries would have liability that is intended to be qualified under Section 401(a) of the Code is so qualified in all material respects and to the Knowledge of the Company, nothing has occurred, whether by action or by failure to act, which would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color w:val="auto"/>
        </w:rPr>
        <w:t>Registration Rights and Other Shareholder Agreements.</w:t>
      </w:r>
      <w:r>
        <w:rPr>
          <w:rFonts w:ascii="Times New Roman" w:cs="Times New Roman" w:eastAsia="Times New Roman" w:hAnsi="Times New Roman"/>
          <w:sz w:val="18"/>
          <w:szCs w:val="18"/>
          <w:color w:val="auto"/>
        </w:rPr>
        <w:t xml:space="preserve"> Except as provided in the SEC Documents, no Person has any right to cause the Company to effect the registration under the Securities Act covering the transfer of any securities of the Company and there are no other shareholder agreements, voting agreements or other similar agreements with respect to the Company’s capital shares to which the Company is a party or, to the Company’s Knowledge, between or among any of the Company’s shareholders.</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b w:val="1"/>
          <w:bCs w:val="1"/>
          <w:color w:val="auto"/>
        </w:rPr>
        <w:t>Trading Market Compliance.</w:t>
      </w:r>
      <w:r>
        <w:rPr>
          <w:rFonts w:ascii="Times New Roman" w:cs="Times New Roman" w:eastAsia="Times New Roman" w:hAnsi="Times New Roman"/>
          <w:sz w:val="18"/>
          <w:szCs w:val="18"/>
          <w:color w:val="auto"/>
        </w:rPr>
        <w:t xml:space="preserve"> The Company has not, in the previous twelve (12) months, received (i) written notice from the Trading Market that the Company is not in compliance with the listing or maintenance requirements of Trading Market that would result in immediate delisting or (ii) any notification, Staff Delisting Determination, or Public Reprimand Letter (as such terms are defined in applicable listing rules of the Trading Market) that requires a public announcement by the Company of any noncompliance or deficiency with respect to such listing or maintenance requirements. The Company is in compliance with all listing and maintenance requirements of the Trading Market on the date hereof.</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b w:val="1"/>
          <w:bCs w:val="1"/>
          <w:color w:val="auto"/>
        </w:rPr>
        <w:t>No “Bad Actor” Disqualification.</w:t>
      </w:r>
      <w:r>
        <w:rPr>
          <w:rFonts w:ascii="Times New Roman" w:cs="Times New Roman" w:eastAsia="Times New Roman" w:hAnsi="Times New Roman"/>
          <w:sz w:val="18"/>
          <w:szCs w:val="18"/>
          <w:color w:val="auto"/>
        </w:rPr>
        <w:t xml:space="preserve"> No “bad actor” disqualifying event described in Rule 506(d)(1)(i)-(viii) of the Securities Act (a “</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is applicable to the Company or, to the Knowledge of the Company, any Company Covered Person (as defined below), except for a Disqualification Event to which Rule 506(d)(2)(ii-iv) or (d)(3) is applicable. “</w:t>
      </w:r>
      <w:r>
        <w:rPr>
          <w:rFonts w:ascii="Times New Roman" w:cs="Times New Roman" w:eastAsia="Times New Roman" w:hAnsi="Times New Roman"/>
          <w:sz w:val="18"/>
          <w:szCs w:val="18"/>
          <w:b w:val="1"/>
          <w:bCs w:val="1"/>
          <w:i w:val="1"/>
          <w:iCs w:val="1"/>
          <w:color w:val="auto"/>
        </w:rPr>
        <w:t>Company Covered Person</w:t>
      </w:r>
      <w:r>
        <w:rPr>
          <w:rFonts w:ascii="Times New Roman" w:cs="Times New Roman" w:eastAsia="Times New Roman" w:hAnsi="Times New Roman"/>
          <w:sz w:val="18"/>
          <w:szCs w:val="18"/>
          <w:color w:val="auto"/>
        </w:rPr>
        <w:t>” means, with respect to the Company as an “issuer” for purposes of Rule 506 promulgated under the Securities Act, any person listed in the first paragraph of Rule 506(d)(1).</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None of the Company, any of its subsidiaries or, to the knowledge of the Company, any director, officer, agent, employee, affiliate or representative of the Company or any of its subsidiaries is Person, or is more than 50 percent owned in the aggregate by or acting on behalf of one or more Persons that are,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 directly or indirectly use the proceeds of the sale of the Shares, or lend, contribute or otherwise make available such proceeds to any subsidiaries, joint venture partners or other Person, to fund any activities of or business (i) with any Person, or in any country or territory, that, at the time of such funding, is a designated target of Sanctions, (ii) in or involving a country or territory which at the time of such funding is the subject of comprehensive country-wide or territory-wide Sanctions, or (iii) in any other manner that will result in a violation by any Person (including any Person participating in the transaction, whether as underwriter, advisor, investor or otherwise) of Sanctions.</w:t>
      </w:r>
    </w:p>
    <w:p>
      <w:pPr>
        <w:spacing w:after="0" w:line="1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REPRESENTATIONS, WARRANTIES AND COVENANTS OF THE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Purchaser, severally and not jointly, represents and warrants to and covenant with the Company that:</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Risk.</w:t>
      </w:r>
      <w:r>
        <w:rPr>
          <w:rFonts w:ascii="Times New Roman" w:cs="Times New Roman" w:eastAsia="Times New Roman" w:hAnsi="Times New Roman"/>
          <w:sz w:val="18"/>
          <w:szCs w:val="18"/>
          <w:color w:val="auto"/>
        </w:rPr>
        <w:t xml:space="preserve"> Such Purchaser, taking into account the personnel and resources it can practically bring to bear on the purchase of the Shares contemplated hereby, is knowledgeable, sophisticated and experienced in making, and is qualified to make, decisions with respect to investments in securities presenting an investment decision like that involved in the purchase of the Shares, including investments in securities issued by the Company, and has requested, received, reviewed and considered all information the Purchasers know about and deem relevant (including the SEC Documents) in making an informed decision to purchase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xml:space="preserve"> Purchaser is acquiring the Shares pursuant to this Agreement for its own account for investment only and with no present intention of distributing any of such Shares or any arrangement or understanding with any other Persons regarding the distribution of such Shares, except in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Reliance.</w:t>
      </w:r>
      <w:r>
        <w:rPr>
          <w:rFonts w:ascii="Times New Roman" w:cs="Times New Roman" w:eastAsia="Times New Roman" w:hAnsi="Times New Roman"/>
          <w:sz w:val="18"/>
          <w:szCs w:val="18"/>
          <w:color w:val="auto"/>
        </w:rPr>
        <w:t xml:space="preserve"> Such Purchaser understands that the Shares are being offered and sold to it in reliance upon specific exemptions from the registration requirements of the Securities Act, the Rules and Regulations and state, provincial and territorial securities laws, as applicable,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Shares. If any of the representations deemed to have been made by it by its purchase of the Shares are no longer accurate prior to Closing, the Investor shall promptly notify the Company. If such Purchaser is acquiring the Shares as a fiduciary or agent for one or more investor accounts, it represents that it has sole investment discretion with respect to each such account and it has full power to make the foregoing representations, acknowledgements and agreements on behalf of such account.</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Compliance with the Securities Act</w:t>
      </w:r>
      <w:r>
        <w:rPr>
          <w:rFonts w:ascii="Times New Roman" w:cs="Times New Roman" w:eastAsia="Times New Roman" w:hAnsi="Times New Roman"/>
          <w:sz w:val="18"/>
          <w:szCs w:val="18"/>
          <w:color w:val="auto"/>
        </w:rPr>
        <w:t>. Such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applicable Canadian securities laws and the rules and regulations promulgated thereunder.</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xml:space="preserve"> Such Purchaser is an “accredited investor” within the meaning of (i) Rule 501 of Regulation D promulgated under the Securities Act or (ii) a Qualified Institutional Buyer within the meaning of Rule 144A promulgated under the Securities Act.</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Power and Authority.</w:t>
      </w:r>
      <w:r>
        <w:rPr>
          <w:rFonts w:ascii="Times New Roman" w:cs="Times New Roman" w:eastAsia="Times New Roman" w:hAnsi="Times New Roman"/>
          <w:sz w:val="18"/>
          <w:szCs w:val="18"/>
          <w:color w:val="auto"/>
        </w:rPr>
        <w:t xml:space="preserve"> Such Purchaser has all requisite corporate power, and has taken all requisite corporate action, to authorize, execute and deliver this Agreement and each of the other agreements and instruments contemplated herein to which the Purchaser is a party, to consummate the transactions contemplated herein and therein and to carry out and perform all of such Purchaser’s obligations hereunder and thereunder. Upon the execution and delivery of this Agreement, this Agreement shall constitute a valid and binding obligation of such Purchaser, enforceable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Broker Dealer.</w:t>
      </w:r>
      <w:r>
        <w:rPr>
          <w:rFonts w:ascii="Times New Roman" w:cs="Times New Roman" w:eastAsia="Times New Roman" w:hAnsi="Times New Roman"/>
          <w:sz w:val="18"/>
          <w:szCs w:val="18"/>
          <w:color w:val="auto"/>
        </w:rPr>
        <w:t xml:space="preserve"> Such Purchaser is not a broker or dealer registered pursuant to Section 15 of the Exchange Act (a “</w:t>
      </w:r>
      <w:r>
        <w:rPr>
          <w:rFonts w:ascii="Times New Roman" w:cs="Times New Roman" w:eastAsia="Times New Roman" w:hAnsi="Times New Roman"/>
          <w:sz w:val="18"/>
          <w:szCs w:val="18"/>
          <w:b w:val="1"/>
          <w:bCs w:val="1"/>
          <w:i w:val="1"/>
          <w:iCs w:val="1"/>
          <w:color w:val="auto"/>
        </w:rPr>
        <w:t>Registered Broker Dealer</w:t>
      </w:r>
      <w:r>
        <w:rPr>
          <w:rFonts w:ascii="Times New Roman" w:cs="Times New Roman" w:eastAsia="Times New Roman" w:hAnsi="Times New Roman"/>
          <w:sz w:val="18"/>
          <w:szCs w:val="18"/>
          <w:color w:val="auto"/>
        </w:rPr>
        <w:t>”) and is not an affiliate of a Registered Broker Dealer.</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Sophisticated Investor</w:t>
      </w:r>
      <w:r>
        <w:rPr>
          <w:rFonts w:ascii="Times New Roman" w:cs="Times New Roman" w:eastAsia="Times New Roman" w:hAnsi="Times New Roman"/>
          <w:sz w:val="18"/>
          <w:szCs w:val="18"/>
          <w:color w:val="auto"/>
        </w:rPr>
        <w:t>. Such Purchaser acknowledges that it is a sophisticated investor engaged in the business of assessing and assuming investment risks with respect to securities, including securities such as the Shares, and further acknowledges that the Company is entering into this Agreement in reliance on this acknowledgment and such Purchaser’s understanding, acknowledgment and agreement that the Company has disclosed certain confidential matters to such Purchaser as part of its due diligence review that may represent material, non-public information of the Company. Such Purchaser further acknowledges that it is aware of the restrictions imposed by United States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 Such Purchaser hereby waives any claim, or potential claim, it has or may have against the Company relating to the Company’s confidential disclosure, and the Purchaser’s receipt and possession,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Other Securities Transactions.</w:t>
      </w:r>
      <w:r>
        <w:rPr>
          <w:rFonts w:ascii="Times New Roman" w:cs="Times New Roman" w:eastAsia="Times New Roman" w:hAnsi="Times New Roman"/>
          <w:sz w:val="18"/>
          <w:szCs w:val="18"/>
          <w:color w:val="auto"/>
        </w:rPr>
        <w:t xml:space="preserve"> Such Purchaser has not, either directly or indirectly through an affiliate, agent or representative of the Company, engaged in any transaction in the securities of the Company other than with respect to the transactions contemplated herein, since the time that the Purchaser was first contacted by the Company or any other Person regarding the transactions contemplated hereby until the date hereof, except as set forth in filings made with the Commission pursuant to the Exchange Act.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Independent Advice.</w:t>
      </w:r>
      <w:r>
        <w:rPr>
          <w:rFonts w:ascii="Times New Roman" w:cs="Times New Roman" w:eastAsia="Times New Roman" w:hAnsi="Times New Roman"/>
          <w:sz w:val="18"/>
          <w:szCs w:val="18"/>
          <w:color w:val="auto"/>
        </w:rPr>
        <w:t xml:space="preserve"> Such Purchaser understands that nothing in this Agreement or any other materials presented to such Purchaser in connection with the purchase and sale of the Shares constitutes legal, tax or investment advice. Such Purchaser has consulted such legal, tax and investment advisors as it, in its sole discretion, has deemed necessary or appropriate in connection with its purchase of the Shares.</w:t>
      </w:r>
    </w:p>
    <w:p>
      <w:pPr>
        <w:spacing w:after="0" w:line="171"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b w:val="1"/>
          <w:bCs w:val="1"/>
          <w:color w:val="auto"/>
        </w:rPr>
        <w:t xml:space="preserve">Legends. </w:t>
      </w:r>
      <w:r>
        <w:rPr>
          <w:rFonts w:ascii="Times New Roman" w:cs="Times New Roman" w:eastAsia="Times New Roman" w:hAnsi="Times New Roman"/>
          <w:sz w:val="18"/>
          <w:szCs w:val="18"/>
          <w:color w:val="auto"/>
        </w:rPr>
        <w:t>Such Purchaser understands that, until such time as the Shares may be sold pursuant to Rule 144, any certificates representing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whether maintained in a book entry system or otherwise, will bear one or more legends in substantially the following form and substance:</w:t>
      </w:r>
    </w:p>
    <w:p>
      <w:pPr>
        <w:spacing w:after="0" w:line="207" w:lineRule="exact"/>
        <w:rPr>
          <w:sz w:val="20"/>
          <w:szCs w:val="20"/>
          <w:color w:val="auto"/>
        </w:rPr>
      </w:pPr>
    </w:p>
    <w:p>
      <w:pPr>
        <w:jc w:val="both"/>
        <w:ind w:left="980" w:right="640"/>
        <w:spacing w:after="0" w:line="253" w:lineRule="auto"/>
        <w:rPr>
          <w:sz w:val="20"/>
          <w:szCs w:val="20"/>
          <w:color w:val="auto"/>
        </w:rPr>
      </w:pPr>
      <w:r>
        <w:rPr>
          <w:rFonts w:ascii="Times New Roman" w:cs="Times New Roman" w:eastAsia="Times New Roman" w:hAnsi="Times New Roman"/>
          <w:sz w:val="18"/>
          <w:szCs w:val="18"/>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Purchaser or each beneficial purchaser, if any, for whom it is acting as trustee or agent, is resident in any province or territory of Canada, the Shares are subject to a hold period under applicable Canadian securities laws and may not be traded until the expiry of such hold period except as permitted by applicable securities legislation and such Purchaser understands any certificates representing the Shares, whether maintained in a book entry system or otherwise, will bear one or more legends in substantially the following form and substance (and in the event that no physical certificates are issued, the below constitutes written notice of the legend restriction under applicable Canadian securities laws ) until such time as no longer required by applicable law:</w:t>
      </w:r>
    </w:p>
    <w:p>
      <w:pPr>
        <w:spacing w:after="0" w:line="187" w:lineRule="exact"/>
        <w:rPr>
          <w:sz w:val="20"/>
          <w:szCs w:val="20"/>
          <w:color w:val="auto"/>
        </w:rPr>
      </w:pPr>
    </w:p>
    <w:p>
      <w:pPr>
        <w:jc w:val="both"/>
        <w:ind w:left="980" w:right="660"/>
        <w:spacing w:after="0" w:line="266" w:lineRule="auto"/>
        <w:rPr>
          <w:sz w:val="20"/>
          <w:szCs w:val="20"/>
          <w:color w:val="auto"/>
        </w:rPr>
      </w:pPr>
      <w:r>
        <w:rPr>
          <w:rFonts w:ascii="Times New Roman" w:cs="Times New Roman" w:eastAsia="Times New Roman" w:hAnsi="Times New Roman"/>
          <w:sz w:val="18"/>
          <w:szCs w:val="18"/>
          <w:color w:val="auto"/>
        </w:rPr>
        <w:t>“UNLESS PERMITTED UNDER SECURITIES LEGISLATION, THE HOLDER OF THIS SECURITY MUST NOT TRADE THE SECURITY BEFORE THE DATE THAT IS 4 MONTHS AND A DAY AFTER THE LATER OF (I) AUGUST ___, 2022, AND (II) THE DATE THE ISSUER BECAME A REPORTING ISSUER IN ANY PROVINCE OR TERRITORY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any share certificates, whether maintained in a book entry system or otherwise, representing the Shares may contain any legend required by the blue sky laws of any state or applicable Canadian securities laws to the extent such laws are applicable to the sale of such Shares hereunder. The Company shall use its commercially reasonable efforts to help facilitate the removal of such legend upon the earlier of (i) such time when it is legally permitted to do so under Rule 144 or applicable Canadian securities laws, or to facilitate any transfer of the Shares under Rule 144 or applicable Canadian securities laws that may be requested by Purchasers and (ii) following such time that the Commission declares the Registration Statement (as defined below) covering the Shares effective, but in any event, shall not be obligated to incur any material costs or expenses in making such efforts other than as set forth herein.</w:t>
      </w:r>
    </w:p>
    <w:p>
      <w:pPr>
        <w:spacing w:after="0" w:line="18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Company shall, at its sole expense, upon appropriate notice from any Purchaser stating that Registrable Securities (as defined below) have been sold pursuant to an effective Registration Statement (as defined below) or upon notice from the Commission that the Registration Statement (as defined below) covering the resale of the Shares has been declared effective, cause its transfer agent to timely prepare and deliver certificates or book-entry shares representing the Shares to be delivered to a transferee pursuant to the Registration Statement, which certificates or book-entry shares shall be free of any restrictive legends and in such denominations and registered in such names as such Purchaser may request. Further, the Company shall, at its sole expense, cause its legal counsel or other counsel satisfactory to the transfer agent: (i) while the Registration Statement is effective, to issue to the transfer agent a “blanket” legal opinion to allow sales without restriction pursuant to the effective Registration Statement, and (ii) provide all other opinions as may reasonably be required by the transfer agent in connection with the removal of legends (other than any legends required by applicable Canadian securities laws). A Purchaser may request that the Company remove, and the Company agrees to authorize the removal of, any legend from such Shares (other than any legends required by applicable Canadian securities laws), following the delivery by a Purchaser to the Company or the Company’s transfer agent of a legended certificate representing such Shares: (i) following any sale of such Shares pursuant to Rule 144 or (ii) if such Shares are eligible for sale under Rule 144(b)(1). If a legend removal request is made pursuant to the foregoing, the Company will, no later than two business days following the delivery by a Purchaser to the Company or the Company’s transfer agent of a legended certificate representing such Shares (or a request for legend removal, in the case of Shares issued in book-entry form), deliver or cause to be delivered to such Purchaser a certificate representing such Shares that is free from all restrictive legends or an equivalent book-entry position (other than any legends required by applicable Canadian securities laws), as requested by the Purchaser. Certificates for Shares free from all restrictive legends may be transmitted by the Company’s transfer agent to the Purchasers by crediting the account of the Purchaser’s prime broker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as directed by such Purchaser. The Company warrants that the Shares shall otherwise be freely transferable on the books and records of the Company as and to the extent provided in this Agreement. If a Purchaser effects a transfer of the Shares in accordance with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hereby agrees that the removal of the restrictive legend pursuant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is predicated upon the Company’s reliance that such Purchaser will sell any such Shares pursuant to either the registration requirements of the Securities Act, including any applicable prospectus delivery requirements, or an exemption therefrom and such Purchaser shall deliver a certificate reasonably satisfactory to the Company to the foregoing effect.</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Such Purchaser understands that the Shares are characterized as “restricted securities” under the United States federal securities laws inasmuch as they are being acquired from the Company in a transaction not involving a public offering and that under such laws and applicable regulations such Shares may be resold without registration under the Securities Act only in certain limited circumstances. Accordingly, such Purchaser represents that it is familiar with Rule 144 of the Securities Act, as presently in effect, and understands the resale limitations imposed thereby and by the Securities Act Such Purchase also understands that the Company was formerly a shell company and as of the date of this Agreement, Rule 144 is not available for the resale of Shares until such time as certain conditions are met, including at least one year having elapsed from the time that the Company filed current Form 10 type information with the Commission reflecting its status as an entity that is not a shell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Anti-Money Laundering.</w:t>
      </w:r>
      <w:r>
        <w:rPr>
          <w:rFonts w:ascii="Times New Roman" w:cs="Times New Roman" w:eastAsia="Times New Roman" w:hAnsi="Times New Roman"/>
          <w:sz w:val="18"/>
          <w:szCs w:val="18"/>
          <w:color w:val="auto"/>
        </w:rPr>
        <w:t xml:space="preserve"> The funds used to purchase the Shares which will be advanced by the Purchaser to the Company hereunder will not represent proceeds of crime for the purposes of the Criminal Code (Canada) or the Proceeds of Crime (Money Laundering) and Terrorist Financing Act (Canada) (collectively, “Anti-Money Laundering Laws”) and the Purchaser acknowledges that the Company may in the future be required by law to disclose the Purchaser’s name and other information relating to this Agreement and the Purchaser’s subscription hereunder, on a confidential basis, pursuant to the Anti-Money Laundering Laws and the legislation, regulations or instruments enacting Canadian Economic Sanctions (as defined below). The Purchaser is not a person or entity identified on a list established under any Anti-Money Laundering Law (including, without limitation, Section 83.05 of the Criminal Code (Canada)) and the Purchaser is not a person or entity identified in the legislation or regulations enacting any economic or financial sanctions, laws, regulations, embargoes, or restrictive measures imposed, administered or enforced by Canada, including but not limited to, the provisions of the United Nations Act (Canada), the Special Economic Measures Act (Canada) or any other economic sanctions laws administered by applicable Canadian regulatory authorities (collectively, “Canadian Economic Sanctions”). To the best of its, his or her knowledge, none of the subscription funds to be provided by the Purchaser: (i) have been or will be derived from or related to any activity that is deemed criminal under the laws of Canada, the United States, or any other jurisdiction; or (ii) are being tendered on behalf of a person or entity who has not been identified to the Purchaser, and the Purchaser will promptly notify the Company if the Purchaser discovers that any of such representations cease to be true and provide the Company with appropriate information in connection therewith; none of the funds the Purchaser is using to purchase the Shares are, to the knowledge of the Purchaser, proceeds obtained or delivered, directly or indirectly, as a result of illegal activities.</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REGISTRATION OF THE SHARES AND COMPLIANCE WITH THE SECURITIES ACT.</w:t>
      </w:r>
    </w:p>
    <w:p>
      <w:pPr>
        <w:spacing w:after="0" w:line="225"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Registration Procedures and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980"/>
        <w:spacing w:after="0" w:line="254" w:lineRule="auto"/>
        <w:tabs>
          <w:tab w:leader="none" w:pos="13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Piggyback Rights</w:t>
      </w:r>
      <w:r>
        <w:rPr>
          <w:rFonts w:ascii="Times New Roman" w:cs="Times New Roman" w:eastAsia="Times New Roman" w:hAnsi="Times New Roman"/>
          <w:sz w:val="18"/>
          <w:szCs w:val="18"/>
          <w:color w:val="auto"/>
        </w:rPr>
        <w:t>. In the event that the Company, in its sole discretion, shall determine to prepare and file a registration statement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S-3, or any other appropriate form on which the Shares may be registered for resale (each of the Shares, together with any capital shares issued or issuable, from time to time, upon any reclassification, share combination, share subdivision, share split, share dividend or similar transaction or event or otherwise as a distribution on, in exchange for or with respect to any of the foregoing, in each case held at the relevant time by a Purchaser, the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by the Purchasers, whether or not on a continuous basis pursuant to Rule 415 under the Securities Act, which such registration statement may include shares that may be offered by the Company, which for avoidance of doubt shall not include any pre- or post-effective amendment to a registration statement filed with the Commission as of the date hereof (the “</w:t>
      </w:r>
      <w:r>
        <w:rPr>
          <w:rFonts w:ascii="Times New Roman" w:cs="Times New Roman" w:eastAsia="Times New Roman" w:hAnsi="Times New Roman"/>
          <w:sz w:val="18"/>
          <w:szCs w:val="18"/>
          <w:b w:val="1"/>
          <w:bCs w:val="1"/>
          <w:i w:val="1"/>
          <w:iCs w:val="1"/>
          <w:color w:val="auto"/>
        </w:rPr>
        <w:t>Subsequent Registration Statement</w:t>
      </w:r>
      <w:r>
        <w:rPr>
          <w:rFonts w:ascii="Times New Roman" w:cs="Times New Roman" w:eastAsia="Times New Roman" w:hAnsi="Times New Roman"/>
          <w:sz w:val="18"/>
          <w:szCs w:val="18"/>
          <w:color w:val="auto"/>
        </w:rPr>
        <w:t>”), and has not previously filed a Secondary Registration Statement (as defined below), the Company shall: (i) notify each Purchaser of such determination; and (ii) if, within ten (10) days after receipt of such notice, any Purchaser requests in writing to include all or any part of its Registrable Securities in such Subsequent Registration Statement, include the Registrable Securities as so requested by the applicable Purchaser. Notwithstanding the foregoing and for avoidance of doubt, the Company may, but shall not be required to, file a Subsequent Registration Statement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ind w:left="-8" w:firstLine="980"/>
        <w:spacing w:after="0" w:line="259" w:lineRule="auto"/>
        <w:tabs>
          <w:tab w:leader="none" w:pos="136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Secondary Registration Statement. </w:t>
      </w:r>
      <w:r>
        <w:rPr>
          <w:rFonts w:ascii="Times New Roman" w:cs="Times New Roman" w:eastAsia="Times New Roman" w:hAnsi="Times New Roman"/>
          <w:sz w:val="18"/>
          <w:szCs w:val="18"/>
          <w:color w:val="auto"/>
        </w:rPr>
        <w:t>If the Company has not previously filed a Subsequent Registration Statement,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September 16, 2022 (the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use its commercially reasonable efforts to prepare and file with the Commission a Registration Statement on Form S-1 or S-3, as appropriate (the “</w:t>
      </w:r>
      <w:r>
        <w:rPr>
          <w:rFonts w:ascii="Times New Roman" w:cs="Times New Roman" w:eastAsia="Times New Roman" w:hAnsi="Times New Roman"/>
          <w:sz w:val="18"/>
          <w:szCs w:val="18"/>
          <w:b w:val="1"/>
          <w:bCs w:val="1"/>
          <w:i w:val="1"/>
          <w:iCs w:val="1"/>
          <w:color w:val="auto"/>
        </w:rPr>
        <w:t>Secondary Registration Statement</w:t>
      </w:r>
      <w:r>
        <w:rPr>
          <w:rFonts w:ascii="Times New Roman" w:cs="Times New Roman" w:eastAsia="Times New Roman" w:hAnsi="Times New Roman"/>
          <w:sz w:val="18"/>
          <w:szCs w:val="18"/>
          <w:color w:val="auto"/>
        </w:rPr>
        <w:t>”; where used hereafter,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either a Subsequent Registration Statement which includes the Registrable Securities, or the Secondary Registration Statement, as applicable), relating to and providing for the resale of the Shares by the Purchasers on a continuous basis pursuant to Rule 415 under the Securities Act.</w:t>
      </w:r>
    </w:p>
    <w:p>
      <w:pPr>
        <w:spacing w:after="0" w:line="183" w:lineRule="exact"/>
        <w:rPr>
          <w:rFonts w:ascii="Times New Roman" w:cs="Times New Roman" w:eastAsia="Times New Roman" w:hAnsi="Times New Roman"/>
          <w:sz w:val="18"/>
          <w:szCs w:val="18"/>
          <w:color w:val="auto"/>
        </w:rPr>
      </w:pPr>
    </w:p>
    <w:p>
      <w:pPr>
        <w:jc w:val="both"/>
        <w:ind w:left="-8" w:firstLine="980"/>
        <w:spacing w:after="0" w:line="261" w:lineRule="auto"/>
        <w:tabs>
          <w:tab w:leader="none" w:pos="134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subject to receipt of necessary information from the Purchasers, to cause the Commission to declare a Registration Statement covering the Shares effective as soon as practicable after the date of the filing thereof and in any event no later than sixty (60) days after such filing if the Registration Statement and no later than ninety (90) days after such filing if such Registration Statement is reviewed by the Commission (in either case, such date,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8" w:firstLine="980"/>
        <w:spacing w:after="0" w:line="258" w:lineRule="auto"/>
        <w:tabs>
          <w:tab w:leader="none" w:pos="14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prepare and file with the Commission such amendments and supplements to the Registration Statement and the prospectus used in connection therewith as may be necessary to keep the Registration Statement effective until the earliest of (i) the third anniversary of the effective date of the Registration Statement, (ii) such time as all of the Shares purchased by the Purchasers pursuant to the terms of this Agreement have been sold pursuant to the Registration Statement, or (iii) such time as the Shares become eligible for resale by non-affiliates without any volume limitations or other restrictions pursuant to Rule 144(b)(1)(i) under the Securities Act or any other rule of similar effect.</w:t>
      </w:r>
    </w:p>
    <w:p>
      <w:pPr>
        <w:spacing w:after="0" w:line="183" w:lineRule="exact"/>
        <w:rPr>
          <w:rFonts w:ascii="Times New Roman" w:cs="Times New Roman" w:eastAsia="Times New Roman" w:hAnsi="Times New Roman"/>
          <w:sz w:val="18"/>
          <w:szCs w:val="18"/>
          <w:color w:val="auto"/>
        </w:rPr>
      </w:pPr>
    </w:p>
    <w:p>
      <w:pPr>
        <w:jc w:val="both"/>
        <w:ind w:left="-8" w:firstLine="980"/>
        <w:spacing w:after="0" w:line="252" w:lineRule="auto"/>
        <w:tabs>
          <w:tab w:leader="none" w:pos="136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obligations, the Company may, upon written notice to the Purchasers, which notice shall not contain any information that is or the Company reasonably believes is material non-public information, for a reasonable period of time, not to exceed forty-five (45) days in the case of clauses (A) and (B) below, or thirty (30) days in the case of clause (C) below (each, a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color w:val="auto"/>
        </w:rPr>
        <w:t>”), delay the filing of a Secondary Registration Statement or a request for acceleration of the effective date, or suspend the effectiveness of any Registration Statement, in the event that (A) the Company is engaged in any activity or transaction or preparations or negotiations for any activity or transaction that the Company desires to keep confidential for business reasons, if the Company determines in good faith that the public disclosure requirements imposed on the Company under the Securities Act in connection with the Registration Statement would require at that time disclosure of such activity, transaction, preparations or negotiations and such disclosure could result in material harm to the Company or its business transactions or activities, (B) the Company does not yet have appropriate financial statements of any acquired or to be acquired entities necessary for filing, or (C) any other event occurs that makes any statement of a material fact made in such Registration Statement, including any document incorporated by reference therein, untrue or that requires the making of any additions or changes in the Registration Statement in order to make the statements therein not misleading; provided, however, that in the case of a Blackout Period pursuant to clause (A) above, the Blackout Period shall terminate upon the earlier of (i) such forty-five (45) day or thirty (30) day period, as applicable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completion, resolution or public announcement of the relevant transaction or event. If the Company suspends the effectiveness of a Registration Statement pursuant to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the Company shall, as promptly as reasonably practicable following the termination of the circumstance which entitled the Company to do so, take such actions as may be necessary to reinstate the effectiveness of such Registration Statement and give written notice to the Purchasers authorizing the Purchasers to resume offerings and sales pursuant to such Registration Statement. If as a result thereof the prospectus included in such Registration Statement has been amended or supplemented to comply with the requirements of the Securities Act, the Company shall enclose such revised prospectus with the notice to Investor given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Company shall be entitled to exercise its rights under this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not more than once in any six (6) month period; provided, however, that the aggregate number of days of all Blackout Periods hereunder shall not exceed seventy-five (75) days in any twelve (12) month period. After the expiration of any Blackout Period and without further request from the Investor, the Company shall effect the filing (or if required amendment or supplement) of the Registration Statement, or the filing of other documents, as necessary to allow the Investor to resell the Registrable Securities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68" w:name="page69"/>
    <w:bookmarkEnd w:id="68"/>
    <w:p>
      <w:pPr>
        <w:jc w:val="both"/>
        <w:ind w:firstLine="980"/>
        <w:spacing w:after="0" w:line="266" w:lineRule="auto"/>
        <w:tabs>
          <w:tab w:leader="none" w:pos="143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Purchasers with respect to the Shares registered under any Registration Statement (and to each underwriter, if any, of such Shares) such number of copies of prospectuses and such other documents as the Purchaser may reasonably request, in order to facilitate the public sale or other disposition of all or any of the Shares by the Purchaser.</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4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bear all expenses in connection with the procedures in paragraphs (a) through (f)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registration of the Shares pursuant to the Registration Statement, other than fees and expenses, if any, of counsel or other advisers to the Purchasers or underwriting discounts, brokerage fees and commissions incurred by the Purchaser, if any in connection with the offering of the Shares pursuant to the Registration Statement.</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4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enable the Purchasers to sell the Shares under Rule 144 to the Securities Act, the Company shall use its commercially reasonable efforts to comply with the requirements of Rule 144, including without limitation, use its commercially reasonable efforts to comply with the requirements of Rule 144(c)(1) with respect to public information about the Company and to timely file all reports required to be filed by the Company under the Exchange Act.</w:t>
      </w:r>
    </w:p>
    <w:p>
      <w:pPr>
        <w:spacing w:after="0" w:line="179" w:lineRule="exact"/>
        <w:rPr>
          <w:rFonts w:ascii="Times New Roman" w:cs="Times New Roman" w:eastAsia="Times New Roman" w:hAnsi="Times New Roman"/>
          <w:sz w:val="18"/>
          <w:szCs w:val="18"/>
          <w:color w:val="auto"/>
        </w:rPr>
      </w:pPr>
    </w:p>
    <w:p>
      <w:pPr>
        <w:jc w:val="both"/>
        <w:ind w:firstLine="980"/>
        <w:spacing w:after="0" w:line="261" w:lineRule="auto"/>
        <w:tabs>
          <w:tab w:leader="none" w:pos="13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Purchasers an opportunity to review and comment on all disclosures regarding the Purchasers and any plan of distribution proposed by them in connection with the preparation of any Registration Statement. Notwithstanding anything to the contrary contained herein, in no event shall the Company be permitted to name any Purchaser or affiliate of a Purchaser as an “underwriter” without the prior written consent of such Purchaser.</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Each Purchaser agrees that it will not effect any disposition of the Shares that would constitute a sale within the meaning of the Securities Act or pursuant to any applicable state securities laws, unless and until (1) there is then in effect a registration statement under the Securities Act covering such proposed disposition and such disposition is made in accordance with such registration statement or (2) such disposition is otherwise permitted by law, including pursuant to the procedures set forth in Rule 144 under the Securities Act. Notwithstanding the preceding sentence, no restriction shall apply to a transfer by a Purchaser that is a partnership transferring to its partners or former partners in accordance with partnership interests.</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b w:val="1"/>
          <w:bCs w:val="1"/>
          <w:i w:val="1"/>
          <w:iCs w:val="1"/>
          <w:color w:val="auto"/>
        </w:rPr>
        <w:t>Purchaser/Affiliate</w:t>
      </w:r>
      <w:r>
        <w:rPr>
          <w:rFonts w:ascii="Times New Roman" w:cs="Times New Roman" w:eastAsia="Times New Roman" w:hAnsi="Times New Roman"/>
          <w:sz w:val="18"/>
          <w:szCs w:val="18"/>
          <w:color w:val="auto"/>
        </w:rPr>
        <w:t>” shall mean any affiliate of the Purchaser, including, without limitation, any general partner or managing member of the Purchaser, any investment adviser of the Purchaser, or any transferee who is an affiliate of the Purchaser, and any person who controls the Purchaser or any affiliate of the Purchaser within the meaning of Section 15 of the Securities Act or Section 20 of the Exchange Act; and (ii) the term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include any preliminary prospectus, final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free writing prospectus, exhibit, supplement or amendment included in or relating to, and any document incorporated by reference in, the Registration Statement referred to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left="-980" w:firstLine="980"/>
        <w:spacing w:after="0" w:line="251" w:lineRule="auto"/>
        <w:tabs>
          <w:tab w:leader="none" w:pos="3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Purchasers and each Purchaser/Affiliate, against any losses, claims, damages, liabilities or expenses, joint or several, that such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as amended at the time of effectiveness of the Registration Statement, including any information deemed to be a part thereof as of the time of effectiveness pursuant to paragraph (b) of Rule 430A, or pursuant to Rules 430B, 430C or 434, of the Rules and Regulations, or the Prospectus, in the form first filed with the Commission pursuant to Rule 424(b) of the Regulations,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or (ii) arise out of or are based in whole or in part on any inaccuracy in the representations or warranties of the Company contained in this Agreement, breach of any covenant of the Company contained in this Agreement or any failure of the Company to perform its other obligations hereunder or under law, and will promptly reimburse each Purchaser and each Purchaser/Affiliate for any legal and other out-of-pocket expenses as such expenses are reasonably incurred and documented by such Purchaser or such Purchaser/Affiliate in connection with investigating, defending or preparing to defend, settling, compromising or paying any such loss, claim, damage, liability, expense or action; provided, however, that the Company will not be liable for amounts paid in settlement of any such loss, claim, damage, liability or action if such settlement is effected without the written consent of the Company, which consent shall not be unreasonably withheld or delayed, and the Company will not be liable in any such case to the extent that any such loss, claim, damage, liability or expense arises out of or is based upon (i) the gross negligence or willful misconduct of such Purchaser, or (ii) an untrue statement or alleged untrue statement or omission or alleged omission made in the Registration Statement, the Prospectus or any amendment or supplement thereto in reliance upon and in conformity with written information furnished to the Company by or on behalf of the Purchaser expressly for use therein, or (iii) the inaccuracy of any representation or warranty made by such Purchaser herein or (iv) any statement or omission in any Prospectus that is corrected in any subsequent Prospectus that was delivered to the Purchaser prior to the pertinent sale or sales by the Purchaser. Any such indemnified Purchaser shall return all payments made hereunder if it is determined, by a final, non-appealable judgment by a court or arbitral tribunal, that the losses for which such payments were made resulted from such Indemnified Person’s gross negligence or willful misconduct.</w:t>
      </w:r>
    </w:p>
    <w:p>
      <w:pPr>
        <w:spacing w:after="0" w:line="203" w:lineRule="exact"/>
        <w:rPr>
          <w:rFonts w:ascii="Times New Roman" w:cs="Times New Roman" w:eastAsia="Times New Roman" w:hAnsi="Times New Roman"/>
          <w:sz w:val="18"/>
          <w:szCs w:val="18"/>
          <w:color w:val="auto"/>
        </w:rPr>
      </w:pPr>
    </w:p>
    <w:p>
      <w:pPr>
        <w:jc w:val="both"/>
        <w:ind w:left="-980" w:firstLine="980"/>
        <w:spacing w:after="0" w:line="252" w:lineRule="auto"/>
        <w:tabs>
          <w:tab w:leader="none" w:pos="41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will severally, but not jointly, indemnify and hold harmless the Company, each of its directors, each of its officers who signed the Registration Statement and each person, if any, who controls the Company within the meaning of Section 15 of the Securities Act or Section 20 of the Exchange Act, against any losses, claims, damages, liabilities or expenses that the Company, each of its directors, each of its officers who signed the Registration Statement or controlling person incurs, under the Securities Act, the Exchange Act, or any other federal or state statutory law or regulation, or at common law or otherwise (including in settlement of any litigation, but only if such settlement is effected with the written consent of such Purchaser) insofar as such losses, claims, damages, liabilities or expenses (or actions in respect thereof as contemplated below) arise out of or are based upon (i) any failure to comply with the covenants and agreements contained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respecting the sale of the Shares or (ii) the inaccuracy of any representation or warranty made by such Purchaser herein or (iii)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expressly for use therein; and will reimburse the Company, each of its directors, each of its officers who signed the Registration Statement or controlling person for any legal and other expense reasonably incurred by the Company, each of its directors, each of its officers who signed the Registration Statement or controlling person in connection with investigating, defending, settling, compromising or paying any such loss, claim, damage, liability, expense or action; provided, however, that (i) each Purchaser’s aggregate liability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exceed the amount of net proceeds received by such Purchaser on the sale of the Shares pursuant to the Registration Statement and (ii) the Purchasers will not be liable for amounts paid in settlement of any such loss, claim, damage, liability or action if such settlement is effected without the written consent of such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423545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70" w:name="page71"/>
    <w:bookmarkEnd w:id="70"/>
    <w:p>
      <w:pPr>
        <w:jc w:val="both"/>
        <w:ind w:left="-980" w:firstLine="980"/>
        <w:spacing w:after="0" w:line="251" w:lineRule="auto"/>
        <w:tabs>
          <w:tab w:leader="none" w:pos="4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notice of the threat or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unless such settlement includes an unconditional release of such indemnified party from all liability on claims that are the subject matter of such proceeding.</w:t>
      </w:r>
    </w:p>
    <w:p>
      <w:pPr>
        <w:spacing w:after="0" w:line="204" w:lineRule="exact"/>
        <w:rPr>
          <w:rFonts w:ascii="Times New Roman" w:cs="Times New Roman" w:eastAsia="Times New Roman" w:hAnsi="Times New Roman"/>
          <w:sz w:val="18"/>
          <w:szCs w:val="18"/>
          <w:color w:val="auto"/>
        </w:rPr>
      </w:pPr>
    </w:p>
    <w:p>
      <w:pPr>
        <w:jc w:val="both"/>
        <w:ind w:left="-980" w:firstLine="980"/>
        <w:spacing w:after="0" w:line="251" w:lineRule="auto"/>
        <w:tabs>
          <w:tab w:leader="none" w:pos="3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is required by its terms but is for any reason held to be unavailable to or otherwise insufficient to hold harmless an indemnified party under paragraphs (a), (b) or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private placement of Shares hereunder or (ii) if the allocation provided by clause (i) 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each Purchaser on the other shall be deemed to be in the same proportion as the amount paid by such Purchaser to the Company pursuant to this Agreement for the Shares purchased by such Purchaser that were sold pursuant to the Registration Statement bears to the difference between the amount such Purchaser paid for the Shares that were sold pursuant to the Registration Statement and the amount received by such Purchaser from such sale. The relative fault of the Company on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paragraph (c)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the notice of the threat or commencement of any threat or action shall apply if a claim for contribution is to be made under this paragraph (d); provided, however,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 Purchaser shall be required to contribute any amount in excess of the amount of net proceeds received by such Purchaser on the sale of the Shares pursuant to the Registration Statement. No person guilty of fraudulent misrepresentation (within the meaning of Section 11(f) of the Securities Act) shall be entitled to contribution from any person who was not guilty of such fraudulent misrepresentation. The Purchasers’ obligations to contribute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432435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71" w:name="page72"/>
    <w:bookmarkEnd w:id="71"/>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Information Available</w:t>
      </w:r>
      <w:r>
        <w:rPr>
          <w:rFonts w:ascii="Times New Roman" w:cs="Times New Roman" w:eastAsia="Times New Roman" w:hAnsi="Times New Roman"/>
          <w:sz w:val="18"/>
          <w:szCs w:val="18"/>
          <w:color w:val="auto"/>
        </w:rPr>
        <w:t>. The Company, upon the reasonable request of a Purchaser, shall make available for inspection by such Purchaser, any deemed underwriter participating in any disposition pursuant to the Registration Statement and any attorney, accountant or other agent retained by the Purchasers or any deemed underwriter, all financial and other records, pertinent corporate documents and properties of the Company.</w:t>
      </w:r>
    </w:p>
    <w:p>
      <w:pPr>
        <w:spacing w:after="0" w:line="17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7.</w:t>
        <w:tab/>
        <w:t>NO BROKER’S FEE.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Each of the Company and the Purchasers hereby represents that, other than as may be payable to the Placement Agent,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financial advisor’s or other similar fee or commission in connection with the transactions contemplated by this Agreement. Each party hereto further agrees to indemnify each other party for any claims, losses or expenses incurred by such other party as a result of the representation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being untrue.</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8.</w:t>
        <w:tab/>
        <w:t>COVENANTS.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Form D; Blue Sky Filings</w:t>
      </w:r>
      <w:r>
        <w:rPr>
          <w:rFonts w:ascii="Times New Roman" w:cs="Times New Roman" w:eastAsia="Times New Roman" w:hAnsi="Times New Roman"/>
          <w:sz w:val="18"/>
          <w:szCs w:val="18"/>
          <w:color w:val="auto"/>
        </w:rPr>
        <w:t>. The Company agrees to file a Form D with respect to the Shares as required under Regulation D of the Securities Act and a Form 45-106F1 with respect to the Shares as required under National Instrument 45-106, if required. The Company will take such action as the Company shall reasonably determine is necessary in order to obtain an exemption from, or to qualify the Shares for, sale to the Purchasers at each of the Closings respectively pursuant to this Agreement under applicable securities of “Blue Sky” laws of the states of the United States, and shall provide evidence of such actions promptly upon the written request of the Purchasers.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xml:space="preserve"> On the Closing Date, all share transfer or other taxes (other than income taxes) that are required to be paid in connection with the issuance, sale and delivery of the Shares to the Purchasers hereunder will be fully paid or provided for by the Company and all laws imposing such taxes will have been fully complied with and the Purchasers and their respective affiliates shall have no obligation therefor.</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Listing of Common Shares</w:t>
      </w:r>
      <w:r>
        <w:rPr>
          <w:rFonts w:ascii="Times New Roman" w:cs="Times New Roman" w:eastAsia="Times New Roman" w:hAnsi="Times New Roman"/>
          <w:sz w:val="18"/>
          <w:szCs w:val="18"/>
          <w:color w:val="auto"/>
        </w:rPr>
        <w:t xml:space="preserve">. The Company shall promptly secure the listing of the Shares upon each national securities exchange and automated quotation system that requires an application by the Company for listing, if any, upon which Common Shares are then listed (subject to official notice of issuance) and shall maintain such listing, so long as any other Common Shares shall be so listed. The Company shall use its commercially reasonable efforts to maintain the Common Shares’ listing on the Trading Market. The Company shall pay all fees and expenses in connection with satisfying its obligations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9.</w:t>
        <w:tab/>
        <w:t>NOTICES.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w:t>
      </w:r>
    </w:p>
    <w:p>
      <w:pPr>
        <w:spacing w:after="0" w:line="176"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if to the Company,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595 Howe Street, 10th Floor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Vancouver, British Columbia, V6C 2T5</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Craig Shesky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craig@metals.co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Boston, Massachusetts 02111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Michael L. Fantozzi, Esq. and Daniel T. Kajunski, Esq.</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MLFantozzi@mintz.com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DTKajunski@mintz.com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or to such other Person at such other place as the Company shall designate to the Purchasers in writing; and</w:t>
      </w:r>
    </w:p>
    <w:p>
      <w:pPr>
        <w:spacing w:after="0" w:line="225" w:lineRule="exact"/>
        <w:rPr>
          <w:sz w:val="20"/>
          <w:szCs w:val="20"/>
          <w:color w:val="auto"/>
        </w:rPr>
      </w:pPr>
    </w:p>
    <w:p>
      <w:pPr>
        <w:ind w:firstLine="980"/>
        <w:spacing w:after="0" w:line="282" w:lineRule="auto"/>
        <w:tabs>
          <w:tab w:leader="none" w:pos="139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Purchasers, to the address set forth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to such other Person at such other place as the Purchasers shall designate to the Company in writing.</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10.</w:t>
        <w:tab/>
        <w:t>MISCELLANEOUS.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 xml:space="preserve"> Neither this Agreement nor any provision hereof may be changed, waived, discharged, terminated, modified or amended except upon the written consent of the Company and Purchasers holding at a majority of the Shares issued hereunder and then-held by all Purchasers, in the case of any change, discharge, termination, modification, or of the party hereto against whom the waiver is to be effective, in the case of a waiver, provided that if any amendment or waiver disproportionately and adversely affects a Purchaser (or group of Purchasers) in any material respect, the consent of such disproportionately affected Purchaser (or group of Purchasers) shall also be required.</w:t>
      </w:r>
    </w:p>
    <w:p>
      <w:pPr>
        <w:spacing w:after="0" w:line="1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xml:space="preserve"> The headings of the various sections of this Agreement have been inserted for convenience of reference only and shall not be deemed to be part of this Agreement. The terms “hereof,” “herein,” “hereby” and derivative or similar words refer to this Agreement as a whole and not to any particular provision of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singular shall include the plural, the plural the singular, the use of any gender shall be applicable to all genders. The term “including” or “includes” means “including without limitation” or “includes without limitation.”</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In case any provision contained in this Agreement should be invalid, illegal or unenforceable in any respect, the validity, legality and enforceability of the remaining provisions contained herein shall not in any way be affected or impaired thereby.</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The representations and warranties contained herein shall survive the Closing and the delivery of the Shares. The agreements and covenants contained herein shall survive for the applicable statute of limitations.</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Governing Law; Jurisdiction.</w:t>
      </w:r>
      <w:r>
        <w:rPr>
          <w:rFonts w:ascii="Times New Roman" w:cs="Times New Roman" w:eastAsia="Times New Roman" w:hAnsi="Times New Roman"/>
          <w:sz w:val="18"/>
          <w:szCs w:val="18"/>
          <w:color w:val="auto"/>
        </w:rPr>
        <w:t xml:space="preserve"> This Agreement shall be governed by and interpreted in accordance with the substantive laws of the State of New York, without regard to its or any other jurisdiction’s choice of law rules. Any and all disputes arising out of, concerning, or related to this Agreement, or to the interpretation, performance, breach or termination thereof shall be referred to and resolved by the federal courts located in New York, New York.</w:t>
      </w:r>
    </w:p>
    <w:p>
      <w:pPr>
        <w:jc w:val="both"/>
        <w:spacing w:after="0" w:line="251" w:lineRule="auto"/>
        <w:rPr>
          <w:sz w:val="20"/>
          <w:szCs w:val="20"/>
          <w:color w:val="auto"/>
        </w:rPr>
      </w:pPr>
      <w:r>
        <w:rPr>
          <w:rFonts w:ascii="Times New Roman" w:cs="Times New Roman" w:eastAsia="Times New Roman" w:hAnsi="Times New Roman"/>
          <w:sz w:val="18"/>
          <w:szCs w:val="18"/>
          <w:color w:val="auto"/>
        </w:rPr>
        <w:t>EACH PARTY HEREBY WAIVES ITS RIGHTS TO A JURY TRIAL OF ANY CLAIM OR CAUSE OF ACTION BASED UPON OR ARISING OUT OF THIS AGREEMENT, THE OTHER TRANSACTION DOCUMENTS, THE SHARES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in counterparts, each of which shall constitute an original, but all of which, when taken together, shall constitute but one instrument, and shall become effective when one or more counterparts have been signed by each party hereto and delivered to the other party.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79"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xml:space="preserve"> Except as otherwise expressly provided herein, the provisions hereof shall inure to the benefit of, and be binding upon, the successors, assigns, heirs, executors and administrators of the parties hereto. None of the Purchasers may assign this Agreement or any rights or obligations hereunder, in whole or in part, without the prior written consent of the Company.</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The Placement Agent shall be the third-party beneficiary of the representations and warranties of the Company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representations and warranties of the Purchasers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and the other documents and instruments delivered pursuant hereto or thereto, including the exhibits hereto or thereto, constitute the full and entire understanding and agreement between the parties hereto with regard to the subjects hereof and thereof.</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color w:val="auto"/>
        </w:rPr>
        <w:t>Independent Nature of Purchasers’ Obligations And Rights.</w:t>
      </w:r>
      <w:r>
        <w:rPr>
          <w:rFonts w:ascii="Times New Roman" w:cs="Times New Roman" w:eastAsia="Times New Roman" w:hAnsi="Times New Roman"/>
          <w:sz w:val="18"/>
          <w:szCs w:val="18"/>
          <w:color w:val="auto"/>
        </w:rPr>
        <w:t xml:space="preserve">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thereto, shall be deemed to constitute the Purchasers as a partnership, an association, a joint venture or any other kind of entity, or create a presumption that the Purchasers are in any way acting in concert or as a group, or are deemed affiliates (as such term is defined under the Exchange Act)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Each Purchaser acknowledges that it is not relying upon any person, firm, or corporation, other than the Company and its officers and directors, in making its investment or decision to invest in the Company.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Shares.</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xml:space="preserve"> Except as otherwise provided herein and the Placement Agency Agreement, or in the other documents or instruments contemplated hereby, each of the Company and the Purchasers shall bear its own expenses and legal fees incurred on its behalf with respect to this Agreement and the transactions contemplated hereby.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color w:val="auto"/>
        </w:rPr>
        <w:t>Further Actions.</w:t>
      </w:r>
      <w:r>
        <w:rPr>
          <w:rFonts w:ascii="Times New Roman" w:cs="Times New Roman" w:eastAsia="Times New Roman" w:hAnsi="Times New Roman"/>
          <w:sz w:val="18"/>
          <w:szCs w:val="18"/>
          <w:color w:val="auto"/>
        </w:rPr>
        <w:t xml:space="preserve"> Each party hereto agrees to execute, acknowledge, and deliver such further instruments, and to do all such other acts, as may be necessary or appropriate in order to carry out the purposes and intent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b w:val="1"/>
          <w:bCs w:val="1"/>
          <w:color w:val="auto"/>
        </w:rPr>
        <w:t>Form 8-K.</w:t>
      </w:r>
      <w:r>
        <w:rPr>
          <w:rFonts w:ascii="Times New Roman" w:cs="Times New Roman" w:eastAsia="Times New Roman" w:hAnsi="Times New Roman"/>
          <w:sz w:val="18"/>
          <w:szCs w:val="18"/>
          <w:color w:val="auto"/>
        </w:rPr>
        <w:t xml:space="preserve"> On or before the earlier of (i) the second (2nd) Business Day following the Effective Date and (ii) the date on which the Company files its quarterly report on Form 10-Q for the quarter ended June 30, 2022, the Company shall file a Current Report on Form 8-K with the Commission describing the terms of the transactions contemplated by this Agreement (the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xml:space="preserve">”); provided, however that the Purchasers shall be given an opportunity to review and comment on the disclosure contained in the Form 8-K prior to filing). Except for the Form 8-K, all public announcements regarding this Agreement shall be issued only in accordance with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From and after the filing of the Form 8-K, the Purchasers shall not be in possession of any material, non-public information received from the Company or any of their respective officers, directors or employees that is not disclosed in the Form 8-K.</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xml:space="preserve"> The Company may unilaterally issue a press release or other public announcement concerning the execution of this Agreement, the terms and conditions hereof or the consummation of the transactions contemplated hereby, provided however, that the Company shall not identify by name any Purchaser in such press release or other public announcement (except to the extent required by law), without the prior written consent of such 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76" w:name="page77"/>
    <w:bookmarkEnd w:id="76"/>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by their duly authorized representatives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PURCHASER:</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ERAS CAPITAL LLC</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Andrei Karkar</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Andrei Karkar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90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4"/>
    </w:lvl>
  </w:abstractNum>
  <w:abstractNum w:abstractNumId="2">
    <w:nsid w:val="75A2A8D4"/>
    <w:multiLevelType w:val="hybridMultilevel"/>
    <w:lvl w:ilvl="0">
      <w:lvlJc w:val="left"/>
      <w:lvlText w:val="(%1)"/>
      <w:numFmt w:val="lowerLetter"/>
      <w:start w:val="2"/>
    </w:lvl>
  </w:abstractNum>
  <w:abstractNum w:abstractNumId="3">
    <w:nsid w:val="8EDBDAB"/>
    <w:multiLevelType w:val="hybridMultilevel"/>
    <w:lvl w:ilvl="0">
      <w:lvlJc w:val="left"/>
      <w:lvlText w:val="(%1)"/>
      <w:numFmt w:val="lowerLetter"/>
      <w:start w:val="4"/>
    </w:lvl>
    <w:lvl w:ilvl="1">
      <w:lvlJc w:val="left"/>
      <w:lvlText w:val="%2."/>
      <w:numFmt w:val="lowerRoman"/>
      <w:start w:val="1"/>
    </w:lvl>
  </w:abstractNum>
  <w:abstractNum w:abstractNumId="4">
    <w:nsid w:val="79838CB2"/>
    <w:multiLevelType w:val="hybridMultilevel"/>
    <w:lvl w:ilvl="0">
      <w:lvlJc w:val="left"/>
      <w:lvlText w:val="(%1)"/>
      <w:numFmt w:val="lowerLetter"/>
      <w:start w:val="1"/>
    </w:lvl>
    <w:lvl w:ilvl="1">
      <w:lvlJc w:val="left"/>
      <w:lvlText w:val="%2."/>
      <w:numFmt w:val="lowerRoman"/>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2"/>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1"/>
    </w:lvl>
    <w:lvl w:ilvl="1">
      <w:lvlJc w:val="left"/>
      <w:lvlText w:val="(%2)"/>
      <w:numFmt w:val="lowerLetter"/>
      <w:start w:val="2"/>
    </w:lvl>
  </w:abstractNum>
  <w:abstractNum w:abstractNumId="11">
    <w:nsid w:val="836C40E"/>
    <w:multiLevelType w:val="hybridMultilevel"/>
    <w:lvl w:ilvl="0">
      <w:lvlJc w:val="left"/>
      <w:lvlText w:val="(%1)"/>
      <w:numFmt w:val="lowerLetter"/>
      <w:start w:val="35"/>
    </w:lvl>
    <w:lvl w:ilvl="1">
      <w:lvlJc w:val="left"/>
      <w:lvlText w:val="%2"/>
      <w:numFmt w:val="lowerLetter"/>
      <w:start w:val="1"/>
    </w:lvl>
  </w:abstractNum>
  <w:abstractNum w:abstractNumId="12">
    <w:nsid w:val="2901D82"/>
    <w:multiLevelType w:val="hybridMultilevel"/>
    <w:lvl w:ilvl="0">
      <w:lvlJc w:val="left"/>
      <w:lvlText w:val="(%1)"/>
      <w:numFmt w:val="lowerLetter"/>
      <w:start w:val="6"/>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3"/>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lowerLetter"/>
      <w:start w:val="2"/>
    </w:lvl>
  </w:abstractNum>
  <w:abstractNum w:abstractNumId="17">
    <w:nsid w:val="737B8DDC"/>
    <w:multiLevelType w:val="hybridMultilevel"/>
    <w:lvl w:ilvl="0">
      <w:lvlJc w:val="left"/>
      <w:lvlText w:val="(%1)"/>
      <w:numFmt w:val="lowerLetter"/>
      <w:start w:val="2"/>
    </w:lvl>
  </w:abstractNum>
  <w:abstractNum w:abstractNumId="18">
    <w:nsid w:val="6CEAF087"/>
    <w:multiLevelType w:val="hybridMultilevel"/>
    <w:lvl w:ilvl="0">
      <w:lvlJc w:val="left"/>
      <w:lvlText w:val="(%1)"/>
      <w:numFmt w:val="lowerLetter"/>
      <w:start w:val="4"/>
    </w:lvl>
    <w:lvl w:ilvl="1">
      <w:lvlJc w:val="left"/>
      <w:lvlText w:val="%2."/>
      <w:numFmt w:val="lowerRoman"/>
      <w:start w:val="1"/>
    </w:lvl>
  </w:abstractNum>
  <w:abstractNum w:abstractNumId="19">
    <w:nsid w:val="22221A70"/>
    <w:multiLevelType w:val="hybridMultilevel"/>
    <w:lvl w:ilvl="0">
      <w:lvlJc w:val="left"/>
      <w:lvlText w:val="(%1)"/>
      <w:numFmt w:val="lowerLetter"/>
      <w:start w:val="1"/>
    </w:lvl>
    <w:lvl w:ilvl="1">
      <w:lvlJc w:val="left"/>
      <w:lvlText w:val="%2."/>
      <w:numFmt w:val="lowerRoman"/>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2"/>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1"/>
    </w:lvl>
    <w:lvl w:ilvl="1">
      <w:lvlJc w:val="left"/>
      <w:lvlText w:val="(%2)"/>
      <w:numFmt w:val="lowerLetter"/>
      <w:start w:val="2"/>
    </w:lvl>
  </w:abstractNum>
  <w:abstractNum w:abstractNumId="26">
    <w:nsid w:val="5072367"/>
    <w:multiLevelType w:val="hybridMultilevel"/>
    <w:lvl w:ilvl="0">
      <w:lvlJc w:val="left"/>
      <w:lvlText w:val="(%1)"/>
      <w:numFmt w:val="lowerLetter"/>
      <w:start w:val="35"/>
    </w:lvl>
    <w:lvl w:ilvl="1">
      <w:lvlJc w:val="left"/>
      <w:lvlText w:val="%2"/>
      <w:numFmt w:val="lowerLetter"/>
      <w:start w:val="1"/>
    </w:lvl>
  </w:abstractNum>
  <w:abstractNum w:abstractNumId="27">
    <w:nsid w:val="3804823E"/>
    <w:multiLevelType w:val="hybridMultilevel"/>
    <w:lvl w:ilvl="0">
      <w:lvlJc w:val="left"/>
      <w:lvlText w:val="(%1)"/>
      <w:numFmt w:val="lowerLetter"/>
      <w:start w:val="6"/>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3"/>
    </w:lvl>
  </w:abstractNum>
  <w:abstractNum w:abstractNumId="30">
    <w:nsid w:val="5C482A97"/>
    <w:multiLevelType w:val="hybridMultilevel"/>
    <w:lvl w:ilvl="0">
      <w:lvlJc w:val="left"/>
      <w:lvlText w:val="(%1)"/>
      <w:numFmt w:val="lowerLetter"/>
      <w:start w:val="2"/>
    </w:lvl>
  </w:abstractNum>
  <w:abstractNum w:abstractNumId="31">
    <w:nsid w:val="2463B9EA"/>
    <w:multiLevelType w:val="hybridMultilevel"/>
    <w:lvl w:ilvl="0">
      <w:lvlJc w:val="left"/>
      <w:lvlText w:val="(%1)"/>
      <w:numFmt w:val="lowerLetter"/>
      <w:start w:val="2"/>
    </w:lvl>
  </w:abstractNum>
  <w:abstractNum w:abstractNumId="32">
    <w:nsid w:val="5E884ADC"/>
    <w:multiLevelType w:val="hybridMultilevel"/>
    <w:lvl w:ilvl="0">
      <w:lvlJc w:val="left"/>
      <w:lvlText w:val="(%1)"/>
      <w:numFmt w:val="lowerLetter"/>
      <w:start w:val="4"/>
    </w:lvl>
    <w:lvl w:ilvl="1">
      <w:lvlJc w:val="left"/>
      <w:lvlText w:val="%2."/>
      <w:numFmt w:val="lowerRoman"/>
      <w:start w:val="1"/>
    </w:lvl>
  </w:abstractNum>
  <w:abstractNum w:abstractNumId="33">
    <w:nsid w:val="51EAD36B"/>
    <w:multiLevelType w:val="hybridMultilevel"/>
    <w:lvl w:ilvl="0">
      <w:lvlJc w:val="left"/>
      <w:lvlText w:val="(%1)"/>
      <w:numFmt w:val="lowerLetter"/>
      <w:start w:val="1"/>
    </w:lvl>
    <w:lvl w:ilvl="1">
      <w:lvlJc w:val="left"/>
      <w:lvlText w:val="%2."/>
      <w:numFmt w:val="lowerRoman"/>
      <w:start w:val="1"/>
    </w:lvl>
  </w:abstractNum>
  <w:abstractNum w:abstractNumId="34">
    <w:nsid w:val="2D517796"/>
    <w:multiLevelType w:val="hybridMultilevel"/>
    <w:lvl w:ilvl="0">
      <w:lvlJc w:val="left"/>
      <w:lvlText w:val="(%1)"/>
      <w:numFmt w:val="lowerLetter"/>
      <w:start w:val="3"/>
    </w:lvl>
    <w:lvl w:ilvl="1">
      <w:lvlJc w:val="left"/>
      <w:lvlText w:val="%2."/>
      <w:numFmt w:val="lowerRoman"/>
      <w:start w:val="1"/>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1"/>
    </w:lvl>
    <w:lvl w:ilvl="1">
      <w:lvlJc w:val="left"/>
      <w:lvlText w:val="(%2)"/>
      <w:numFmt w:val="lowerLetter"/>
      <w:start w:val="2"/>
    </w:lvl>
  </w:abstractNum>
  <w:abstractNum w:abstractNumId="40">
    <w:nsid w:val="2A487CB0"/>
    <w:multiLevelType w:val="hybridMultilevel"/>
    <w:lvl w:ilvl="0">
      <w:lvlJc w:val="left"/>
      <w:lvlText w:val="(%1)"/>
      <w:numFmt w:val="lowerLetter"/>
      <w:start w:val="35"/>
    </w:lvl>
    <w:lvl w:ilvl="1">
      <w:lvlJc w:val="left"/>
      <w:lvlText w:val="%2"/>
      <w:numFmt w:val="lowerLetter"/>
      <w:start w:val="1"/>
    </w:lvl>
  </w:abstractNum>
  <w:abstractNum w:abstractNumId="41">
    <w:nsid w:val="1D4ED43B"/>
    <w:multiLevelType w:val="hybridMultilevel"/>
    <w:lvl w:ilvl="0">
      <w:lvlJc w:val="left"/>
      <w:lvlText w:val="(%1)"/>
      <w:numFmt w:val="lowerLetter"/>
      <w:start w:val="6"/>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Letter"/>
      <w:start w:val="3"/>
    </w:lvl>
  </w:abstractNum>
  <w:abstractNum w:abstractNumId="44">
    <w:nsid w:val="57E4CCA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2022-08-15T07:52:18Z</dcterms:created>
  <dcterms:modified xsi:type="dcterms:W3CDTF">2022-08-15T07:52:18Z</dcterms:modified>
</cp:coreProperties>
</file>