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84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1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14, 2022, TMC the metals company Inc. (the “Company”) issued a press release announcing its results for the third quarter ending September 30, 2022 and providing a business update. A copy of the press release is furnished as Exhibit 99.1 hereto. In addition, the Company will hold a conference call on November 15, 2022 at 4:30 p.m. EDT to discuss these results and the business update.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the press release attached as an exhibit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November 14, 2022.</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2022</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191"/>
        </w:trPr>
        <w:tc>
          <w:tcPr>
            <w:tcW w:w="3760" w:type="dxa"/>
            <w:vAlign w:val="bottom"/>
          </w:tcPr>
          <w:p>
            <w:pPr>
              <w:spacing w:after="0"/>
              <w:rPr>
                <w:sz w:val="16"/>
                <w:szCs w:val="16"/>
                <w:color w:val="auto"/>
              </w:rPr>
            </w:pPr>
          </w:p>
        </w:tc>
        <w:tc>
          <w:tcPr>
            <w:tcW w:w="244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Metals Company Provides Q3 Corporate Update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NEW YORK, Nov. 14, 2022 (Updated) — TMC the metals company Inc. (Nasdaq: TMC) (“TMC” or “the Company”), an explorer of lower-impact battery metals from seafloor polymetallic nodules, today provided a corporate update and financial results for the third quarter ending September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$27.9 million and loss per share of $0.12 for the quarter ended September 30, 2022.</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on hand of approximately $66.9 million at September 30, 2022.</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that existing cash will be sufficient to fund operations for at least the next twelve months, past the July 2023 date targeted by the International Seabed Authority (ISA) as the date for the final adoption of the exploitation regulations for the industry.</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Gerard Barron, TMC Chairman and CEO, commented: “It’s been a quarter filled with historic achievements for TMC, NORI, and our strategic partner, Allseas. Following the ISA’s recommendation to begin pilot nodule collection trials on the NORI-D exploration area in the Clarion Clipperton Zone (CCZ), Allseas commissioned an integrated pilot collection system from the surface production vessel Hidden Gem and we celebrated the first integrated collection and lift of polymetallic nodules in the CCZ since the 1970s. Over the following weeks, Allseas carried out a comprehensive test program driving the pilot collector for over 80 km, collecting 4,500 tonnes of nodules and lifting over 3,000 tonnes to the surface. Critically, this test is a single most important milestone in terms of generating environmental impact data. Before this pilot trial began, 16 offshore campaigns were executed in the NORI area to collect environmental baseline data. During the pilot trials a multidisciplinary team of independent researchers, scientists and contractors were monitoring the environmental impacts of the trials and they will remain onsite until the end of the year to survey the post-trials environment. We look forward to completing this large-scale environmental data collection effort and sharing the data with the global community. I would also like to highlight the important work done in Kingston, Jamaica, where the ISA and its member states continued to make progress on the development of a regulatory framework for the responsible collection of polymetallic nodules. Despite roughly 10 out of 167 ISA Member States calling for a pause on the industry, the vast majority of statements from member states last week expressed continued support for negotiating the draft exploitation regulations in good faith.”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225" w:lineRule="exact"/>
        <w:rPr>
          <w:sz w:val="20"/>
          <w:szCs w:val="20"/>
          <w:color w:val="auto"/>
        </w:rPr>
      </w:pPr>
    </w:p>
    <w:p>
      <w:pPr>
        <w:ind w:left="540" w:hanging="26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Pilot Collection System Trials and Monitoring Campaign:</w:t>
      </w:r>
    </w:p>
    <w:p>
      <w:pPr>
        <w:spacing w:after="0" w:line="31" w:lineRule="exact"/>
        <w:rPr>
          <w:rFonts w:ascii="Times New Roman" w:cs="Times New Roman" w:eastAsia="Times New Roman" w:hAnsi="Times New Roman"/>
          <w:sz w:val="18"/>
          <w:szCs w:val="18"/>
          <w:color w:val="auto"/>
        </w:rPr>
      </w:pPr>
    </w:p>
    <w:p>
      <w:pPr>
        <w:jc w:val="both"/>
        <w:ind w:left="1080" w:hanging="262"/>
        <w:spacing w:after="0" w:line="253" w:lineRule="auto"/>
        <w:tabs>
          <w:tab w:leader="none" w:pos="1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NORI Receives ISA Recommendation to Commence Trials: </w:t>
      </w:r>
      <w:r>
        <w:rPr>
          <w:rFonts w:ascii="Times New Roman" w:cs="Times New Roman" w:eastAsia="Times New Roman" w:hAnsi="Times New Roman"/>
          <w:sz w:val="18"/>
          <w:szCs w:val="18"/>
          <w:color w:val="auto"/>
        </w:rPr>
        <w:t>In September, we announced that the International Seabed Authority (ISA)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had completed its review of the Environmental Impact Statement (EIS) and Environmental Monitoring and Management Plan (EMMP) submitted by our subsidiary, NORI, and recommended that it proceed with its forthcoming collector test and monitoring campaign. The conclusion of the ISA’s review process allowed NORI to proceed with its planned integrated pilot collection system trials in its NORI-D exploration contract area in the CCZ of the Pacific Ocean.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left="802" w:hanging="262"/>
        <w:spacing w:after="0" w:line="255" w:lineRule="auto"/>
        <w:tabs>
          <w:tab w:leader="none" w:pos="80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NORI Collector Test Monitoring: </w:t>
      </w:r>
      <w:r>
        <w:rPr>
          <w:rFonts w:ascii="Times New Roman" w:cs="Times New Roman" w:eastAsia="Times New Roman" w:hAnsi="Times New Roman"/>
          <w:sz w:val="18"/>
          <w:szCs w:val="18"/>
          <w:color w:val="auto"/>
        </w:rPr>
        <w:t>In October, we announced that a multidisciplinary team of independent scientists from leading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around the world and industry-leading contractors commenced the next phase of an extensive environmental baseline and impact monitoring campaign in preparation for NORI’s ongoing pilot nodule collection system trials in NORI Area D area of the CCZ. Scientists aboard a dedicated monitoring vessel conducted pre-disturbance monitoring studies on a sub-section of the NORI Area D to establish an environmental baseline before NORI’s offshore strategic partner, Allseas, began the integrated collection system test.</w:t>
      </w:r>
    </w:p>
    <w:p>
      <w:pPr>
        <w:spacing w:after="0" w:line="2" w:lineRule="exact"/>
        <w:rPr>
          <w:rFonts w:ascii="Times New Roman" w:cs="Times New Roman" w:eastAsia="Times New Roman" w:hAnsi="Times New Roman"/>
          <w:sz w:val="18"/>
          <w:szCs w:val="18"/>
          <w:color w:val="auto"/>
        </w:rPr>
      </w:pPr>
    </w:p>
    <w:p>
      <w:pPr>
        <w:jc w:val="both"/>
        <w:ind w:left="802" w:hanging="262"/>
        <w:spacing w:after="0" w:line="250" w:lineRule="auto"/>
        <w:tabs>
          <w:tab w:leader="none" w:pos="80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 Nodules Collected from Seafloor in Historic Trials: </w:t>
      </w:r>
      <w:r>
        <w:rPr>
          <w:rFonts w:ascii="Times New Roman" w:cs="Times New Roman" w:eastAsia="Times New Roman" w:hAnsi="Times New Roman"/>
          <w:sz w:val="18"/>
          <w:szCs w:val="18"/>
          <w:color w:val="auto"/>
        </w:rPr>
        <w:t>In October, we announced the successful collection by Allseas of an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batch of seafloor polymetallic nodules lifted via riser system to the surface production vessel in what represents the first integrated collection system test conducted in the CCZ since the 1970s. The dedicated team of 130 crew and engineers aboard the Hidden Gem commenced initial nodule collection runs, driving the pilot collector 147 meters in one hour on a pre-determined path and collecting 14 tonnes of nodules, while expert industry contractors and independent scientists continued their complex monitoring program to assess the environmental impacts of the collector system trials using an array of over 50 subsea sensors and monitoring stations.</w:t>
      </w:r>
    </w:p>
    <w:p>
      <w:pPr>
        <w:spacing w:after="0" w:line="2" w:lineRule="exact"/>
        <w:rPr>
          <w:rFonts w:ascii="Times New Roman" w:cs="Times New Roman" w:eastAsia="Times New Roman" w:hAnsi="Times New Roman"/>
          <w:sz w:val="18"/>
          <w:szCs w:val="18"/>
          <w:color w:val="auto"/>
        </w:rPr>
      </w:pPr>
    </w:p>
    <w:p>
      <w:pPr>
        <w:jc w:val="both"/>
        <w:ind w:left="802" w:hanging="262"/>
        <w:spacing w:after="0" w:line="252" w:lineRule="auto"/>
        <w:tabs>
          <w:tab w:leader="none" w:pos="80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Successful Conclusion of Integrated Pilot Collection System Trial: </w:t>
      </w:r>
      <w:r>
        <w:rPr>
          <w:rFonts w:ascii="Times New Roman" w:cs="Times New Roman" w:eastAsia="Times New Roman" w:hAnsi="Times New Roman"/>
          <w:sz w:val="18"/>
          <w:szCs w:val="18"/>
          <w:color w:val="auto"/>
        </w:rPr>
        <w:t>In November, we announced the conclusion of the NORI’s integrated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trial in the NORI-D area in the Clarion Clipperton Zone (CCZ). Pilot collector vehicle drove a distance of over 80 km on the seafloor, collecting approximately 4,500 tonnes of seafloor polymetallic nodules and lifting over 3,000 tonnes of nodules up a 4.3-km riser system to the surface production vessel, Hidden Gem. The Allseas-designed and tested pilot nodule collection system — which will be scaled to include additional collector heads and a wider diameter riser pipe in preparation for NORI’s Project Zero — achieved a maximum sustained production rate of 86.4 tons per hour.</w:t>
      </w:r>
    </w:p>
    <w:p>
      <w:pPr>
        <w:spacing w:after="0" w:line="185" w:lineRule="exact"/>
        <w:rPr>
          <w:rFonts w:ascii="Times New Roman" w:cs="Times New Roman" w:eastAsia="Times New Roman" w:hAnsi="Times New Roman"/>
          <w:sz w:val="18"/>
          <w:szCs w:val="18"/>
          <w:color w:val="auto"/>
        </w:rPr>
      </w:pPr>
    </w:p>
    <w:p>
      <w:pPr>
        <w:jc w:val="both"/>
        <w:ind w:left="262" w:hanging="262"/>
        <w:spacing w:after="0" w:line="254"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NORI Project Director: </w:t>
      </w:r>
      <w:r>
        <w:rPr>
          <w:rFonts w:ascii="Times New Roman" w:cs="Times New Roman" w:eastAsia="Times New Roman" w:hAnsi="Times New Roman"/>
          <w:sz w:val="18"/>
          <w:szCs w:val="18"/>
          <w:color w:val="auto"/>
        </w:rPr>
        <w:t>In October, we announced the appointment of Grant Lindner as Project Director for NORI, as we look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 our first polymetallic nodule project in the NORI Area D. Grant has delivered over $26 billion in project value during his 25-year career at Bechtel Group and BHP, holding senior executive roles for large-scale mining, smelter and refinery, material handling and marine projects. He will play a key role in advancing all areas of the NORI Area D project including the submission of the Environmental Impact Assessment and exploitation application to the ISA, and the safe delivery of offshore and onshore development plans. TMC also announced that CDO Anthony O’Sullivan had resigned as of 14 October 2022 for personal and health reasons, though he will remain in the position through a twelve-month transition period.</w:t>
      </w:r>
    </w:p>
    <w:p>
      <w:pPr>
        <w:jc w:val="both"/>
        <w:ind w:left="262" w:hanging="262"/>
        <w:spacing w:after="0" w:line="250"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Innovative Agreement with UAW: </w:t>
      </w:r>
      <w:r>
        <w:rPr>
          <w:rFonts w:ascii="Times New Roman" w:cs="Times New Roman" w:eastAsia="Times New Roman" w:hAnsi="Times New Roman"/>
          <w:sz w:val="18"/>
          <w:szCs w:val="18"/>
          <w:color w:val="auto"/>
        </w:rPr>
        <w:t>In September, we announced that we had entered into a labor neutrality agreement with the International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Union, United Automobile, Aerospace and Agricultural Implement Workers of America (UAW) to bolster the critical mineral supply chain and which we believe lays the groundwork for sustainable production of electric car batteries while also creates a path to potential job growth in the United States.</w:t>
      </w:r>
    </w:p>
    <w:p>
      <w:pPr>
        <w:spacing w:after="0" w:line="1" w:lineRule="exact"/>
        <w:rPr>
          <w:rFonts w:ascii="Times New Roman" w:cs="Times New Roman" w:eastAsia="Times New Roman" w:hAnsi="Times New Roman"/>
          <w:sz w:val="18"/>
          <w:szCs w:val="18"/>
          <w:color w:val="auto"/>
        </w:rPr>
      </w:pPr>
    </w:p>
    <w:p>
      <w:pPr>
        <w:jc w:val="both"/>
        <w:ind w:left="262" w:hanging="262"/>
        <w:spacing w:after="0" w:line="252"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and committee changes</w:t>
      </w:r>
      <w:r>
        <w:rPr>
          <w:rFonts w:ascii="Times New Roman" w:cs="Times New Roman" w:eastAsia="Times New Roman" w:hAnsi="Times New Roman"/>
          <w:sz w:val="18"/>
          <w:szCs w:val="18"/>
          <w:color w:val="auto"/>
        </w:rPr>
        <w:t>: In October, we announced that Andrew C. Greig had been appointed to its Board as an Independent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Andy joined the Board as a director on 29 September 2022 and replaced outgoing director Gina Stryker. Andy brings extensive experience working on international construction projects in the mining sector during a 35-year career at leading engineering, procurement and construction company, Bechtel Group. On November 10, 2022, Mr. Greig was appointed to the Compensation Committee and on November 11, 2022, he was appointed as Lead Independent Director, replacing Andrew Hall. Mr. Hall will remain on the Board of Directors, including as a member of the Audit Committee. Also in October, Ms Sheila Khama was appointed to the Audit Committee.</w:t>
      </w:r>
    </w:p>
    <w:p>
      <w:pPr>
        <w:spacing w:after="0" w:line="200" w:lineRule="exact"/>
        <w:rPr>
          <w:sz w:val="20"/>
          <w:szCs w:val="20"/>
          <w:color w:val="auto"/>
        </w:rPr>
      </w:pPr>
    </w:p>
    <w:p>
      <w:pPr>
        <w:spacing w:after="0" w:line="206" w:lineRule="exact"/>
        <w:rPr>
          <w:sz w:val="20"/>
          <w:szCs w:val="20"/>
          <w:color w:val="auto"/>
        </w:rPr>
      </w:pPr>
    </w:p>
    <w:p>
      <w:pPr>
        <w:jc w:val="center"/>
        <w:ind w:right="258"/>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2"/>
          </w:cols>
          <w:pgMar w:left="598" w:top="72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Industry Update</w:t>
      </w:r>
    </w:p>
    <w:p>
      <w:pPr>
        <w:spacing w:after="0" w:line="229" w:lineRule="exact"/>
        <w:rPr>
          <w:sz w:val="20"/>
          <w:szCs w:val="20"/>
          <w:color w:val="auto"/>
        </w:rPr>
      </w:pPr>
    </w:p>
    <w:p>
      <w:pPr>
        <w:jc w:val="both"/>
        <w:ind w:left="660" w:hanging="328"/>
        <w:spacing w:after="0" w:line="220" w:lineRule="auto"/>
        <w:tabs>
          <w:tab w:leader="none" w:pos="66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27</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Session (Part III) of the International Seabed Authority (ISA): </w:t>
      </w:r>
      <w:r>
        <w:rPr>
          <w:rFonts w:ascii="Times New Roman" w:cs="Times New Roman" w:eastAsia="Times New Roman" w:hAnsi="Times New Roman"/>
          <w:sz w:val="18"/>
          <w:szCs w:val="18"/>
          <w:color w:val="auto"/>
        </w:rPr>
        <w:t>The ISA continues to work to finalize regulations regarding exploitation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deep-sea minerals. An ISA working session took place from 31 October to 11 November 2022 in person in Kingston, Jamaica where the regulator continued its development of the exploitation regulations and committed to continue work on the regulations inter-sessionally. The ISA Council is expected to meet in March 2023 and July 2023, along with intersessional working groups in order to complete their drafting of the exploitation regulations.</w:t>
      </w:r>
    </w:p>
    <w:p>
      <w:pPr>
        <w:jc w:val="both"/>
        <w:ind w:left="660" w:right="2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MIT/Scripps plume study finds 92-98% of seafloor plume remains less than 2m above seafloor: </w:t>
      </w:r>
      <w:r>
        <w:rPr>
          <w:rFonts w:ascii="Times New Roman" w:cs="Times New Roman" w:eastAsia="Times New Roman" w:hAnsi="Times New Roman"/>
          <w:sz w:val="18"/>
          <w:szCs w:val="18"/>
          <w:color w:val="auto"/>
        </w:rPr>
        <w:t>In September, a new peer-reviewed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study was published by researchers at MIT and Scripps Institute of Oceanography based on actual field trials by the ISA contractor GSR (Belgium). The study found that, on flat terrain, 92-98% of sediment was deposited locally and remained in suspension below 2m.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TMC held cash of $66.9 million and held no debt.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TMC reported a net loss for the third quarter of 2022 of $27.9 million, or $0.12 per share, compared to TMC’s net loss of $36.6 million, or $0.18 per share, for the third quarter of 2021. The net loss for the third quarter of 2022 included exploration and evaluation expenses of $22.7 million (Q3 2021: $23.8 million), general and administrative expenses of $5.9 million (Q3 2021: $13.3 million), partially offset by a decrease in the value of our warrants of $0.4 million. Exploration and evaluation expenses decreased in the third quarter of 2022 compared to the same period in 2021, as a result of a decrease in offshore environmental campaign activity following the completion of NORI Area D environmental baseline campaigns in the fourth quarter of 2021, a decrease in share-based compensation which was offset by an increase in the expenses incurred on the trials of the pilot mining test system, in support of NORI’s expected application to the ISA for an exploitation contract. General and administrative expenses decreased in the third quarter of 2022 compared to the third quarter of 2021, reflecting a reduction in share-based compensation, and a reduction in consulting, communication and advertising costs expenses, as these expenses were higher in the 2021 period related to the business combination and listing of the Company on NASDAQ. The decreased costs in the third quarter of 2022 was partially offset by higher personnel, legal and other expenses associated with being a public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TMC will hold a conference call tomorrow at 4:30 p.m. ET to provide an update on recent corporate developments, third quarter financial results and upcoming milestones.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2022 Conference Call Details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7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Tuesday, November 15 2022</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Time:</w:t>
            </w:r>
          </w:p>
        </w:tc>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4:30 p.m. ET</w:t>
            </w:r>
          </w:p>
        </w:tc>
      </w:tr>
      <w:tr>
        <w:trPr>
          <w:trHeight w:val="391"/>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Audio-only Dial-in:</w:t>
            </w: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Register Here</w:t>
            </w:r>
          </w:p>
        </w:tc>
        <w:tc>
          <w:tcPr>
            <w:tcW w:w="6740" w:type="dxa"/>
            <w:vAlign w:val="bottom"/>
          </w:tcPr>
          <w:p>
            <w:pPr>
              <w:spacing w:after="0"/>
              <w:rPr>
                <w:sz w:val="24"/>
                <w:szCs w:val="24"/>
                <w:color w:val="auto"/>
              </w:rPr>
            </w:pPr>
          </w:p>
        </w:tc>
      </w:tr>
      <w:tr>
        <w:trPr>
          <w:trHeight w:val="41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Virtual webcast with slides:</w:t>
            </w:r>
          </w:p>
        </w:tc>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Register Here</w:t>
            </w:r>
          </w:p>
        </w:tc>
      </w:tr>
      <w:tr>
        <w:trPr>
          <w:trHeight w:val="669"/>
        </w:trPr>
        <w:tc>
          <w:tcPr>
            <w:tcW w:w="3500" w:type="dxa"/>
            <w:vAlign w:val="bottom"/>
            <w:tcBorders>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6760" w:type="dxa"/>
            <w:vAlign w:val="bottom"/>
            <w:tcBorders>
              <w:bottom w:val="single" w:sz="8" w:color="auto"/>
            </w:tcBorders>
            <w:gridSpan w:val="2"/>
          </w:tcPr>
          <w:p>
            <w:pPr>
              <w:jc w:val="right"/>
              <w:ind w:right="55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698" w:right="339" w:bottom="1440" w:gutter="0" w:footer="0" w:header="0"/>
        </w:sectPr>
      </w:pPr>
    </w:p>
    <w:bookmarkStart w:id="6" w:name="page7"/>
    <w:bookmarkEnd w:id="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register with the links above at least ten minutes prior to the conference call. The virtual webcast will be available for replay in the ‘Investors’ tab of the Company’s website under ‘Investors’ &gt; ‘Media’ &gt; ‘</w:t>
      </w:r>
      <w:r>
        <w:rPr>
          <w:rFonts w:ascii="Times New Roman" w:cs="Times New Roman" w:eastAsia="Times New Roman" w:hAnsi="Times New Roman"/>
          <w:sz w:val="18"/>
          <w:szCs w:val="18"/>
          <w:u w:val="single" w:color="auto"/>
          <w:color w:val="auto"/>
        </w:rPr>
        <w:t>Events and Presentations</w:t>
      </w:r>
      <w:r>
        <w:rPr>
          <w:rFonts w:ascii="Times New Roman" w:cs="Times New Roman" w:eastAsia="Times New Roman" w:hAnsi="Times New Roman"/>
          <w:sz w:val="18"/>
          <w:szCs w:val="18"/>
          <w:color w:val="auto"/>
        </w:rPr>
        <w:t>’, approximately two hours after the event.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Metals Company is 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More information is available at </w:t>
      </w:r>
      <w:r>
        <w:rPr>
          <w:rFonts w:ascii="Times New Roman" w:cs="Times New Roman" w:eastAsia="Times New Roman" w:hAnsi="Times New Roman"/>
          <w:sz w:val="18"/>
          <w:szCs w:val="18"/>
          <w:u w:val="single" w:color="auto"/>
          <w:color w:val="auto"/>
        </w:rPr>
        <w:t>www.metals.co</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More Info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 </w:t>
      </w:r>
      <w:r>
        <w:rPr>
          <w:rFonts w:ascii="Times New Roman" w:cs="Times New Roman" w:eastAsia="Times New Roman" w:hAnsi="Times New Roman"/>
          <w:sz w:val="18"/>
          <w:szCs w:val="18"/>
          <w:u w:val="single" w:color="auto"/>
          <w:color w:val="auto"/>
        </w:rPr>
        <w:t>media@metals.co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 </w:t>
      </w:r>
      <w:r>
        <w:rPr>
          <w:rFonts w:ascii="Times New Roman" w:cs="Times New Roman" w:eastAsia="Times New Roman" w:hAnsi="Times New Roman"/>
          <w:sz w:val="18"/>
          <w:szCs w:val="18"/>
          <w:u w:val="single" w:color="auto"/>
          <w:color w:val="auto"/>
        </w:rPr>
        <w:t>investors@metals.co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made in this press release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including related to TMC’s current expectations and projections relating to its financial condition and business outlook, how long TMC’s cash will fund operations, and TMC’s system tests, including the timing thereof and the timing and content of environmental and operational assessments.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TMC’s strategies and future financial performance, including its future business plans or objectives; TMC’s ability to submit an application for and obtain exploitation contracts for its areas in the CCZ from the ISA; regulatory uncertainties and the impact of government regulation and political instability on TMC’s resource activities; changes to any of the laws, rules, regulations or policies to which TMC is subject; the impact of extensive and costly environmental requirements on TMC’s operations; environmental liabilities; the impact of polymetallic nodule collection on biodiversity in the CCZ and recovery rates of impacted ecosystems; TMC’s ability to develop minerals in sufficient grade or quantities to justify commercial operations; the lack of development of seafloor polymetallic nodule deposit;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TMC may recover; risks associated with collective, development and processing operations, including with respect to the proposed plant in India and Allseas’ expected development efforts; fluctuations in transportation costs; fluctuations in metals prices; testing and manufacturing of equipment; risks associated with TMC’s limited operating history; the impact of the COVID-19 pandemic; risks associated with TMC’s intellectual property; and other risks and uncertainties, including those under Item 1A “Risk Factors” in TMC’s Annual Report on Form 10-K for the year ended December 31, 2021, filed by TMC with the Securities and Exchange Commission (“SEC”) on March 25, 2022, and in TMC’s other future filings with the SEC, including TMC’s Quarterly Report on Form 10-Q for the quarter ended June 30, 2022, filed by TMC with the SEC on August 15, 2022 and TMC’s Quarterly Report on Form 10-Q for the quarter ended September 30, 2022 when filed with the SEC.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14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14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9"/>
              </w:rPr>
              <w:t>(in thousands of US Dollars, except share amounts)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14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at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at</w:t>
            </w:r>
          </w:p>
        </w:tc>
      </w:tr>
      <w:tr>
        <w:trPr>
          <w:trHeight w:val="216"/>
        </w:trPr>
        <w:tc>
          <w:tcPr>
            <w:tcW w:w="8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1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66,872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84,873</w:t>
            </w:r>
          </w:p>
        </w:tc>
      </w:tr>
      <w:tr>
        <w:trPr>
          <w:trHeight w:val="22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3,686</w:t>
            </w:r>
          </w:p>
        </w:tc>
      </w:tr>
      <w:tr>
        <w:trPr>
          <w:trHeight w:val="209"/>
        </w:trPr>
        <w:tc>
          <w:tcPr>
            <w:tcW w:w="8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Exploration contracts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43,150</w:t>
            </w:r>
          </w:p>
        </w:tc>
      </w:tr>
      <w:tr>
        <w:trPr>
          <w:trHeight w:val="22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r>
      <w:tr>
        <w:trPr>
          <w:trHeight w:val="210"/>
        </w:trPr>
        <w:tc>
          <w:tcPr>
            <w:tcW w:w="8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1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117,157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100" w:type="dxa"/>
            <w:vAlign w:val="bottom"/>
            <w:shd w:val="clear" w:color="auto" w:fill="CCEEFF"/>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26,573</w:t>
            </w:r>
          </w:p>
        </w:tc>
      </w:tr>
      <w:tr>
        <w:trPr>
          <w:trHeight w:val="210"/>
        </w:trPr>
        <w:tc>
          <w:tcPr>
            <w:tcW w:w="8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10,675</w:t>
            </w:r>
          </w:p>
        </w:tc>
      </w:tr>
      <w:tr>
        <w:trPr>
          <w:trHeight w:val="23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liability</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3,126</w:t>
            </w:r>
          </w:p>
        </w:tc>
      </w:tr>
      <w:tr>
        <w:trPr>
          <w:trHeight w:val="210"/>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38,097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40,374</w:t>
            </w:r>
          </w:p>
        </w:tc>
        <w:tc>
          <w:tcPr>
            <w:tcW w:w="100" w:type="dxa"/>
            <w:vAlign w:val="bottom"/>
            <w:tcBorders>
              <w:bottom w:val="single" w:sz="8" w:color="CCEEFF"/>
            </w:tcBorders>
          </w:tcPr>
          <w:p>
            <w:pPr>
              <w:spacing w:after="0"/>
              <w:rPr>
                <w:sz w:val="18"/>
                <w:szCs w:val="18"/>
                <w:color w:val="auto"/>
              </w:rPr>
            </w:pPr>
          </w:p>
        </w:tc>
      </w:tr>
      <w:tr>
        <w:trPr>
          <w:trHeight w:val="210"/>
        </w:trPr>
        <w:tc>
          <w:tcPr>
            <w:tcW w:w="8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265,529,989 (December 31, 2021 – 225,432,493))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328,911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296,051</w:t>
            </w:r>
          </w:p>
        </w:tc>
      </w:tr>
      <w:tr>
        <w:trPr>
          <w:trHeight w:val="216"/>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 J Special Shares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116,917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102,073</w:t>
            </w:r>
          </w:p>
        </w:tc>
      </w:tr>
      <w:tr>
        <w:trPr>
          <w:trHeight w:val="216"/>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(1,216)</w:t>
            </w:r>
          </w:p>
        </w:tc>
      </w:tr>
      <w:tr>
        <w:trPr>
          <w:trHeight w:val="23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Deficit</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(365,552)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(304,157)</w:t>
            </w:r>
          </w:p>
        </w:tc>
      </w:tr>
      <w:tr>
        <w:trPr>
          <w:trHeight w:val="210"/>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79,060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92,751</w:t>
            </w:r>
          </w:p>
        </w:tc>
        <w:tc>
          <w:tcPr>
            <w:tcW w:w="100" w:type="dxa"/>
            <w:vAlign w:val="bottom"/>
            <w:tcBorders>
              <w:bottom w:val="single" w:sz="8" w:color="CCEEFF"/>
            </w:tcBorders>
          </w:tcPr>
          <w:p>
            <w:pPr>
              <w:spacing w:after="0"/>
              <w:rPr>
                <w:sz w:val="18"/>
                <w:szCs w:val="18"/>
                <w:color w:val="auto"/>
              </w:rPr>
            </w:pPr>
          </w:p>
        </w:tc>
      </w:tr>
      <w:tr>
        <w:trPr>
          <w:trHeight w:val="210"/>
        </w:trPr>
        <w:tc>
          <w:tcPr>
            <w:tcW w:w="8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117,157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133,125</w:t>
            </w:r>
          </w:p>
        </w:tc>
      </w:tr>
      <w:tr>
        <w:trPr>
          <w:trHeight w:val="642"/>
        </w:trPr>
        <w:tc>
          <w:tcPr>
            <w:tcW w:w="8140" w:type="dxa"/>
            <w:vAlign w:val="bottom"/>
            <w:tcBorders>
              <w:bottom w:val="single" w:sz="8" w:color="auto"/>
            </w:tcBorders>
          </w:tcPr>
          <w:p>
            <w:pPr>
              <w:jc w:val="center"/>
              <w:ind w:left="3010"/>
              <w:spacing w:after="0"/>
              <w:rPr>
                <w:sz w:val="20"/>
                <w:szCs w:val="20"/>
                <w:color w:val="auto"/>
              </w:rPr>
            </w:pPr>
            <w:r>
              <w:rPr>
                <w:rFonts w:ascii="Times New Roman" w:cs="Times New Roman" w:eastAsia="Times New Roman" w:hAnsi="Times New Roman"/>
                <w:sz w:val="18"/>
                <w:szCs w:val="18"/>
                <w:color w:val="auto"/>
                <w:w w:val="88"/>
              </w:rPr>
              <w:t>6</w:t>
            </w:r>
          </w:p>
        </w:tc>
        <w:tc>
          <w:tcPr>
            <w:tcW w:w="30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58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258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22,663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23,848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40,340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80,181</w:t>
            </w:r>
          </w:p>
        </w:tc>
      </w:tr>
      <w:tr>
        <w:trPr>
          <w:trHeight w:val="229"/>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13,334</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41,138</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37,182</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121,319</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(878)</w:t>
            </w: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(income)</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w:t>
            </w:r>
          </w:p>
        </w:tc>
      </w:tr>
      <w:tr>
        <w:trPr>
          <w:trHeight w:val="209"/>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period</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27,894</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36,651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61,395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121,501</w:t>
            </w:r>
          </w:p>
        </w:tc>
      </w:tr>
      <w:tr>
        <w:trPr>
          <w:trHeight w:val="209"/>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 Basic and diluted</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0.12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0.61</w:t>
            </w:r>
          </w:p>
        </w:tc>
      </w:tr>
      <w:tr>
        <w:trPr>
          <w:trHeight w:val="210"/>
        </w:trPr>
        <w:tc>
          <w:tcPr>
            <w:tcW w:w="5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4"/>
        </w:trPr>
        <w:tc>
          <w:tcPr>
            <w:tcW w:w="54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 and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2"/>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239,740,984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205,248,258</w:t>
            </w:r>
          </w:p>
        </w:tc>
        <w:tc>
          <w:tcPr>
            <w:tcW w:w="2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231,028,587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198,092,309</w:t>
            </w:r>
          </w:p>
        </w:tc>
      </w:tr>
      <w:tr>
        <w:trPr>
          <w:trHeight w:val="641"/>
        </w:trPr>
        <w:tc>
          <w:tcPr>
            <w:tcW w:w="5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16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106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3"/>
                <w:szCs w:val="13"/>
                <w:color w:val="auto"/>
              </w:rPr>
            </w:pPr>
          </w:p>
        </w:tc>
        <w:tc>
          <w:tcPr>
            <w:tcW w:w="980" w:type="dxa"/>
            <w:vAlign w:val="bottom"/>
            <w:gridSpan w:val="2"/>
          </w:tcPr>
          <w:p>
            <w:pPr>
              <w:jc w:val="center"/>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3"/>
                <w:szCs w:val="13"/>
                <w:color w:val="auto"/>
              </w:rPr>
            </w:pPr>
          </w:p>
        </w:tc>
        <w:tc>
          <w:tcPr>
            <w:tcW w:w="780" w:type="dxa"/>
            <w:vAlign w:val="bottom"/>
            <w:gridSpan w:val="2"/>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227,158,455</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299,056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113,487</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(337,658)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73,669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under PIPE financing - net</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38,266,180</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29,668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0"/>
                <w:szCs w:val="10"/>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29,668</w:t>
            </w:r>
          </w:p>
        </w:tc>
        <w:tc>
          <w:tcPr>
            <w:tcW w:w="0" w:type="dxa"/>
            <w:vAlign w:val="bottom"/>
          </w:tcPr>
          <w:p>
            <w:pPr>
              <w:spacing w:after="0"/>
              <w:rPr>
                <w:sz w:val="1"/>
                <w:szCs w:val="1"/>
                <w:color w:val="auto"/>
              </w:rPr>
            </w:pPr>
          </w:p>
        </w:tc>
      </w:tr>
      <w:tr>
        <w:trPr>
          <w:trHeight w:val="171"/>
        </w:trPr>
        <w:tc>
          <w:tcPr>
            <w:tcW w:w="32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proceeds</w:t>
            </w: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26"/>
        </w:trPr>
        <w:tc>
          <w:tcPr>
            <w:tcW w:w="3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5,354</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0"/>
                <w:szCs w:val="10"/>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tcPr>
          <w:p>
            <w:pPr>
              <w:spacing w:after="0"/>
              <w:rPr>
                <w:sz w:val="10"/>
                <w:szCs w:val="10"/>
                <w:color w:val="auto"/>
              </w:rPr>
            </w:pPr>
          </w:p>
        </w:tc>
        <w:tc>
          <w:tcPr>
            <w:tcW w:w="9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withheld for taxes</w:t>
            </w: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0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3,553</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3,553</w:t>
            </w:r>
          </w:p>
        </w:tc>
        <w:tc>
          <w:tcPr>
            <w:tcW w:w="0" w:type="dxa"/>
            <w:vAlign w:val="bottom"/>
          </w:tcPr>
          <w:p>
            <w:pPr>
              <w:spacing w:after="0"/>
              <w:rPr>
                <w:sz w:val="1"/>
                <w:szCs w:val="1"/>
                <w:color w:val="auto"/>
              </w:rPr>
            </w:pPr>
          </w:p>
        </w:tc>
      </w:tr>
      <w:tr>
        <w:trPr>
          <w:trHeight w:val="162"/>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for the period</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(27,894)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(27,894)</w:t>
            </w: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tcBorders>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265,529,989</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328,911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116,917</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(365,552</w:t>
            </w:r>
          </w:p>
        </w:tc>
        <w:tc>
          <w:tcPr>
            <w:tcW w:w="14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79,060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660" w:type="dxa"/>
            <w:vAlign w:val="bottom"/>
            <w:vMerge w:val="restart"/>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Special</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160" w:type="dxa"/>
            <w:vAlign w:val="bottom"/>
            <w:gridSpan w:val="3"/>
            <w:vMerge w:val="restart"/>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1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9"/>
                <w:szCs w:val="9"/>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2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5"/>
                <w:szCs w:val="15"/>
                <w:color w:val="auto"/>
              </w:rPr>
            </w:pPr>
          </w:p>
        </w:tc>
        <w:tc>
          <w:tcPr>
            <w:tcW w:w="980" w:type="dxa"/>
            <w:vAlign w:val="bottom"/>
            <w:gridSpan w:val="2"/>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2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197,794,399</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188,901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550</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72,541</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(247,708)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13,068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2,321,967</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(4,366)</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1,673</w:t>
            </w:r>
          </w:p>
        </w:tc>
        <w:tc>
          <w:tcPr>
            <w:tcW w:w="0" w:type="dxa"/>
            <w:vAlign w:val="bottom"/>
          </w:tcPr>
          <w:p>
            <w:pPr>
              <w:spacing w:after="0"/>
              <w:rPr>
                <w:sz w:val="1"/>
                <w:szCs w:val="1"/>
                <w:color w:val="auto"/>
              </w:rPr>
            </w:pPr>
          </w:p>
        </w:tc>
      </w:tr>
      <w:tr>
        <w:trPr>
          <w:trHeight w:val="148"/>
        </w:trPr>
        <w:tc>
          <w:tcPr>
            <w:tcW w:w="32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0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9,508</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9,508</w:t>
            </w:r>
          </w:p>
        </w:tc>
        <w:tc>
          <w:tcPr>
            <w:tcW w:w="0" w:type="dxa"/>
            <w:vAlign w:val="bottom"/>
          </w:tcPr>
          <w:p>
            <w:pPr>
              <w:spacing w:after="0"/>
              <w:rPr>
                <w:sz w:val="1"/>
                <w:szCs w:val="1"/>
                <w:color w:val="auto"/>
              </w:rPr>
            </w:pPr>
          </w:p>
        </w:tc>
      </w:tr>
      <w:tr>
        <w:trPr>
          <w:trHeight w:val="148"/>
        </w:trPr>
        <w:tc>
          <w:tcPr>
            <w:tcW w:w="3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Conversion of debenture</w:t>
            </w: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3,068,672</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26,503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26,503</w:t>
            </w:r>
          </w:p>
        </w:tc>
        <w:tc>
          <w:tcPr>
            <w:tcW w:w="0" w:type="dxa"/>
            <w:vAlign w:val="bottom"/>
          </w:tcPr>
          <w:p>
            <w:pPr>
              <w:spacing w:after="0"/>
              <w:rPr>
                <w:sz w:val="1"/>
                <w:szCs w:val="1"/>
                <w:color w:val="auto"/>
              </w:rPr>
            </w:pPr>
          </w:p>
        </w:tc>
      </w:tr>
      <w:tr>
        <w:trPr>
          <w:trHeight w:val="148"/>
        </w:trPr>
        <w:tc>
          <w:tcPr>
            <w:tcW w:w="32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Common shares issued for services</w:t>
            </w:r>
          </w:p>
        </w:tc>
        <w:tc>
          <w:tcPr>
            <w:tcW w:w="10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180,485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1,248</w:t>
            </w:r>
          </w:p>
        </w:tc>
        <w:tc>
          <w:tcPr>
            <w:tcW w:w="0" w:type="dxa"/>
            <w:vAlign w:val="bottom"/>
          </w:tcPr>
          <w:p>
            <w:pPr>
              <w:spacing w:after="0"/>
              <w:rPr>
                <w:sz w:val="1"/>
                <w:szCs w:val="1"/>
                <w:color w:val="auto"/>
              </w:rPr>
            </w:pPr>
          </w:p>
        </w:tc>
      </w:tr>
      <w:tr>
        <w:trPr>
          <w:trHeight w:val="149"/>
        </w:trPr>
        <w:tc>
          <w:tcPr>
            <w:tcW w:w="3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Net equity from Business Combination</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60,987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30,339</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91,326</w:t>
            </w:r>
          </w:p>
        </w:tc>
        <w:tc>
          <w:tcPr>
            <w:tcW w:w="0" w:type="dxa"/>
            <w:vAlign w:val="bottom"/>
          </w:tcPr>
          <w:p>
            <w:pPr>
              <w:spacing w:after="0"/>
              <w:rPr>
                <w:sz w:val="1"/>
                <w:szCs w:val="1"/>
                <w:color w:val="auto"/>
              </w:rPr>
            </w:pPr>
          </w:p>
        </w:tc>
      </w:tr>
      <w:tr>
        <w:trPr>
          <w:trHeight w:val="148"/>
        </w:trPr>
        <w:tc>
          <w:tcPr>
            <w:tcW w:w="32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Conversion of preferred shares to common shares</w:t>
            </w:r>
          </w:p>
        </w:tc>
        <w:tc>
          <w:tcPr>
            <w:tcW w:w="10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509,458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6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Loss for the period</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(36,651)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(36,651)</w:t>
            </w: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tcBorders>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2021</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203,874,981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284,228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108,022</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(284,359</w:t>
            </w:r>
          </w:p>
        </w:tc>
        <w:tc>
          <w:tcPr>
            <w:tcW w:w="14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106,675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16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106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3"/>
                <w:szCs w:val="13"/>
                <w:color w:val="auto"/>
              </w:rPr>
            </w:pPr>
          </w:p>
        </w:tc>
        <w:tc>
          <w:tcPr>
            <w:tcW w:w="980" w:type="dxa"/>
            <w:vAlign w:val="bottom"/>
            <w:gridSpan w:val="2"/>
          </w:tcPr>
          <w:p>
            <w:pPr>
              <w:jc w:val="center"/>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3"/>
                <w:szCs w:val="13"/>
                <w:color w:val="auto"/>
              </w:rPr>
            </w:pPr>
          </w:p>
        </w:tc>
        <w:tc>
          <w:tcPr>
            <w:tcW w:w="860" w:type="dxa"/>
            <w:vAlign w:val="bottom"/>
            <w:gridSpan w:val="2"/>
          </w:tcPr>
          <w:p>
            <w:pPr>
              <w:jc w:val="right"/>
              <w:ind w:right="32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225,432,493</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296,051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102,073</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(304,157)</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92,751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under PIPE financing - net</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38,266,180</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29,668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0"/>
                <w:szCs w:val="10"/>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29,668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proceeds</w:t>
            </w: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118,461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1,670,429</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2,984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0"/>
                <w:szCs w:val="10"/>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(3,062)</w:t>
            </w:r>
          </w:p>
        </w:tc>
        <w:tc>
          <w:tcPr>
            <w:tcW w:w="180" w:type="dxa"/>
            <w:vAlign w:val="bottom"/>
          </w:tcPr>
          <w:p>
            <w:pPr>
              <w:spacing w:after="0"/>
              <w:rPr>
                <w:sz w:val="10"/>
                <w:szCs w:val="10"/>
                <w:color w:val="auto"/>
              </w:rPr>
            </w:pPr>
          </w:p>
        </w:tc>
        <w:tc>
          <w:tcPr>
            <w:tcW w:w="9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71"/>
        </w:trPr>
        <w:tc>
          <w:tcPr>
            <w:tcW w:w="32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withheld for taxes</w:t>
            </w: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 purchase under Employee Share Purchase Plan</w:t>
            </w:r>
          </w:p>
        </w:tc>
        <w:tc>
          <w:tcPr>
            <w:tcW w:w="10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42,426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17,982</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17,982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for the period</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(61,395)</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(61,395)</w:t>
            </w:r>
          </w:p>
        </w:tc>
        <w:tc>
          <w:tcPr>
            <w:tcW w:w="0" w:type="dxa"/>
            <w:vAlign w:val="bottom"/>
          </w:tcPr>
          <w:p>
            <w:pPr>
              <w:spacing w:after="0"/>
              <w:rPr>
                <w:sz w:val="1"/>
                <w:szCs w:val="1"/>
                <w:color w:val="auto"/>
              </w:rPr>
            </w:pPr>
          </w:p>
        </w:tc>
      </w:tr>
      <w:tr>
        <w:trPr>
          <w:trHeight w:val="142"/>
        </w:trPr>
        <w:tc>
          <w:tcPr>
            <w:tcW w:w="32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265,529,989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328,911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116,917</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(365,552</w:t>
            </w:r>
          </w:p>
        </w:tc>
        <w:tc>
          <w:tcPr>
            <w:tcW w:w="2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79,060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660" w:type="dxa"/>
            <w:vAlign w:val="bottom"/>
            <w:vMerge w:val="restart"/>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Special</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160" w:type="dxa"/>
            <w:vAlign w:val="bottom"/>
            <w:gridSpan w:val="3"/>
            <w:vMerge w:val="restart"/>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1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9"/>
                <w:szCs w:val="9"/>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2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5"/>
                <w:szCs w:val="15"/>
                <w:color w:val="auto"/>
              </w:rPr>
            </w:pPr>
          </w:p>
        </w:tc>
        <w:tc>
          <w:tcPr>
            <w:tcW w:w="980" w:type="dxa"/>
            <w:vAlign w:val="bottom"/>
            <w:gridSpan w:val="2"/>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189,493,593</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154,431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550</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45,347</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(162,858)</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36,254</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6,312,902</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(10,061)</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4,236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shares to be issued for exploration and</w:t>
            </w: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4,245,031</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25,664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(12,879)</w:t>
            </w:r>
          </w:p>
        </w:tc>
        <w:tc>
          <w:tcPr>
            <w:tcW w:w="1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12,785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evaluation expenses</w:t>
            </w: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55,276</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55,276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for services</w:t>
            </w:r>
          </w:p>
        </w:tc>
        <w:tc>
          <w:tcPr>
            <w:tcW w:w="10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187,432</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equity from Business Combination</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60,987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30,339</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91,326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debentures</w:t>
            </w:r>
          </w:p>
        </w:tc>
        <w:tc>
          <w:tcPr>
            <w:tcW w:w="10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3,126,565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27,003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27,003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Conversion of preferred shares to common shares</w:t>
            </w: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509,458</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660" w:type="dxa"/>
            <w:vAlign w:val="bottom"/>
          </w:tcPr>
          <w:p>
            <w:pPr>
              <w:spacing w:after="0"/>
              <w:rPr>
                <w:sz w:val="12"/>
                <w:szCs w:val="12"/>
                <w:color w:val="auto"/>
              </w:rPr>
            </w:pPr>
          </w:p>
        </w:tc>
        <w:tc>
          <w:tcPr>
            <w:tcW w:w="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for the period</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(121,501)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(121,501)</w:t>
            </w:r>
          </w:p>
        </w:tc>
        <w:tc>
          <w:tcPr>
            <w:tcW w:w="0" w:type="dxa"/>
            <w:vAlign w:val="bottom"/>
          </w:tcPr>
          <w:p>
            <w:pPr>
              <w:spacing w:after="0"/>
              <w:rPr>
                <w:sz w:val="1"/>
                <w:szCs w:val="1"/>
                <w:color w:val="auto"/>
              </w:rPr>
            </w:pPr>
          </w:p>
        </w:tc>
      </w:tr>
      <w:tr>
        <w:trPr>
          <w:trHeight w:val="142"/>
        </w:trPr>
        <w:tc>
          <w:tcPr>
            <w:tcW w:w="3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2021</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203,874,981</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284,228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108,022</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(284,359</w:t>
            </w:r>
          </w:p>
        </w:tc>
        <w:tc>
          <w:tcPr>
            <w:tcW w:w="2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106,675</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16"/>
        </w:trPr>
        <w:tc>
          <w:tcPr>
            <w:tcW w:w="5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5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10"/>
        </w:trPr>
        <w:tc>
          <w:tcPr>
            <w:tcW w:w="514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18"/>
                <w:szCs w:val="18"/>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(61,395)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(121,501)</w:t>
            </w: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Items not affecting cash:</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 settled with share-based payments</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69,357</w:t>
            </w:r>
          </w:p>
        </w:tc>
      </w:tr>
      <w:tr>
        <w:trPr>
          <w:trHeight w:val="216"/>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convertible debentures</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w:t>
            </w:r>
          </w:p>
        </w:tc>
      </w:tr>
      <w:tr>
        <w:trPr>
          <w:trHeight w:val="216"/>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(878)</w:t>
            </w:r>
          </w:p>
        </w:tc>
      </w:tr>
      <w:tr>
        <w:trPr>
          <w:trHeight w:val="216"/>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23,395</w:t>
            </w: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(28,339)</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deferred acquisition costs</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(3,440)</w:t>
            </w: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equipment</w:t>
            </w:r>
          </w:p>
        </w:tc>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w:t>
            </w: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1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PIPE financing</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paid for PIPE financing</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 share purchase plan</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4,236</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debentures</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26,000</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withheld and paid on share-based compensation</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Business Combination (net of fees and other costs)</w:t>
            </w:r>
          </w:p>
        </w:tc>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104,465</w:t>
            </w: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increase in cash</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(17,945)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102,520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3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3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84,873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10,096</w:t>
            </w: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3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112,640</w:t>
            </w:r>
          </w:p>
        </w:tc>
        <w:tc>
          <w:tcPr>
            <w:tcW w:w="100" w:type="dxa"/>
            <w:vAlign w:val="bottom"/>
          </w:tcPr>
          <w:p>
            <w:pPr>
              <w:spacing w:after="0"/>
              <w:rPr>
                <w:sz w:val="18"/>
                <w:szCs w:val="18"/>
                <w:color w:val="auto"/>
              </w:rPr>
            </w:pPr>
          </w:p>
        </w:tc>
      </w:tr>
      <w:tr>
        <w:trPr>
          <w:trHeight w:val="641"/>
        </w:trPr>
        <w:tc>
          <w:tcPr>
            <w:tcW w:w="51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jc w:val="right"/>
              <w:ind w:right="26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2022-11-15T08:12:32Z</dcterms:created>
  <dcterms:modified xsi:type="dcterms:W3CDTF">2022-11-15T08:12:32Z</dcterms:modified>
</cp:coreProperties>
</file>