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4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5, 2022, TMC the metals company Inc. (the “Company”) received a written notice from The Nasdaq Stock Market LLC (“Nasdaq”) notifying the Company that the average closing price of the Company’s common shares (the “Common Shares”) over the 30 consecutive trading days from October 21, 2022 through December 2, 2022 had fallen below $1.00 per share, which is the minimum closing bid price required to maintain listing on the Nasdaq Stock Market under Nasdaq Listing Rule 5450(a)(1) (the “Minimum Bid Requirement”).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180 calendar days to regain compliance with the Minimum Bid Requirement (the “Grace Period”), subject to a potential 180 calendar day extension, as described below. To regain compliance, the closing bid price of the Company’s Common Shares must be at least $1.00 per share for a minimum of 10 consecutive business days within the Grace Period.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does not achieve compliance with the Minimum Bid Requirement by June 5, 2023, the end of the Grace Period, the Company may be eligible for an additional 180 calendar day period to regain compliance. To qualify, the Company would be required, among other things, to meet the continued listing requirement for the market value of its publicly held shares and all other Nasdaq initial listing standards, with the exception of the bid price requirement, and would need to provide written notice to Nasdaq of its intention and plan to cure the deficiency during the second compliance period by effecting a reverse stock split if necessary. However, if it appears to Nasdaq staff that the Company will not be able to cure the deficiency, or if the Company does not meet the other listing standards, Nasdaq could provide notice that the Company’s Common Shares will be subject to delisting. In the event the Company receives notice that its Common Shares are being delisted, the Company would be entitled to appeal the determination to a Nasdaq Listing Qualifications Panel and request a hearing.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Common Shares and will evaluate available options to regain compliance with the Minimum Bid Requirement. The notice has no immediate effect on the listing or trading of the Company’s Common Shares, which will continue to be listed and traded on the Nasdaq Stock Market, subject to the Company’s compliance with the other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2022</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Gerard Barron</w:t>
            </w:r>
          </w:p>
        </w:tc>
      </w:tr>
      <w:tr>
        <w:trPr>
          <w:trHeight w:val="20"/>
        </w:trPr>
        <w:tc>
          <w:tcPr>
            <w:tcW w:w="3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78"/>
        </w:trPr>
        <w:tc>
          <w:tcPr>
            <w:tcW w:w="3700" w:type="dxa"/>
            <w:vAlign w:val="bottom"/>
          </w:tcPr>
          <w:p>
            <w:pPr>
              <w:spacing w:after="0"/>
              <w:rPr>
                <w:sz w:val="15"/>
                <w:szCs w:val="15"/>
                <w:color w:val="auto"/>
              </w:rPr>
            </w:pPr>
          </w:p>
        </w:tc>
        <w:tc>
          <w:tcPr>
            <w:tcW w:w="7540" w:type="dxa"/>
            <w:vAlign w:val="bottom"/>
            <w:gridSpan w:val="2"/>
          </w:tcPr>
          <w:p>
            <w:pPr>
              <w:ind w:left="1940"/>
              <w:spacing w:after="0" w:line="177" w:lineRule="exact"/>
              <w:rPr>
                <w:sz w:val="20"/>
                <w:szCs w:val="20"/>
                <w:color w:val="auto"/>
              </w:rPr>
            </w:pPr>
            <w:r>
              <w:rPr>
                <w:rFonts w:ascii="Times New Roman" w:cs="Times New Roman" w:eastAsia="Times New Roman" w:hAnsi="Times New Roman"/>
                <w:sz w:val="18"/>
                <w:szCs w:val="18"/>
                <w:color w:val="auto"/>
              </w:rPr>
              <w:t>Name: Gerard Barron</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2022-12-06T08:02:13Z</dcterms:created>
  <dcterms:modified xsi:type="dcterms:W3CDTF">2022-12-06T08:02:13Z</dcterms:modified>
</cp:coreProperties>
</file>