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0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001-39281</w:t>
            </w:r>
          </w:p>
        </w:tc>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0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4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incorporation)</w:t>
            </w:r>
          </w:p>
        </w:tc>
        <w:tc>
          <w:tcPr>
            <w:tcW w:w="5320" w:type="dxa"/>
            <w:vAlign w:val="bottom"/>
          </w:tcPr>
          <w:p>
            <w:pPr>
              <w:spacing w:after="0"/>
              <w:rPr>
                <w:sz w:val="20"/>
                <w:szCs w:val="20"/>
                <w:color w:val="auto"/>
              </w:rPr>
            </w:pPr>
          </w:p>
        </w:tc>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0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53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0"/>
        </w:trPr>
        <w:tc>
          <w:tcPr>
            <w:tcW w:w="30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5320" w:type="dxa"/>
            <w:vAlign w:val="bottom"/>
          </w:tcPr>
          <w:p>
            <w:pPr>
              <w:spacing w:after="0"/>
              <w:rPr>
                <w:sz w:val="19"/>
                <w:szCs w:val="19"/>
                <w:color w:val="auto"/>
              </w:rPr>
            </w:pPr>
          </w:p>
        </w:tc>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rPr>
              <w:t>V6C 2T5</w:t>
            </w:r>
          </w:p>
        </w:tc>
      </w:tr>
      <w:tr>
        <w:trPr>
          <w:trHeight w:val="216"/>
        </w:trPr>
        <w:tc>
          <w:tcPr>
            <w:tcW w:w="30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5320" w:type="dxa"/>
            <w:vAlign w:val="bottom"/>
          </w:tcPr>
          <w:p>
            <w:pPr>
              <w:spacing w:after="0"/>
              <w:rPr>
                <w:sz w:val="18"/>
                <w:szCs w:val="18"/>
                <w:color w:val="auto"/>
              </w:rPr>
            </w:pPr>
          </w:p>
        </w:tc>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0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offices)</w:t>
            </w:r>
          </w:p>
        </w:tc>
        <w:tc>
          <w:tcPr>
            <w:tcW w:w="53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(604) 631-3115</w:t>
            </w:r>
          </w:p>
        </w:tc>
        <w:tc>
          <w:tcPr>
            <w:tcW w:w="2840" w:type="dxa"/>
            <w:vAlign w:val="bottom"/>
          </w:tcPr>
          <w:p>
            <w:pPr>
              <w:spacing w:after="0"/>
              <w:rPr>
                <w:sz w:val="24"/>
                <w:szCs w:val="24"/>
                <w:color w:val="auto"/>
              </w:rPr>
            </w:pPr>
          </w:p>
        </w:tc>
      </w:tr>
      <w:tr>
        <w:trPr>
          <w:trHeight w:val="414"/>
        </w:trPr>
        <w:tc>
          <w:tcPr>
            <w:tcW w:w="3080" w:type="dxa"/>
            <w:vAlign w:val="bottom"/>
          </w:tcPr>
          <w:p>
            <w:pPr>
              <w:spacing w:after="0"/>
              <w:rPr>
                <w:sz w:val="24"/>
                <w:szCs w:val="24"/>
                <w:color w:val="auto"/>
              </w:rPr>
            </w:pPr>
          </w:p>
        </w:tc>
        <w:tc>
          <w:tcPr>
            <w:tcW w:w="5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40" w:type="dxa"/>
            <w:vAlign w:val="bottom"/>
          </w:tcPr>
          <w:p>
            <w:pPr>
              <w:spacing w:after="0"/>
              <w:rPr>
                <w:sz w:val="24"/>
                <w:szCs w:val="24"/>
                <w:color w:val="auto"/>
              </w:rPr>
            </w:pPr>
          </w:p>
        </w:tc>
      </w:tr>
      <w:tr>
        <w:trPr>
          <w:trHeight w:val="234"/>
        </w:trPr>
        <w:tc>
          <w:tcPr>
            <w:tcW w:w="308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40" w:type="dxa"/>
            <w:vAlign w:val="bottom"/>
            <w:tcBorders>
              <w:bottom w:val="single" w:sz="8" w:color="auto"/>
            </w:tcBorders>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38"/>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191"/>
        </w:trPr>
        <w:tc>
          <w:tcPr>
            <w:tcW w:w="5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TMCWW</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22, 2022, TMC the metals company Inc. (the “Company”) entered into an At-The-Market Equity Distribution Agreement (the “Agreement”) with Stifel, Nicolaus &amp; Company, Incorporated and Wedbush Securities Inc., as sales agents (the “Agents”), pursuant to which the Company may, from time to time, issue and sell its common shares, without par value, with an aggregate offering price of up to $30 million (the “Shares”) through the Agents.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offer and sales of the Shares made pursuant to the Agreement, if any, will be made under the Company’s effective “shelf” registration statement on Form S-3 (File No. 333-267479) filed with the U.S. Securities and Exchange Commission (the “SEC”) on September 16, 2022, as amended, and declared effective by the SEC on October 14, 2022, the base prospectus contained therein, and a prospectus supplement related to the offering of the Shares dated December 22, 2022.</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terms of the Agreement, the Agents may sell the Shares at market prices by any method that is deemed to be an “at the market offering” as defined in Rule 415 under the Securities Act of 1933, as amended.</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the terms and conditions of the Agreement, the Agents will use their commercially reasonable efforts to sell the Shares from time to time, based upon the Company’s instructions. The Company has no obligation to sell any of the Shares, and may at any time suspend sales under the Agreement or terminate the Agreement in accordance with its terms. The Company has provided the Agents with customary indemnification rights, and the Agents will be entitled to a fixed commission of up to 3.0% of the aggregate gross proceeds from the Shares sold. The Agreement contains customary representations and warranties, and the Company is required to deliver customary closing documents and certificates in connection with sales of the Shares. The Company has agreed to reimburse the Agents for the fees and disbursements of its counsel, payable upon execution of the Agreement, in an amount not to exceed $75,000 in connection with the establishment of this at-the-market offering program.</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legal opinion of Fasken Martineau DuMoulin LLP, counsel to the Company, relating to the Shares is filed as Exhibit 5.1 hereto.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Agreement is not complete and is qualified in its entirety by reference to the full text of such agreement, a copy of which is filed as Exhibit 10.1 to this Current Report on Form 8-K and incorporated herein by reference. Certain information relating to Part II, Item 14 of the above referenced registration statement under the heading “Other Expenses of Issuance and Distribution” with respect to the sale of the Shares under the Agreement is being filed as Exhibit 99.1 to this Current Report on Form 8-K to be incorporated by reference into such registration statement.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any offer to buy the Shares, nor shall there be an offer, solicitation or sale of the Shares in any state in which such offer, solicitation or sale would be unlawful prior to registration or qualification under the securities laws of such state.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225" w:lineRule="exact"/>
        <w:rPr>
          <w:sz w:val="20"/>
          <w:szCs w:val="20"/>
          <w:color w:val="auto"/>
        </w:rPr>
      </w:pPr>
    </w:p>
    <w:p>
      <w:pPr>
        <w:ind w:left="760" w:hanging="752"/>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Opinion of Fasken Martineau DuMoulin LLP.</w:t>
            </w:r>
          </w:p>
        </w:tc>
        <w:tc>
          <w:tcPr>
            <w:tcW w:w="6620" w:type="dxa"/>
            <w:vAlign w:val="bottom"/>
            <w:gridSpan w:val="5"/>
          </w:tcPr>
          <w:p>
            <w:pPr>
              <w:spacing w:after="0"/>
              <w:rPr>
                <w:sz w:val="24"/>
                <w:szCs w:val="24"/>
                <w:color w:val="auto"/>
              </w:rPr>
            </w:pPr>
          </w:p>
        </w:tc>
      </w:tr>
      <w:tr>
        <w:trPr>
          <w:trHeight w:val="412"/>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980" w:type="dxa"/>
            <w:vAlign w:val="bottom"/>
          </w:tcPr>
          <w:p>
            <w:pPr>
              <w:spacing w:after="0"/>
              <w:rPr>
                <w:sz w:val="24"/>
                <w:szCs w:val="24"/>
                <w:color w:val="auto"/>
              </w:rPr>
            </w:pPr>
          </w:p>
        </w:tc>
        <w:tc>
          <w:tcPr>
            <w:tcW w:w="99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At-The-Market Equity Distribution Agreement, dated December 22, 2022, by and among TMC the metals company Inc., Stifel,</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Nicolaus &amp; Company, Incorporated and Wedbush Securities Inc.</w:t>
            </w:r>
          </w:p>
        </w:tc>
        <w:tc>
          <w:tcPr>
            <w:tcW w:w="526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980" w:type="dxa"/>
            <w:vAlign w:val="bottom"/>
          </w:tcPr>
          <w:p>
            <w:pPr>
              <w:spacing w:after="0"/>
              <w:rPr>
                <w:sz w:val="24"/>
                <w:szCs w:val="24"/>
                <w:color w:val="auto"/>
              </w:rPr>
            </w:pPr>
          </w:p>
        </w:tc>
        <w:tc>
          <w:tcPr>
            <w:tcW w:w="99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Consent of Fasken Martineau DuMoulin LLP (included in Exhibit 5.1).</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140" w:type="dxa"/>
            <w:vAlign w:val="bottom"/>
            <w:gridSpan w:val="3"/>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r>
      <w:tr>
        <w:trPr>
          <w:trHeight w:val="412"/>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980" w:type="dxa"/>
            <w:vAlign w:val="bottom"/>
          </w:tcPr>
          <w:p>
            <w:pPr>
              <w:spacing w:after="0"/>
              <w:rPr>
                <w:sz w:val="24"/>
                <w:szCs w:val="24"/>
                <w:color w:val="auto"/>
              </w:rPr>
            </w:pPr>
          </w:p>
        </w:tc>
        <w:tc>
          <w:tcPr>
            <w:tcW w:w="70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Information relating to Item 14 of the Registration Statement on Form S-3 (File No. 333-267479).</w:t>
            </w:r>
          </w:p>
        </w:tc>
        <w:tc>
          <w:tcPr>
            <w:tcW w:w="2880" w:type="dxa"/>
            <w:vAlign w:val="bottom"/>
            <w:gridSpan w:val="2"/>
          </w:tcPr>
          <w:p>
            <w:pPr>
              <w:spacing w:after="0"/>
              <w:rPr>
                <w:sz w:val="24"/>
                <w:szCs w:val="24"/>
                <w:color w:val="auto"/>
              </w:rPr>
            </w:pPr>
          </w:p>
        </w:tc>
      </w:tr>
      <w:tr>
        <w:trPr>
          <w:trHeight w:val="453"/>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spacing w:after="0"/>
              <w:rPr>
                <w:sz w:val="24"/>
                <w:szCs w:val="24"/>
                <w:color w:val="auto"/>
              </w:rPr>
            </w:pPr>
          </w:p>
        </w:tc>
        <w:tc>
          <w:tcPr>
            <w:tcW w:w="9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22, 2022</w:t>
            </w: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740" w:type="dxa"/>
            <w:vAlign w:val="bottom"/>
          </w:tcPr>
          <w:p>
            <w:pPr>
              <w:spacing w:after="0"/>
              <w:rPr>
                <w:sz w:val="16"/>
                <w:szCs w:val="16"/>
                <w:color w:val="auto"/>
              </w:rPr>
            </w:pPr>
          </w:p>
        </w:tc>
        <w:tc>
          <w:tcPr>
            <w:tcW w:w="2460" w:type="dxa"/>
            <w:vAlign w:val="bottom"/>
          </w:tcPr>
          <w:p>
            <w:pPr>
              <w:ind w:left="19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740" w:type="dxa"/>
            <w:vAlign w:val="bottom"/>
          </w:tcPr>
          <w:p>
            <w:pPr>
              <w:spacing w:after="0"/>
              <w:rPr>
                <w:sz w:val="20"/>
                <w:szCs w:val="20"/>
                <w:color w:val="auto"/>
              </w:rPr>
            </w:pP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7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156845</wp:posOffset>
            </wp:positionV>
            <wp:extent cx="6858000" cy="2160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22,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No.: 328015.00001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595 Howe Street, 10th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British 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V6C 2T5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Sirs/Mesdames: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TMC the metals company Inc. – Registration Statement on Form S-1</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acted as Canadian counsel to TMC the metals company Inc., a corporation continued under the laws of the Province of British Columbia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in connection with a continuous “at-the-market” offering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of up to an aggregate of US$30,000,000 of common shares of the Corporation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to be sold under a prospectus supplement filed by the Corporation with the United States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December 22, 2022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pursuant to Rule 424(b) of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supplementing the Corporation’s existing shelf registration statement on Form S-3 filed by the Corporation with the SEC, which was declared effective by the SEC on October 14, 2022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prospectus contained therein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and together with the Prospectus Supplement,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The Common Shares issuable under the Registration Statement and Prospectus are hereinafter referred to as the “</w:t>
      </w:r>
      <w:r>
        <w:rPr>
          <w:rFonts w:ascii="Times New Roman" w:cs="Times New Roman" w:eastAsia="Times New Roman" w:hAnsi="Times New Roman"/>
          <w:sz w:val="18"/>
          <w:szCs w:val="18"/>
          <w:b w:val="1"/>
          <w:bCs w:val="1"/>
          <w:color w:val="auto"/>
        </w:rPr>
        <w:t>Offered Shares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Offering is to be made pursuant to the terms of an equity distribution agreement between the Corporation and Stifel, Nicolaus &amp; Company, Incorporated and Wedbush Securities Inc, as sales agents, dated December 22, 2022 (the “</w:t>
      </w:r>
      <w:r>
        <w:rPr>
          <w:rFonts w:ascii="Times New Roman" w:cs="Times New Roman" w:eastAsia="Times New Roman" w:hAnsi="Times New Roman"/>
          <w:sz w:val="18"/>
          <w:szCs w:val="18"/>
          <w:b w:val="1"/>
          <w:bCs w:val="1"/>
          <w:color w:val="auto"/>
        </w:rPr>
        <w:t>Distribution Agreement</w:t>
      </w:r>
      <w:r>
        <w:rPr>
          <w:rFonts w:ascii="Times New Roman" w:cs="Times New Roman" w:eastAsia="Times New Roman" w:hAnsi="Times New Roman"/>
          <w:sz w:val="18"/>
          <w:szCs w:val="18"/>
          <w:color w:val="auto"/>
        </w:rPr>
        <w:t>”) pursuant to which the Corporation may issue and sell Offered Shares from time to time in negotiated transactions or transactions that are deemed to be “at the market offerings” as defined in Rule 415(a)(4) under the Act.</w:t>
      </w:r>
    </w:p>
    <w:p>
      <w:pPr>
        <w:spacing w:after="0" w:line="176"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Documents Reviewed and Reliance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Canadian counsel to the Corporation, we have participated in the preparation of and/or examined original executed or electronically delivered copies, which have been certified or otherwise identified to our satisfaction, of:</w:t>
      </w:r>
    </w:p>
    <w:p>
      <w:pPr>
        <w:spacing w:after="0" w:line="162"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w:t>
      </w:r>
    </w:p>
    <w:p>
      <w:pPr>
        <w:sectPr>
          <w:pgSz w:w="11900" w:h="16838" w:orient="portrait"/>
          <w:cols w:equalWidth="0" w:num="1">
            <w:col w:w="11240"/>
          </w:cols>
          <w:pgMar w:left="320" w:top="360" w:right="339" w:bottom="1440" w:gutter="0" w:footer="0" w:header="0"/>
        </w:sectPr>
      </w:pPr>
    </w:p>
    <w:bookmarkStart w:id="4" w:name="page5"/>
    <w:bookmarkEnd w:id="4"/>
    <w:p>
      <w:pPr>
        <w:spacing w:after="0"/>
        <w:tabs>
          <w:tab w:leader="none" w:pos="13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550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55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226060</wp:posOffset>
            </wp:positionV>
            <wp:extent cx="6858000" cy="1371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Prospectus, the Registration Statement, and the Distribution Agreement, collectively,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made such investigations and examined originals or copies, certified or otherwise identified to our satisfaction, of such certificates of public officials and of such other certificates, documents and records as we considered necessary or relevant for purposes of the opinions expressed below, including:</w:t>
      </w:r>
    </w:p>
    <w:p>
      <w:pPr>
        <w:spacing w:after="0" w:line="174" w:lineRule="exact"/>
        <w:rPr>
          <w:sz w:val="20"/>
          <w:szCs w:val="20"/>
          <w:color w:val="auto"/>
        </w:rPr>
      </w:pPr>
    </w:p>
    <w:p>
      <w:pPr>
        <w:ind w:left="1300" w:hanging="644"/>
        <w:spacing w:after="0" w:line="284"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good standing dated December 21, 2022 issued pursuant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(the “</w:t>
      </w:r>
      <w:r>
        <w:rPr>
          <w:rFonts w:ascii="Times New Roman" w:cs="Times New Roman" w:eastAsia="Times New Roman" w:hAnsi="Times New Roman"/>
          <w:sz w:val="18"/>
          <w:szCs w:val="18"/>
          <w:b w:val="1"/>
          <w:bCs w:val="1"/>
          <w:color w:val="auto"/>
        </w:rPr>
        <w:t>BCBCA</w:t>
      </w:r>
      <w:r>
        <w:rPr>
          <w:rFonts w:ascii="Times New Roman" w:cs="Times New Roman" w:eastAsia="Times New Roman" w:hAnsi="Times New Roman"/>
          <w:sz w:val="18"/>
          <w:szCs w:val="18"/>
          <w:color w:val="auto"/>
        </w:rPr>
        <w:t>”) relating to the Corporation; and</w:t>
      </w:r>
    </w:p>
    <w:p>
      <w:pPr>
        <w:spacing w:after="0" w:line="156" w:lineRule="exact"/>
        <w:rPr>
          <w:rFonts w:ascii="Times New Roman" w:cs="Times New Roman" w:eastAsia="Times New Roman" w:hAnsi="Times New Roman"/>
          <w:sz w:val="18"/>
          <w:szCs w:val="18"/>
          <w:color w:val="auto"/>
        </w:rPr>
      </w:pPr>
    </w:p>
    <w:p>
      <w:pPr>
        <w:jc w:val="both"/>
        <w:ind w:left="1300" w:hanging="644"/>
        <w:spacing w:after="0" w:line="259"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signed by the Chief Financial Officer of the Corporation dated as of the date hereof addressed to our firm (the “</w:t>
      </w:r>
      <w:r>
        <w:rPr>
          <w:rFonts w:ascii="Times New Roman" w:cs="Times New Roman" w:eastAsia="Times New Roman" w:hAnsi="Times New Roman"/>
          <w:sz w:val="18"/>
          <w:szCs w:val="18"/>
          <w:b w:val="1"/>
          <w:bCs w:val="1"/>
          <w:color w:val="auto"/>
        </w:rPr>
        <w:t>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containing certain additional corporate information of a factual nature and attaching the constating documents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including the certificate of continuation, notice of articles and articles of the Corporation (collectively, the “</w:t>
      </w:r>
      <w:r>
        <w:rPr>
          <w:rFonts w:ascii="Times New Roman" w:cs="Times New Roman" w:eastAsia="Times New Roman" w:hAnsi="Times New Roman"/>
          <w:sz w:val="18"/>
          <w:szCs w:val="18"/>
          <w:b w:val="1"/>
          <w:bCs w:val="1"/>
          <w:color w:val="auto"/>
        </w:rPr>
        <w:t>Constating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and the resolutions of the directors of the Corporation authorizing and approving the issuance of the Offered Shares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Authorizing Resolutions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to various questions of fact material to the opinions provided herein, we have relied upon the Officer’s Certificate. We have examined originals or certified copies of such corporate records, documents, certificates and instruments as we have deemed relevant and necessary for the basis of our opinions hereinafter expressed.</w:t>
      </w:r>
    </w:p>
    <w:p>
      <w:pPr>
        <w:spacing w:after="0" w:line="172"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Laws Addressed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qualified to practice law in the Province of British Columbia and our opinion herein is restricted to the laws of the Province of British Columbia and the federal laws of Canada applicable therein (the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Assumptions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the opinions expressed herein, we have assumed, without independent investigation, the following:</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documents examined by us, the genuineness of all signatures, the authenticity, completeness and accuracy of all documents submitted to us as originals, the conformity to originals of all documents submitted to us as certified, conformed, telecopied, PDF or photocopied copies of originals and the legal capacity of individuals signing any documents;</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88900</wp:posOffset>
            </wp:positionV>
            <wp:extent cx="6858000" cy="8572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572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226060</wp:posOffset>
            </wp:positionV>
            <wp:extent cx="6858000" cy="1371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4" w:right="20" w:hanging="644"/>
        <w:spacing w:after="0" w:line="282"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completeness, accuracy and currency of the indices and filing systems maintained at the public offices where we have searched or made relevant inquiries and of other documents and certificates supplied by public officials;</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Officer’s Certificate continues to be accurate on the date hereof;</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necessary consents, authorizations, approvals, permits or certificates (governmental or otherwise) which are required as a condition to the execution and delivery of each of the Transaction Documents by the parties thereto and to the consummation by such parties of the transactions contemplated thereby have been obtained;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minute books and corporate records of the Corporation made available to us are the original minute books and records of the Corporation and contain all of the articles and constating documents of the Corporation and any amendments thereto and all of the respective minutes, or copies thereof, of all proceedings of the shareholders and directors;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of the Transaction Documents constitutes a legal, valid and binding obligation of the parties thereto, enforceable against each of the parties thereto in accordance with its terms, that each party thereto had or will have the power, corporate or other, to enter into and perform all obligations thereunder, and the execution and delivery thereof was duly authorized by the parties thereto;</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if any obligation under any document is required to be performed in a jurisdiction outside of the Province of British Columbia, the performance of that obligation will not be illegal under the laws of that jurisdiction;</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been duly organized and is validly existing and in good standing, and has the requisite legal status and legal capacity, under the laws of the Province of British Columbia;</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Offered Shares issued and delivered shall be issued, delivered and sold in accordance with the Distribution Agreement and the Authorizing Resolutions, including with respect to the applicable purchase price(s) of such Offered Shares contemplated in the Authorizing Resolutions; and</w:t>
      </w:r>
    </w:p>
    <w:p>
      <w:pPr>
        <w:spacing w:after="0" w:line="17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complied and will comply with the laws of all relevant jurisdictions in connection with the transactions contemplated by, and the performance of its obligations under, the Registration Statement and the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3068955</wp:posOffset>
            </wp:positionH>
            <wp:positionV relativeFrom="paragraph">
              <wp:posOffset>114300</wp:posOffset>
            </wp:positionV>
            <wp:extent cx="171450" cy="214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226060</wp:posOffset>
            </wp:positionV>
            <wp:extent cx="6858000" cy="1371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Reliance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purposes of expressing the opinions set forth herein, in connection with certain factual matters pertaining to this opinion, we have relied exclusively and without independent investigation upon the Officer’s Certificate.</w:t>
      </w:r>
    </w:p>
    <w:p>
      <w:pPr>
        <w:spacing w:after="0" w:line="158"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Opinions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upon and relying on the foregoing and the qualifications hereinafter expressed, we are of the opinion that the Offered Shares have been authorized for issuance and when issued and delivered against payment therefor in accordance with the terms of the Distribution Agreement, the Constating Documents and the Authorizing Resolutions with certificates representing such Offered Shares having been duly executed, countersigned, registered and delivered or, if uncertificated, valid book-entry notations therefor having been made in the central securities register of the Corporation, in accordance with the terms of the Distribution Agreement, the Offered Shares will be validly issued, fully paid and non-assessable.</w:t>
      </w:r>
    </w:p>
    <w:p>
      <w:pPr>
        <w:spacing w:after="0" w:line="17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Qualifications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our opinion refers to securities of the Corporation, whether issued or to be issued, as being “fully-paid and non-assessable”, such phrase means that the holders of such securities will not, after the issuance to them of such securities, be liable to pay further amounts to the Corporation in respect of the issue price payable for such securities, and no opinion is expressed as to the adequacy of any consideration received by the Corporation therefor or as to the actual receipt by the Corporation of any consideration for the issuance of such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greater certainty, a specific assumption, limitation or qualification in this opinion is not to be interpreted to restrict the generality of any other assumption, limitation or qualification expressed in general terms in this opinion that includes the subject matter of the specific assumption, limitation or qualification.</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We hereby consent to the reference to us under the heading “</w:t>
      </w:r>
      <w:r>
        <w:rPr>
          <w:rFonts w:ascii="Times New Roman" w:cs="Times New Roman" w:eastAsia="Times New Roman" w:hAnsi="Times New Roman"/>
          <w:sz w:val="18"/>
          <w:szCs w:val="18"/>
          <w:i w:val="1"/>
          <w:iCs w:val="1"/>
          <w:color w:val="auto"/>
        </w:rPr>
        <w:t>Legal Matters</w:t>
      </w:r>
      <w:r>
        <w:rPr>
          <w:rFonts w:ascii="Times New Roman" w:cs="Times New Roman" w:eastAsia="Times New Roman" w:hAnsi="Times New Roman"/>
          <w:sz w:val="18"/>
          <w:szCs w:val="18"/>
          <w:color w:val="auto"/>
        </w:rPr>
        <w:t>” in the Prospectus and to the filing of this opinion as an exhibit to the Registration Statement. In giving this consent, we do not thereby admit that we are included in the category of persons whose consent is required under Section 7 or Section 11 of the Act or the rules and regulations of the Commission promulgated thereunder.</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opinions are given as at the date hereof and we disclaim any obligation or undertaking to advise any person of any change in law or fact that may come to our attention after the date hereof. Our opinions do not take into account any proposed rules, policies or legislative changes that may come into force following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123190</wp:posOffset>
            </wp:positionV>
            <wp:extent cx="17145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226060</wp:posOffset>
            </wp:positionV>
            <wp:extent cx="6858000" cy="1371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858000" cy="360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00" cy="36004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651510</wp:posOffset>
            </wp:positionV>
            <wp:extent cx="17145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Shares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(without par value)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AT-THE-MARKET EQUITY DISTRIBUTION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22,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205" w:lineRule="auto"/>
        <w:rPr>
          <w:sz w:val="20"/>
          <w:szCs w:val="20"/>
          <w:color w:val="auto"/>
        </w:rPr>
      </w:pPr>
      <w:r>
        <w:rPr>
          <w:rFonts w:ascii="Times New Roman" w:cs="Times New Roman" w:eastAsia="Times New Roman" w:hAnsi="Times New Roman"/>
          <w:sz w:val="18"/>
          <w:szCs w:val="18"/>
          <w:color w:val="auto"/>
        </w:rPr>
        <w:t>One South Street,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 21202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WEDBUSH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Montgomery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TMC the metals company Inc., a company existing under the laws of the Province of British Columbia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subject to the terms and conditions stated herein, to issue and sell from time to time to or through Stifel, Nicolaus &amp; Company, Incorporated (“</w:t>
      </w:r>
      <w:r>
        <w:rPr>
          <w:rFonts w:ascii="Times New Roman" w:cs="Times New Roman" w:eastAsia="Times New Roman" w:hAnsi="Times New Roman"/>
          <w:sz w:val="18"/>
          <w:szCs w:val="18"/>
          <w:u w:val="single" w:color="auto"/>
          <w:color w:val="auto"/>
        </w:rPr>
        <w:t>Stifel Nicolaus</w:t>
      </w:r>
      <w:r>
        <w:rPr>
          <w:rFonts w:ascii="Times New Roman" w:cs="Times New Roman" w:eastAsia="Times New Roman" w:hAnsi="Times New Roman"/>
          <w:sz w:val="18"/>
          <w:szCs w:val="18"/>
          <w:color w:val="auto"/>
        </w:rPr>
        <w:t>”) or Wedbush Securities Inc. (“</w:t>
      </w:r>
      <w:r>
        <w:rPr>
          <w:rFonts w:ascii="Times New Roman" w:cs="Times New Roman" w:eastAsia="Times New Roman" w:hAnsi="Times New Roman"/>
          <w:sz w:val="18"/>
          <w:szCs w:val="18"/>
          <w:u w:val="single" w:color="auto"/>
          <w:color w:val="auto"/>
        </w:rPr>
        <w:t>Wedbush</w:t>
      </w:r>
      <w:r>
        <w:rPr>
          <w:rFonts w:ascii="Times New Roman" w:cs="Times New Roman" w:eastAsia="Times New Roman" w:hAnsi="Times New Roman"/>
          <w:sz w:val="18"/>
          <w:szCs w:val="18"/>
          <w:color w:val="auto"/>
        </w:rPr>
        <w:t>,” and together with Stifel Nicolaus, the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in each case, as sales agent and/or principal,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 the Company’s common shares, without par value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having an aggregate offering price of up to US$30,000,000 on the terms set forth in Section 2 of this At-The-Market Equity Distribution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Company agrees that whenever it determines to sell Shares directly to an Agent as principal, it will enter into a separate agreement with such Agent (each, a “</w:t>
      </w:r>
      <w:r>
        <w:rPr>
          <w:rFonts w:ascii="Times New Roman" w:cs="Times New Roman" w:eastAsia="Times New Roman" w:hAnsi="Times New Roman"/>
          <w:sz w:val="18"/>
          <w:szCs w:val="18"/>
          <w:u w:val="single" w:color="auto"/>
          <w:color w:val="auto"/>
        </w:rPr>
        <w:t>Terms Agreement</w:t>
      </w:r>
      <w:r>
        <w:rPr>
          <w:rFonts w:ascii="Times New Roman" w:cs="Times New Roman" w:eastAsia="Times New Roman" w:hAnsi="Times New Roman"/>
          <w:sz w:val="18"/>
          <w:szCs w:val="18"/>
          <w:color w:val="auto"/>
        </w:rPr>
        <w:t>”) in substantially the form of Annex 1 hereto, relating to such sale in accordance with Section 3 of this Agreement. Certain initially capitalized terms used herein are defined in Section 19 of this Agreement.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the Agents that, as of the Commencement Time and on each Representation Date (as defined in Section 3(k) below), each Applicable Time (as defined in Section 19 below), and each Settlement Date (as defined in Section 2(a) below):</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Compliance with Registration Requirements</w:t>
      </w:r>
      <w:r>
        <w:rPr>
          <w:rFonts w:ascii="Times New Roman" w:cs="Times New Roman" w:eastAsia="Times New Roman" w:hAnsi="Times New Roman"/>
          <w:sz w:val="18"/>
          <w:szCs w:val="18"/>
          <w:color w:val="auto"/>
        </w:rPr>
        <w:t>. The Company has prepared and filed with the Commission a registration statement on Form S-3 (File No. 333-267479), including a related Base Prospectus, under the 1933 Act, in respect of the Common Shares (including the Shares) (collectively,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and any pre-effective amendment thereto. Such Registration Statement has become effective. The initial Effective Date of the Registration Statement was not earlier than the date three years before the Commencement Time. No stop order suspending the effectiveness of the Registration Statement or any part thereof has been issued and no proceeding for that purpose has been initiated or, to the knowledge of the Company, threatened by the Commission. The Company has prepared and filed with the Commission the Prospectus Supplement to the Base Prospectus specifically relating to the Shares prepared and filed with the Commission pursuant to Rule 424(b) under the 1933 Act. Any reference herein to the Registration Statement, the Base Prospectus, the Prospectus Supplement, or the Prospectus shall be deemed to refer to and include the documents incorporated by reference therein pursuant to Item 12 of Form S-3 under the 1933 Act; any reference herein to any amendment or supplement to the Base Prospectus, the Prospectus Supplement, or the Prospectus shall be deemed to refer to and include any post-effective amendment to the Registration Statement, any prospectus supplement relating to the Shares filed with the Commissions pursuant to rule 424(b) under the 1933 Act and any documents filed under the 1934 Act and incorporated therein, in each case after the date of the Base Prospectus, the Prospectus Supplement or the Prospectus, as the case may be; any reference to any amendment to the Registration Statement shall be deemed to refer to and include any annual report of the Company filed pursuant to Section 13(a) or 15(d) of the 1934 Act after the effective date of the Registration Statement that is incorporated by reference in the Registration Statement. To the extent that the Company elects to file a successor registration statement with respect to the Shares, after the effectiveness of any such registration statement, all references to “Registration Statement” included in this Agreement shall be deemed to include such new registration statement, including all documents incorporated by reference therein pursuant to Item 12 of Form S-3, and all references to “Base Prospectus” included in this Agreement shall be deemed to include the final form of prospectus, including all documents incorporated therein by reference, included in any such registration statement at the time such registration statement became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the Commencement Time, on each Effective Date, at each Applicable Time, at each Settlement Date and at all times during which a prospectus is required by the 1933 Act to be delivered (whether physically, deemed to be delivered pursuant to Rule 153 or through compliance with Rule 172 or any similar rule) in connection with any offer or sale of Shares, the Registration Statement complied and will comply in all material respects with the applicable requirements of the 1933 Act and did not and will not contain any untrue statement of a material fact or omit to state any material fact required to be stated therein or necessary in order to make the statements therein not misleading; and on the date of any filing pursuant to Rule 424(b), at the Commencement Time, at each Applicable Time, on each Settlement Date and at all times during which a prospectus is required by the 1933 Act to be delivered (whether physically, deemed to be delivered pursuant to Rule 153 or through compliance with Rule 172 or any similar rule) in connection with any offer or sale of Shares, the Prospectus (or any supplement thereto) complied and will comply in all material respects with the applicable requirements of the 1933 Act and did not and will not include any untrue statement of a material fact or omit to state a material fact necessary in order to make the statements therein, in the light of the circumstances under which they were made, not misleading; provided, however, that the Company makes no representations or warranties as to the information contained in or omitted from the Registration Statement or the Prospectus (or any supplement thereto) in reliance upon and in conformity with information furnished in writing to the Company by the Agents specifically for inclusion in the Registration Statement or the Prospectus (or any supplement thereto).</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Commencement Time, at each Applicable Time and at each Settlement Date, the General Disclosure Package will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General Disclosure Package based upon and in conformity with written information furnished to the Company by the Agents specifically for use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Incorporation of Documents by Reference</w:t>
      </w:r>
      <w:r>
        <w:rPr>
          <w:rFonts w:ascii="Times New Roman" w:cs="Times New Roman" w:eastAsia="Times New Roman" w:hAnsi="Times New Roman"/>
          <w:sz w:val="18"/>
          <w:szCs w:val="18"/>
          <w:color w:val="auto"/>
        </w:rPr>
        <w:t>. The documents incorporated or deemed to be incorporated by reference in the Registration Statement and the Prospectus, when they became effective or were filed with the Commission, as the case may be, complied in all material respects with the 1934 Act and, when read together with the other information in the Registration Statement and the Prospectus at the Commencement Time and at the time the Prospectus was issued, did not contain any untrue statement of a material fact or omit to state any material fact required to be stated therein or necessary in order to make the statements therein, in the light of the circumstances under which they were made, not misleading.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Independent Accountants</w:t>
      </w:r>
      <w:r>
        <w:rPr>
          <w:rFonts w:ascii="Times New Roman" w:cs="Times New Roman" w:eastAsia="Times New Roman" w:hAnsi="Times New Roman"/>
          <w:sz w:val="18"/>
          <w:szCs w:val="18"/>
          <w:color w:val="auto"/>
        </w:rPr>
        <w:t>. Ernst &amp; Young LLP, who have certified certain financial statements of the Company and its consolidated subsidiaries and delivered their report with respect to the audited consolidated financial statements included or incorporated by reference in the Registration Statement and the Prospectus, are independent public accountants with respect to the Company within the meaning thereof under the 1933 Act.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Financial Statements</w:t>
      </w:r>
      <w:r>
        <w:rPr>
          <w:rFonts w:ascii="Times New Roman" w:cs="Times New Roman" w:eastAsia="Times New Roman" w:hAnsi="Times New Roman"/>
          <w:sz w:val="18"/>
          <w:szCs w:val="18"/>
          <w:color w:val="auto"/>
        </w:rPr>
        <w:t>. The consolidated historical financial statements of the Company and its consolidated subsidiaries included or incorporated by reference in the Registration Statement, the General Disclosure Package and the Prospectus, together with the related notes and schedules, present fairly, in all material respects, the financial condition, results of operations and cash flows of the Company and its consolidated subsidiaries as of the dates and for the periods indicated, comply in all material respects as to form with the applicable accounting requirements of the 1933 Act and have been prepared in conformity with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throughout the periods involved (except as otherwise noted therein); provided that unaudited interim financial statements are subject to normal year-end audit adjustments and do not contain all footnotes required by GAAP. The Company does not have any material liabilities or obligations, direct or contingent (including any off-balance sheet obligations), not described in the Registration Statement (excluding the exhibits thereto), the General Disclosure Package and the Prospectus, other than such liabilities and obligations that where incurred in the ordinary course of business.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No Material Adverse Change in Business</w:t>
      </w:r>
      <w:r>
        <w:rPr>
          <w:rFonts w:ascii="Times New Roman" w:cs="Times New Roman" w:eastAsia="Times New Roman" w:hAnsi="Times New Roman"/>
          <w:sz w:val="18"/>
          <w:szCs w:val="18"/>
          <w:color w:val="auto"/>
        </w:rPr>
        <w:t>. Since the respective dates as of which information is included or incorporated in the Registration Statement, the General Disclosure Package or the Prospectus, except as otherwise stated therein, (A) there has been no material adverse effect on the condition (financial or otherwise), prospects, earnings, business or properties of the Company and its subsidiaries, taken as a whole, whether or not arising from transactions in the ordinary course of business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(B) there have been no transactions entered into by the Company or any of its subsidiaries, other than those in the ordinary course of business, which are material with respect to the Company and its subsidiaries considered as one enterprise, and (C) there has been no dividend or distribution of any kind declared, paid or made by the Company on any class of its capital stock. Except as may be described in the Registration Statement, the General Disclosure Package or the Prospectus, neither the Company nor any of its subsidiaries has sustained, since the date of the latest financial statements included or incorporated by reference in the Registration Statement, the General Disclosure Package and the Prospectus, any material loss or interference with its business from fire, explosion, flood or other calamity, whether or not covered by insurance, nor from any labor dispute or court or governmental action, order or decree.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Good Standing of the Company and its Subsidiaries</w:t>
      </w:r>
      <w:r>
        <w:rPr>
          <w:rFonts w:ascii="Times New Roman" w:cs="Times New Roman" w:eastAsia="Times New Roman" w:hAnsi="Times New Roman"/>
          <w:sz w:val="18"/>
          <w:szCs w:val="18"/>
          <w:color w:val="auto"/>
        </w:rPr>
        <w:t>. Each of the Company and its subsidiaries has been duly incorporated as a corporation or formed as a limited liability company, as the case may be, is validly existing in good standing under the laws of the jurisdiction in which it is incorporated or formed, with full power and authority to own or lease, as the case may be, and to operate its properties and conduct its business as described in the Registration Statement, the General Disclosure Package and the Prospectus, and is duly qualified to do business as a foreign corporation or limited liability company in good standing under the laws of each jurisdiction which requires such qualification, except to the extent that the failure to be so qualified or be in good standing would not, singly or in the aggregate, have a Material Adverse Effect, or materially adversely affect the ability of the Company and any of its subsidiaries to perform its obligations under the this Agreement or any Terms Agreement. All of the Company’s subsidiaries as of the date of this Agreement are set forth in Exhibit 21.1 of the Company’s most recently filed Annual Report on Form 10-K.</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Capitalization</w:t>
      </w:r>
      <w:r>
        <w:rPr>
          <w:rFonts w:ascii="Times New Roman" w:cs="Times New Roman" w:eastAsia="Times New Roman" w:hAnsi="Times New Roman"/>
          <w:sz w:val="18"/>
          <w:szCs w:val="18"/>
          <w:color w:val="auto"/>
        </w:rPr>
        <w:t>. The issued and outstanding Common Shares have been duly authorized and validly issued and are fully paid and non-assessable; none of the outstanding Common Shares were issued in violation of the preemptive or other similar rights of any securityholder of the Company. Except as may be described in the Registration Statement, the General Disclosure Package or the Prospectus, the Common Shares have been registered pursuant to Section 12(b) of the 1934 Act and is listed on the Nasdaq Global Select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and the Company has taken no action designed to, or likely to have the effect of, terminating the registration or listing of the Common Shares from the Nasdaq, nor has the Company received any notification that the Commission or the Nasdaq is contemplating terminating such registration or listing.</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Capitalization of Subsidiaries</w:t>
      </w:r>
      <w:r>
        <w:rPr>
          <w:rFonts w:ascii="Times New Roman" w:cs="Times New Roman" w:eastAsia="Times New Roman" w:hAnsi="Times New Roman"/>
          <w:sz w:val="18"/>
          <w:szCs w:val="18"/>
          <w:color w:val="auto"/>
        </w:rPr>
        <w:t>. All of the outstanding membership interests of each subsidiary that is a limited liability company, and all of the outstanding shares of capital stock of each subsidiary that is a corporation, have been duly and validly authorized and issued and are fully paid and nonassessable, except as otherwise set forth in the Registration Statement, the General Disclosure Package and the Prospectus.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Authorization of Agreements</w:t>
      </w:r>
      <w:r>
        <w:rPr>
          <w:rFonts w:ascii="Times New Roman" w:cs="Times New Roman" w:eastAsia="Times New Roman" w:hAnsi="Times New Roman"/>
          <w:sz w:val="18"/>
          <w:szCs w:val="18"/>
          <w:color w:val="auto"/>
        </w:rPr>
        <w:t>. This Agreement has been, and any Terms Agreement will be, duly authorized, executed, and delivered by the Company.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Authorization and Description of Securities</w:t>
      </w:r>
      <w:r>
        <w:rPr>
          <w:rFonts w:ascii="Times New Roman" w:cs="Times New Roman" w:eastAsia="Times New Roman" w:hAnsi="Times New Roman"/>
          <w:sz w:val="18"/>
          <w:szCs w:val="18"/>
          <w:color w:val="auto"/>
        </w:rPr>
        <w:t>. The Shares have been or will be duly authorized and reserved for issuance and sale pursuant to this Agreement and, when issued and delivered by the Company pursuant to this Agreement or any Terms Agreement against payment of the consideration set forth herein, will be validly issued, fully paid and non-assessable. The terms of the Common Shares conform to all statements relating thereto contained in the Registration Statement, the General Disclosure Package and the Prospectus and such description conforms to the rights set forth in the articles of the Company. No holder of the Shares will be subject to personal liability by reason of being such a holder; and the issuance of the Shares is not subject to the preemptive or other similar rights of any securityholder of the Company.</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Absence of Defaults and Conflicts</w:t>
      </w:r>
      <w:r>
        <w:rPr>
          <w:rFonts w:ascii="Times New Roman" w:cs="Times New Roman" w:eastAsia="Times New Roman" w:hAnsi="Times New Roman"/>
          <w:sz w:val="18"/>
          <w:szCs w:val="18"/>
          <w:color w:val="auto"/>
        </w:rPr>
        <w:t>. Neither the Company nor any subsidiary is (i)(1) in violation or default of any provision of its charter, articles or bylaws, as applicable, or (2) in default in the performance or observance of any obligation, agreement, covenant or condition contained in any indenture, contract, lease, mortgage, deed of trust, note agreement, loan agreement or other agreement or instrument to which it is a party or bound or to which its property is subject (collectively, “</w:t>
      </w:r>
      <w:r>
        <w:rPr>
          <w:rFonts w:ascii="Times New Roman" w:cs="Times New Roman" w:eastAsia="Times New Roman" w:hAnsi="Times New Roman"/>
          <w:sz w:val="18"/>
          <w:szCs w:val="18"/>
          <w:u w:val="single" w:color="auto"/>
          <w:color w:val="auto"/>
        </w:rPr>
        <w:t>Agreements and Instruments</w:t>
      </w:r>
      <w:r>
        <w:rPr>
          <w:rFonts w:ascii="Times New Roman" w:cs="Times New Roman" w:eastAsia="Times New Roman" w:hAnsi="Times New Roman"/>
          <w:sz w:val="18"/>
          <w:szCs w:val="18"/>
          <w:color w:val="auto"/>
        </w:rPr>
        <w:t>”), or (ii)(1) the execution, delivery and performance of this Agreement or of any Term Agreement and the consummation of the transactions contemplated herein or in any Terms Agreement and in the Registration Statement (including the issuance and sale of the Shares and the use of proceeds from the sale of the Shares as described in the Prospectus under the caption “Use of Proceeds”) and compliance by the Company with its obligations hereunder do not and will not, whether with or without the giving of notice or passage of time or both, conflict with or constitute a breach of, or default under, or result in the creation or imposition of any lien, charge or encumbrance upon any property or assets of the Company or any subsidiary pursuant to, the Agreements and Instruments, (2) nor will such action result in any violation of the provisions of the articles or bylaws of the Company or such similar governing instruments of any subsidiary, (3) nor will such action result in the violation of any applicable statute, law, rule, regulation, judgment, order or decree of any court, regulatory body, administrative agency, governmental body, arbitrator or other authority having jurisdiction over the Company or such subsidiary or any of its properties, as applicable, except, with respect to clauses (i)(2), (ii)</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or (ii)(3), where such violation or default would not, singly or in the aggregate,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Absence of Labor Dispute</w:t>
      </w:r>
      <w:r>
        <w:rPr>
          <w:rFonts w:ascii="Times New Roman" w:cs="Times New Roman" w:eastAsia="Times New Roman" w:hAnsi="Times New Roman"/>
          <w:sz w:val="18"/>
          <w:szCs w:val="18"/>
          <w:color w:val="auto"/>
        </w:rPr>
        <w:t>. No labor disturbance, problem or dispute with the employees of the Company or any of its subsidiaries which might be expected to have a Material Adverse Effect exists or, to the Company’s knowledge, is threatened or imminent.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Absence of Proceedings</w:t>
      </w:r>
      <w:r>
        <w:rPr>
          <w:rFonts w:ascii="Times New Roman" w:cs="Times New Roman" w:eastAsia="Times New Roman" w:hAnsi="Times New Roman"/>
          <w:sz w:val="18"/>
          <w:szCs w:val="18"/>
          <w:color w:val="auto"/>
        </w:rPr>
        <w:t>. Except as described in the Registration Statement, the General Disclosure Package or the Prospectus, no action, suit or proceeding by or before any court or governmental agency, authority or body or any arbitrator involving the Company or any of its subsidiaries or its or their property is pending or, to the best knowledge of the Company, threatened in writing that would reasonably be expected, singly or in the aggregate, to have a Material Adverse Effect.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Accuracy of Exhibits</w:t>
      </w:r>
      <w:r>
        <w:rPr>
          <w:rFonts w:ascii="Times New Roman" w:cs="Times New Roman" w:eastAsia="Times New Roman" w:hAnsi="Times New Roman"/>
          <w:sz w:val="18"/>
          <w:szCs w:val="18"/>
          <w:color w:val="auto"/>
        </w:rPr>
        <w:t>. There are no contracts or documents which are required to be described in the Registration Statement or the Prospectus or the documents incorporated by reference therein or to be filed as exhibits thereto which have not been so described and filed as required.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Possession of Intellectual Property</w:t>
      </w:r>
      <w:r>
        <w:rPr>
          <w:rFonts w:ascii="Times New Roman" w:cs="Times New Roman" w:eastAsia="Times New Roman" w:hAnsi="Times New Roman"/>
          <w:sz w:val="18"/>
          <w:szCs w:val="18"/>
          <w:color w:val="auto"/>
        </w:rPr>
        <w:t>. The Company and its subsidiaries own or possess adequate rights to use all material patents, patent applications, trademarks, service marks, trade names, trademark registrations, service mark registrations, copyrights and licenses necessary for the conduct of their business and have no reason to believe that the conduct of their respective businesses will conflict with, and have not received any notice of any claim of conflict with, any such rights of others, where if determined adversely to the Company or its subsidiaries would have a Material Adverse Effect.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Absence of Further Requirements</w:t>
      </w:r>
      <w:r>
        <w:rPr>
          <w:rFonts w:ascii="Times New Roman" w:cs="Times New Roman" w:eastAsia="Times New Roman" w:hAnsi="Times New Roman"/>
          <w:sz w:val="18"/>
          <w:szCs w:val="18"/>
          <w:color w:val="auto"/>
        </w:rPr>
        <w:t>. No consent, approval, authorization, filing with or order of any court or governmental agency or body is required in connection with the transactions contemplated herein, except such as have been made or obtained under the 1933 Act and such as may be required under the 1934 Act,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and the blue sky laws of any jurisdiction in connection with the purchase and distribution of the Shares by the Agents in the manner contemplated herein and in the Registration Statement, the General Disclosure Package and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Absence of Manipulation</w:t>
      </w:r>
      <w:r>
        <w:rPr>
          <w:rFonts w:ascii="Times New Roman" w:cs="Times New Roman" w:eastAsia="Times New Roman" w:hAnsi="Times New Roman"/>
          <w:sz w:val="18"/>
          <w:szCs w:val="18"/>
          <w:color w:val="auto"/>
        </w:rPr>
        <w:t>. The Company has not taken, directly or indirectly, any action designed to or that would constitute or that might reasonably be expected to cause or result in, under the 1934 Act or otherwise, stabilization or manipulation of the price of any security of the Company to facilitate the sale or resale of the Shares.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Possession of Licenses and Permits</w:t>
      </w:r>
      <w:r>
        <w:rPr>
          <w:rFonts w:ascii="Times New Roman" w:cs="Times New Roman" w:eastAsia="Times New Roman" w:hAnsi="Times New Roman"/>
          <w:sz w:val="18"/>
          <w:szCs w:val="18"/>
          <w:color w:val="auto"/>
        </w:rPr>
        <w:t>. The Company and its subsidiaries possess or own all licenses, certificates, permits and other authorizations (collectively,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issued by, and have made all declarations and filings with, the applicable federal, state, local or foreign governmental or regulatory authorities that are necessary for the ownership or lease of its properties or the conduct of its businesses as described in the Registration Statement, the General Disclosure Package and the Prospectus, except where the failure to possess or make the same would not reasonably be expected, singly or in the aggregate to have a Material Adverse Effect; the Company and its subsidiaries are not in violation of, or in default under, any such Permit, except where such violation or default would not reasonably be expected to have a Material Adverse Effect; and the Company and its subsidiaries have not received written notice of any revocation or modification of any such Permit and do not have any reason to believe that any such Permit will not be renewed in the ordinary course, in each case which, singly or in the aggregate, if the subject of an unfavorable decision, ruling or finding, would have a Material Adverse Effect.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Title to Property</w:t>
      </w:r>
      <w:r>
        <w:rPr>
          <w:rFonts w:ascii="Times New Roman" w:cs="Times New Roman" w:eastAsia="Times New Roman" w:hAnsi="Times New Roman"/>
          <w:sz w:val="18"/>
          <w:szCs w:val="18"/>
          <w:color w:val="auto"/>
        </w:rPr>
        <w:t>. (1) The Company and each of its subsidiaries have (i) generally satisfactory title to all their respective interests in their properties owned or leased by them, title investigations having been carried out by the Company and its subsidiaries in accordance with the industry practice in the areas in which the Company and its subsidiaries operate, (ii) good and marketable title in fee simple to all real property owned by them to the extent necessary to carry on their business and (iii) good and marketable title to all personal property owned by them to the extent necessary to carry on their business, in each case free and clear of all mortgages, pledges, liens, security interests, claims, restrictions or encumbrances of any kind (collectively,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except Liens permitted under, or contemplated by, any indenture, credit agreement, intercreditor agreement security agreement, mortgage, deed of trust to which the Company or any of its subsidiaries is a party related to outstanding secured indebtedness or available revolving credit facility (including without limitation any Liens granted or permitted under such facility for the benefit of any derivatives counterparties under the agreements entered into with respect to such indebtedness or credit facility), of the Company or any of its subsidiaries, which indebtedness or credit facility is described in the Registration Statement, the General Disclosure Package or the Prospectus; and, to the extent material to the business and operations of the Company and its subsidiaries, taken as a whole, all assets held under lease by the Company and its subsidiaries, are held by them under valid, subsisting and enforceable leases, with such exceptions that do not interfere with the use made of such properties and proposed to be made of such property and buildings by the Company or any of its subsidiaries.</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(2)            All material property, options, leases, concessions, claims or other interests in mineral properties and rights for exploration and exploitation, extraction and other mineral property rights in which the Company or any of its subsidiaries holds an interest or right (collectively, the “</w:t>
      </w:r>
      <w:r>
        <w:rPr>
          <w:rFonts w:ascii="Times New Roman" w:cs="Times New Roman" w:eastAsia="Times New Roman" w:hAnsi="Times New Roman"/>
          <w:sz w:val="18"/>
          <w:szCs w:val="18"/>
          <w:u w:val="single" w:color="auto"/>
          <w:color w:val="auto"/>
        </w:rPr>
        <w:t>Mineral Rights</w:t>
      </w:r>
      <w:r>
        <w:rPr>
          <w:rFonts w:ascii="Times New Roman" w:cs="Times New Roman" w:eastAsia="Times New Roman" w:hAnsi="Times New Roman"/>
          <w:sz w:val="18"/>
          <w:szCs w:val="18"/>
          <w:color w:val="auto"/>
        </w:rPr>
        <w:t>”) are completely and accurately described in the Technical Reports as required by applicable law. The Company and its subsidiaries are the legal and/or beneficial owners or holders of such Mineral Rights as described in the Registration Statement, the General Disclosure Package or the Prospectus. The Mineral Rights are in good standing and are valid and enforceable and free and clear of any Liens, other than so as to not materially interfere with the current use made by the Company or any of its subsidiaries of such Mineral Rights, and no royalty is payable in respect of any of them, in each case, other than as described in the Registration Statement, General Disclosure Package or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Investment Company Act</w:t>
      </w:r>
      <w:r>
        <w:rPr>
          <w:rFonts w:ascii="Times New Roman" w:cs="Times New Roman" w:eastAsia="Times New Roman" w:hAnsi="Times New Roman"/>
          <w:sz w:val="18"/>
          <w:szCs w:val="18"/>
          <w:color w:val="auto"/>
        </w:rPr>
        <w:t>. The Company is not and, after giving effect to the offering and sale of the Shares and the application of the proceeds thereof as described in the Registration Statement, General Disclosure Package or the Prospectus, will not be an “investment company” as defined in the Investment Company Act of 1940, as amended.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  Environmental Laws</w:t>
      </w:r>
      <w:r>
        <w:rPr>
          <w:rFonts w:ascii="Times New Roman" w:cs="Times New Roman" w:eastAsia="Times New Roman" w:hAnsi="Times New Roman"/>
          <w:sz w:val="18"/>
          <w:szCs w:val="18"/>
          <w:color w:val="auto"/>
        </w:rPr>
        <w:t>. The Company and its subsidiaries (i) are in compliance with all applicable foreign, federal, state and local laws and regulations relating to protection of workplace health and safety, the environment, hazardous or toxic substances, or wastes, pollutants or environmental contaminants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have a Material Adverse Effect, whether or not arising from transactions in the ordinary course of business. Except as would not have a Material Adverse Effect, neither the Company nor its subsidiaries have been named as a “potentially responsible party” under the Comprehensive Environmental Response, Compensation, and Liability Act of 1980, as amended.</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There has been no storage, disposal, generation, manufacture, refinement, transportation, handling or treatment of toxic wastes, medical wastes, hazardous wastes, hazardous substances or petroleum or fractions thereof by the Company or any of its subsidiaries (or, to the knowledge of the Company, any of their predecessors in interest) at, upon or from any of the property now or previously owned or leased by the Company or its subsidiaries in violation of any applicable Environmental Law or which would require remedial action under any applicable Environmental Law, except for any violation or remedial action which would not have, or could not be reasonably likely to have, singly or in the aggregate with all such violations and remedial actions, a Material Adverse Effect; and there has been no material spill, discharge, leak, emission, injection, escape, dumping or release of any kind onto such property or into the environment surrounding such property of any toxic wastes, medical wastes, solid wastes, hazardous wastes, hazardous substances or petroleum or fractions thereof due to or caused by the Company or any of its subsidiaries or any person acting on their behalf, except for any such spill, discharge, leak, emission, injection, escape, dumping or release which would not have or would not be reasonably likely to have, singly or in the aggregate with all such spills, discharges, leaks, emissions, injections, escapes, dumpings and releases, a Material Adverse Effect. The terms “hazardous wastes”, “toxic wastes”, “hazardous substances” and “medical wastes” shall have the meanings specified in applicable Environmental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Registration Rights</w:t>
      </w:r>
      <w:r>
        <w:rPr>
          <w:rFonts w:ascii="Times New Roman" w:cs="Times New Roman" w:eastAsia="Times New Roman" w:hAnsi="Times New Roman"/>
          <w:sz w:val="18"/>
          <w:szCs w:val="18"/>
          <w:color w:val="auto"/>
        </w:rPr>
        <w:t>. Except as described in, or filed as an exhibit to, the Registration Statement, the General Disclosure Package or the Prospectus (or any document incorporated by reference therein), there are no persons with registration rights or other similar rights to have any securities registered pursuant to the Registration Statement or otherwise registered by the Company under the 1933 Act.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  Related Party Transactions</w:t>
      </w:r>
      <w:r>
        <w:rPr>
          <w:rFonts w:ascii="Times New Roman" w:cs="Times New Roman" w:eastAsia="Times New Roman" w:hAnsi="Times New Roman"/>
          <w:sz w:val="18"/>
          <w:szCs w:val="18"/>
          <w:color w:val="auto"/>
        </w:rPr>
        <w:t>. No transaction has occurred between or among the Company, any of its subsidiaries and their affiliates, officers or directors or any affiliate or affiliates of any such officer or director that is required to have been described under applicable securities laws in the Company’s filings under the 1934 Act and is not so described.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  Accounting Controls and Disclosure Controls</w:t>
      </w:r>
      <w:r>
        <w:rPr>
          <w:rFonts w:ascii="Times New Roman" w:cs="Times New Roman" w:eastAsia="Times New Roman" w:hAnsi="Times New Roman"/>
          <w:sz w:val="18"/>
          <w:szCs w:val="18"/>
          <w:color w:val="auto"/>
        </w:rPr>
        <w:t>. (i) The Company has established and maintains disclosure controls and procedures (as such term is defined in Rule 13a-15(e) under the 1934 Act); (ii) such disclosure controls and procedures are designed to ensure that information required to be disclosed by the Company in the reports that the Company will file or submit under the 1934 Act is recorded, processed, summarized and reported, within the time periods specified in the Commission’s rules and forms, and are designed to ensure that information required to be disclosed by the Company in the reports that it will file or submit under the 1934 Act is accumulated and communicated to the Company’s management, including the Company’s principal executive and principal financial officers, or persons performing similar functions, as appropriate to allow timely decisions regarding required disclosure; and (iii) except as described in the Registration Statement, the General Disclosure Package or the Prospectus, such disclosure controls and procedures are effective in all material respects to perform the functions for which they were established. Except as described in the Registration Statement, the General Disclosure Package or the Prospectus, the Company and its subsidiaries’ internal controls over financial reporting are effective at a reasonable assurances level and the Company and its subsidiaries are not aware of any material weakness or significant deficiencies in their internal controls over financial reporting.</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and its consolidated subsidiaries employ disclosure controls and procedures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  S-3 Eligibility</w:t>
      </w:r>
      <w:r>
        <w:rPr>
          <w:rFonts w:ascii="Times New Roman" w:cs="Times New Roman" w:eastAsia="Times New Roman" w:hAnsi="Times New Roman"/>
          <w:sz w:val="18"/>
          <w:szCs w:val="18"/>
          <w:color w:val="auto"/>
        </w:rPr>
        <w:t>. (i) At the time of filing the Registration Statement and (ii) at the time of the most recent amendment thereto for the purposes of complying with Section 10(a)(3) of the 1933 Act (whether such amendment was by post-effective amendment, incorporated report filed pursuant to Section 13(a) or 15(d) of the 1934 Act or form of prospectus), the Company met the then applicable requirements for use of Form S-3 under the 1933 Act (including General Instruction I.B.1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u w:val="single" w:color="auto"/>
          <w:color w:val="auto"/>
        </w:rPr>
        <w:t>  No Commissions</w:t>
      </w:r>
      <w:r>
        <w:rPr>
          <w:rFonts w:ascii="Times New Roman" w:cs="Times New Roman" w:eastAsia="Times New Roman" w:hAnsi="Times New Roman"/>
          <w:sz w:val="18"/>
          <w:szCs w:val="18"/>
          <w:color w:val="auto"/>
        </w:rPr>
        <w:t>. Neither the Company nor any of its subsidiaries is a party to any contract, agreement or understanding with any person (other than as contemplated by this Agreement or any Terms Agreement) that would give rise to a valid claim against the Company or any of its subsidiaries or the Agents for a brokerage commission, finder’s fee or like payment in connection with the offering and sale of the Shares.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u w:val="single" w:color="auto"/>
          <w:color w:val="auto"/>
        </w:rPr>
        <w:t>  Deemed Representation</w:t>
      </w:r>
      <w:r>
        <w:rPr>
          <w:rFonts w:ascii="Times New Roman" w:cs="Times New Roman" w:eastAsia="Times New Roman" w:hAnsi="Times New Roman"/>
          <w:sz w:val="18"/>
          <w:szCs w:val="18"/>
          <w:color w:val="auto"/>
        </w:rPr>
        <w:t>. Any certificate signed by any officer of the Company delivered to the Agents pursuant to or in connection with this Agreement or any Terms Agreement shall be deemed a representation and warranty by the Company to the Agents as to the matters covered thereby as of the date or dates indicated in such certificate.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u w:val="single" w:color="auto"/>
          <w:color w:val="auto"/>
        </w:rPr>
        <w:t>  Compliance with the Sarbanes-Oxley Act.</w:t>
      </w:r>
      <w:r>
        <w:rPr>
          <w:rFonts w:ascii="Times New Roman" w:cs="Times New Roman" w:eastAsia="Times New Roman" w:hAnsi="Times New Roman"/>
          <w:sz w:val="18"/>
          <w:szCs w:val="18"/>
          <w:color w:val="auto"/>
        </w:rPr>
        <w:t xml:space="preserve"> There is and has been no failure on the part of the Company or any of the Company’s directors or officers, in their capacities as such, to comply in all material respects with any provision of the Sarbanes-Oxley Act of 2002 and the rules and regulations promulgated in connection therewith, including Section 402 related to loans and Sections 302 and 906 related to certifications.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u w:val="single" w:color="auto"/>
          <w:color w:val="auto"/>
        </w:rPr>
        <w:t>  Payment of Taxes</w:t>
      </w:r>
      <w:r>
        <w:rPr>
          <w:rFonts w:ascii="Times New Roman" w:cs="Times New Roman" w:eastAsia="Times New Roman" w:hAnsi="Times New Roman"/>
          <w:sz w:val="18"/>
          <w:szCs w:val="18"/>
          <w:color w:val="auto"/>
        </w:rPr>
        <w:t>. The Company and its subsidiaries have filed all federal, state and local income and franchise Tax returns required to be filed through the date hereof and have paid all Taxes due thereon, and no Tax deficiency has been determined adversely to the Company or any of its subsidiaries which has had (nor does the Company or any of the Guarantors have any knowledge of any Tax deficiency which, if determined adversely to the Company or any of its subsidiaries, might have) a Material Adverse Effect. For purposes of this Agreement, the term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shall mean all federal, state, local and foreign taxes, and other assessments of a similar nature (whether imposed directly or through withholding), including, without limitation, any interest, additions to tax, or penalties applicable thereto.</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u w:val="single" w:color="auto"/>
          <w:color w:val="auto"/>
        </w:rPr>
        <w:t>  Accurate Books and Records</w:t>
      </w:r>
      <w:r>
        <w:rPr>
          <w:rFonts w:ascii="Times New Roman" w:cs="Times New Roman" w:eastAsia="Times New Roman" w:hAnsi="Times New Roman"/>
          <w:sz w:val="18"/>
          <w:szCs w:val="18"/>
          <w:color w:val="auto"/>
        </w:rPr>
        <w:t>. The Company (i) makes and keeps accurate books and records and (ii) maintains internal accounting controls which provide reasonable assurance that (A) transactions are executed in accordance with management’s authorization, (B) transactions are recorded as necessary to permit preparation of its financial statements and to maintain accountability for its assets, (C) access to its assets is permitted only in accordance with management’s authorization and (D) the reported accountability for its assets is compared with existing assets at reasonable intervals.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(gg)        </w:t>
      </w:r>
      <w:r>
        <w:rPr>
          <w:rFonts w:ascii="Times New Roman" w:cs="Times New Roman" w:eastAsia="Times New Roman" w:hAnsi="Times New Roman"/>
          <w:sz w:val="18"/>
          <w:szCs w:val="18"/>
          <w:u w:val="single" w:color="auto"/>
          <w:color w:val="auto"/>
        </w:rPr>
        <w:t>  ERISA Compliance</w:t>
      </w:r>
      <w:r>
        <w:rPr>
          <w:rFonts w:ascii="Times New Roman" w:cs="Times New Roman" w:eastAsia="Times New Roman" w:hAnsi="Times New Roman"/>
          <w:sz w:val="18"/>
          <w:szCs w:val="18"/>
          <w:color w:val="auto"/>
        </w:rPr>
        <w:t>. The Company is in compliance in all material respects with all presently applicable provisions of the Employee Retirement Income Security Act of 1974, as amended, including the regulations and published interpretations thereunder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“reportable event” (as defined in Section 4043 of ERISA) has occurred with respect to any “pension plan” (as defined in Section 3 of ERISA) for which the Company would have any liability; the Company has not incurred and does not expect to incur liability under (i) Title IV of ERISA with respect to termination of, or withdrawal from, any “pension plan” or (ii) Section 4975 of the Internal Revenue Code of 1986, as amended, including the regulations and published interpretations thereunder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each “pension plan” for which the Company would have any liability that is intended to be qualified under Section 401(a) of the Code is so qualified (except as would not result in any material liability of the Company or its subsidiaries) and nothing has occurred, to the Company’s knowledge, whether by action or by failure to act, which would cause the loss of such qualification.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The Company and its subsidiaries carry, or are covered by, insurance by reputable insurers in such amounts and covering such risks as is reasonably adequate for the conduct of the business operated by them and the value of their properties and as is customary for companies in the same industry in which the Company and its subsidiaries operate. Neither the Company nor any subsidiary has received written notice from any insurer or agent of such insurer that substantial capital improvements or other expenditures will have to be made in order to continue such insurance; and all such insurance is outstanding and duly in force on the date hereof and will be outstanding and duly in force at the Commencement Time, at each Applicable Time and at each Settlement Date.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Statistical and Market-Related Data</w:t>
      </w:r>
      <w:r>
        <w:rPr>
          <w:rFonts w:ascii="Times New Roman" w:cs="Times New Roman" w:eastAsia="Times New Roman" w:hAnsi="Times New Roman"/>
          <w:sz w:val="18"/>
          <w:szCs w:val="18"/>
          <w:color w:val="auto"/>
        </w:rPr>
        <w:t>. Any statistical and market-related data included in the Registration Statement, the General Disclosure Package and the Prospectus are based on or derived from sources that the Company believes to be reliable and accurate, and, where required, the Company has obtained the written consent to the use of such data from such sources.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u w:val="single" w:color="auto"/>
          <w:color w:val="auto"/>
        </w:rPr>
        <w:t>  Cybersecurity</w:t>
      </w:r>
      <w:r>
        <w:rPr>
          <w:rFonts w:ascii="Times New Roman" w:cs="Times New Roman" w:eastAsia="Times New Roman" w:hAnsi="Times New Roman"/>
          <w:sz w:val="18"/>
          <w:szCs w:val="18"/>
          <w:color w:val="auto"/>
        </w:rPr>
        <w:t>. Except in each case as would not reasonably be expected to have a Material Adverse Effect, (i)(A) there has been no security breach or incident, unauthorized access or disclosure or other compromise of or relating to any of the Company’s or its subsidiaries’ information technology and computer systems, networks, hardware, software, data and databases (including the data and information of their respective customers, employees, suppliers, vendors and any third-party data maintained, processed or stored by the Company and its subsidiaries, and any such data processed or stored by third parties on behalf of the Company and its subsidiaries),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(B) the Company and its subsidiaries have not been notified of, and have no knowledge of any event or condition that would reasonably be expected to result in, any security breach or incident, unauthorized access or disclosure or other compromise to their IT Systems and Data; (ii)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and (iii) the Company and its subsidiaries have implemented appropriate controls, policies, procedures and technological safeguards to maintain and protect the integrity, continuous operation, redundancy and security of their IT Systems and Data reasonably consistent with industry standards and practice, or as required by applicable regulatory standards.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(kk)        </w:t>
      </w:r>
      <w:r>
        <w:rPr>
          <w:rFonts w:ascii="Times New Roman" w:cs="Times New Roman" w:eastAsia="Times New Roman" w:hAnsi="Times New Roman"/>
          <w:sz w:val="18"/>
          <w:szCs w:val="18"/>
          <w:u w:val="single" w:color="auto"/>
          <w:color w:val="auto"/>
        </w:rPr>
        <w:t>  Foreign Corrupt Practices Act</w:t>
      </w:r>
      <w:r>
        <w:rPr>
          <w:rFonts w:ascii="Times New Roman" w:cs="Times New Roman" w:eastAsia="Times New Roman" w:hAnsi="Times New Roman"/>
          <w:sz w:val="18"/>
          <w:szCs w:val="18"/>
          <w:color w:val="auto"/>
        </w:rPr>
        <w:t>. Neither the Company nor any of its subsidiaries, nor, to the knowledge of the Company, any director, officer, agent, employee,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government-controlled entity or public international organization, or any political party, party official, or candidate for political office; (iii) violated or is in violation of any provision of the U.S. Foreign Corrupt Practices Act of 1977, as amended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the UK Bribery Act 2010, the Foreign Corrupt Practices Act (Canada) or Corruption of Foreign Public Officials Act (Canada),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(ll)          </w:t>
      </w:r>
      <w:r>
        <w:rPr>
          <w:rFonts w:ascii="Times New Roman" w:cs="Times New Roman" w:eastAsia="Times New Roman" w:hAnsi="Times New Roman"/>
          <w:sz w:val="18"/>
          <w:szCs w:val="18"/>
          <w:u w:val="single" w:color="auto"/>
          <w:color w:val="auto"/>
        </w:rPr>
        <w:t>  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 in writing.</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(mm)      </w:t>
      </w:r>
      <w:r>
        <w:rPr>
          <w:rFonts w:ascii="Times New Roman" w:cs="Times New Roman" w:eastAsia="Times New Roman" w:hAnsi="Times New Roman"/>
          <w:sz w:val="18"/>
          <w:szCs w:val="18"/>
          <w:u w:val="single" w:color="auto"/>
          <w:color w:val="auto"/>
        </w:rPr>
        <w:t>  Sanctions</w:t>
      </w:r>
      <w:r>
        <w:rPr>
          <w:rFonts w:ascii="Times New Roman" w:cs="Times New Roman" w:eastAsia="Times New Roman" w:hAnsi="Times New Roman"/>
          <w:sz w:val="18"/>
          <w:szCs w:val="18"/>
          <w:color w:val="auto"/>
        </w:rPr>
        <w:t>. Neither the Company nor any of its subsidiaries nor, to the knowledge of the Company, any agent, affiliate or representative of the Company or any of its subsidiaries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His Majesty’s Treasury of the United Kingdom), under the Special Economic Measures Act (Canada)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and such persons, “</w:t>
      </w:r>
      <w:r>
        <w:rPr>
          <w:rFonts w:ascii="Times New Roman" w:cs="Times New Roman" w:eastAsia="Times New Roman" w:hAnsi="Times New Roman"/>
          <w:sz w:val="18"/>
          <w:szCs w:val="18"/>
          <w:u w:val="single" w:color="auto"/>
          <w:color w:val="auto"/>
        </w:rPr>
        <w:t>Sanctioned Persons</w:t>
      </w:r>
      <w:r>
        <w:rPr>
          <w:rFonts w:ascii="Times New Roman" w:cs="Times New Roman" w:eastAsia="Times New Roman" w:hAnsi="Times New Roman"/>
          <w:sz w:val="18"/>
          <w:szCs w:val="18"/>
          <w:color w:val="auto"/>
        </w:rPr>
        <w:t>” and each such person, a “</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(ii) is located, organized or resident in a country or territory that is, or whose government is, the subject of Sanctions that broadly prohibit dealings with that country or territory, including, without limitation, Cuba, Iran, North Korea, Syria, Belarus, the so-called Donetsk People’s Republic, the so-called Luhansk People’s Republic, the Crimea region of Ukraine and other Covered Region (as defined in the Executive Order 14065) of Ukraine identified pursuant to the Executive Order 14065 (collectively, “</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or (iii) will, directly or indirectly,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(nn)       </w:t>
      </w:r>
      <w:r>
        <w:rPr>
          <w:rFonts w:ascii="Times New Roman" w:cs="Times New Roman" w:eastAsia="Times New Roman" w:hAnsi="Times New Roman"/>
          <w:sz w:val="18"/>
          <w:szCs w:val="18"/>
          <w:u w:val="single" w:color="auto"/>
          <w:color w:val="auto"/>
        </w:rPr>
        <w:t>  No Distribution from British Columbia</w:t>
      </w:r>
      <w:r>
        <w:rPr>
          <w:rFonts w:ascii="Times New Roman" w:cs="Times New Roman" w:eastAsia="Times New Roman" w:hAnsi="Times New Roman"/>
          <w:sz w:val="18"/>
          <w:szCs w:val="18"/>
          <w:color w:val="auto"/>
        </w:rPr>
        <w:t>. All of the trading in the Company’s securities occurs on the Nasdaq. The Company does not have any significant assets located in British Columbia or derive any revenues from operations in British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u w:val="single" w:color="auto"/>
          <w:color w:val="auto"/>
        </w:rPr>
        <w:t>  Regulatory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9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the Registration Statement, the General Disclosure Package and the Prospectus, neither the Company nor any of its subsidiaries has held any material Regulatory Permits and no such Regulatory Permits are or have been necessary for the Company or any of its subsidiaries to conduct their respective businesses. Except as otherwise set forth in the Registration Statement, the General Disclosure Package and the Prospectus, to the Company’s knowledge, no governmental agency (including the ISA or sponsoring state) has stated or otherwise indicated that a material Regulatory Permit is required for the Company or any of its subsidiaries to conduct their respective businesses.</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6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suits or proceedings or, to the Company’s knowledge, threatened against the Company or any of its subsidiaries related to compliance with UNCLOS Laws and Regulations, including by a governmental agency (including the ISA or sponsoring state). The Company and its subsidiaries are in material compliance with UNCLOS Laws and Regulations. Each of the Company and its subsidiaries currently have the use and benefit of all contracts executed in connection with their obligations under the UNCLOS Laws and Regulations.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Section 1(oo), the following terms have the defined meanings: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ISA</w:t>
      </w:r>
      <w:r>
        <w:rPr>
          <w:rFonts w:ascii="Times New Roman" w:cs="Times New Roman" w:eastAsia="Times New Roman" w:hAnsi="Times New Roman"/>
          <w:sz w:val="18"/>
          <w:szCs w:val="18"/>
          <w:color w:val="auto"/>
        </w:rPr>
        <w:t>” means the International Seabed Authority.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means all Permits granted by ISA or sponsoring state to the Company or any of its subsidiaries.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UNCLOS Laws and Regulations</w:t>
      </w:r>
      <w:r>
        <w:rPr>
          <w:rFonts w:ascii="Times New Roman" w:cs="Times New Roman" w:eastAsia="Times New Roman" w:hAnsi="Times New Roman"/>
          <w:sz w:val="18"/>
          <w:szCs w:val="18"/>
          <w:color w:val="auto"/>
        </w:rPr>
        <w:t>” means the United Nations Convention for the Law of the Sea (“</w:t>
      </w:r>
      <w:r>
        <w:rPr>
          <w:rFonts w:ascii="Times New Roman" w:cs="Times New Roman" w:eastAsia="Times New Roman" w:hAnsi="Times New Roman"/>
          <w:sz w:val="18"/>
          <w:szCs w:val="18"/>
          <w:u w:val="single" w:color="auto"/>
          <w:color w:val="auto"/>
        </w:rPr>
        <w:t>UNCLOS</w:t>
      </w:r>
      <w:r>
        <w:rPr>
          <w:rFonts w:ascii="Times New Roman" w:cs="Times New Roman" w:eastAsia="Times New Roman" w:hAnsi="Times New Roman"/>
          <w:sz w:val="18"/>
          <w:szCs w:val="18"/>
          <w:color w:val="auto"/>
        </w:rPr>
        <w:t>”) and all related laws, conventions, international agreements, and implementing agreements, including (a) the Agreement relating to the Implementation of Part XI of UNCLOS, (b) the laws administered by the ISA, and (c) any applicable customary international law.</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(pp)       </w:t>
      </w:r>
      <w:r>
        <w:rPr>
          <w:rFonts w:ascii="Times New Roman" w:cs="Times New Roman" w:eastAsia="Times New Roman" w:hAnsi="Times New Roman"/>
          <w:sz w:val="18"/>
          <w:szCs w:val="18"/>
          <w:u w:val="single" w:color="auto"/>
          <w:color w:val="auto"/>
        </w:rPr>
        <w:t>  Technical Reports</w:t>
      </w:r>
      <w:r>
        <w:rPr>
          <w:rFonts w:ascii="Times New Roman" w:cs="Times New Roman" w:eastAsia="Times New Roman" w:hAnsi="Times New Roman"/>
          <w:sz w:val="18"/>
          <w:szCs w:val="18"/>
          <w:color w:val="auto"/>
        </w:rPr>
        <w:t>. Each of the Technical Reports has been prepared in accordance with the applicable requirements of Regulation S-K, including the industry guidelines in Subpart 1300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Sale and Delivery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Subject to the terms and conditions set forth herein, the Company agrees to issue and sell exclusively through an Agent (the “</w:t>
      </w:r>
      <w:r>
        <w:rPr>
          <w:rFonts w:ascii="Times New Roman" w:cs="Times New Roman" w:eastAsia="Times New Roman" w:hAnsi="Times New Roman"/>
          <w:sz w:val="18"/>
          <w:szCs w:val="18"/>
          <w:u w:val="single" w:color="auto"/>
          <w:color w:val="auto"/>
        </w:rPr>
        <w:t>Designated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acting as sales agent or directly to an Agent acting as principal from time to time, and the Designated Agent agrees to use its commercially reasonable efforts to sell as sales agent for the Company, the Shares. Sales of the Shares, if any, through a Designated Agent acting as sales agent or directly to an Agent acting as principal may be made in negotiated transactions or transactions that are deemed to be “at the market offerings” as defined in Rule 415 under the 1933 Act, including sales made directly on the Nasdaq, or sales made to or through a market maker other than on an exchange or through an electronic communications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(b)            The Shares are to be sold on a daily basis or otherwise as shall be agreed to by the Company and the Designated Agent on any day that</w:t>
      </w:r>
    </w:p>
    <w:p>
      <w:pPr>
        <w:spacing w:after="0" w:line="27" w:lineRule="exact"/>
        <w:rPr>
          <w:sz w:val="20"/>
          <w:szCs w:val="20"/>
          <w:color w:val="auto"/>
        </w:rPr>
      </w:pPr>
    </w:p>
    <w:p>
      <w:pPr>
        <w:jc w:val="both"/>
        <w:ind w:firstLine="8"/>
        <w:spacing w:after="0" w:line="251" w:lineRule="auto"/>
        <w:tabs>
          <w:tab w:leader="none" w:pos="29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trading day for the Nasdaq (other than a day on which the Nasdaq is scheduled to close prior to its regular weekday closing time, each, a “</w:t>
      </w:r>
      <w:r>
        <w:rPr>
          <w:rFonts w:ascii="Times New Roman" w:cs="Times New Roman" w:eastAsia="Times New Roman" w:hAnsi="Times New Roman"/>
          <w:sz w:val="18"/>
          <w:szCs w:val="18"/>
          <w:u w:val="single" w:color="auto"/>
          <w:color w:val="auto"/>
        </w:rPr>
        <w:t>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Day</w:t>
      </w:r>
      <w:r>
        <w:rPr>
          <w:rFonts w:ascii="Times New Roman" w:cs="Times New Roman" w:eastAsia="Times New Roman" w:hAnsi="Times New Roman"/>
          <w:sz w:val="18"/>
          <w:szCs w:val="18"/>
          <w:color w:val="auto"/>
        </w:rPr>
        <w:t>”), (B) that the Company has satisfied its obligations under Section 6 of this Agreement and (C) that the Company has instructed an Agent to make such sales. For the avoidance of doubt, the foregoing limitation shall not apply to sales solely to employees or securityholders of the Company or its subsidiaries, or to a trustee or other person acquiring such securities for the accounts of such persons in which such the Designated Agent is acting for the Company in a capacity other than as the Designated Agent under this Agreement. On any Trading Day, the Company, through its Chief Executive Officer or Chief Financial Officer (each, an “</w:t>
      </w:r>
      <w:r>
        <w:rPr>
          <w:rFonts w:ascii="Times New Roman" w:cs="Times New Roman" w:eastAsia="Times New Roman" w:hAnsi="Times New Roman"/>
          <w:sz w:val="18"/>
          <w:szCs w:val="18"/>
          <w:u w:val="single" w:color="auto"/>
          <w:color w:val="auto"/>
        </w:rPr>
        <w:t>Authorized Representative</w:t>
      </w:r>
      <w:r>
        <w:rPr>
          <w:rFonts w:ascii="Times New Roman" w:cs="Times New Roman" w:eastAsia="Times New Roman" w:hAnsi="Times New Roman"/>
          <w:sz w:val="18"/>
          <w:szCs w:val="18"/>
          <w:color w:val="auto"/>
        </w:rPr>
        <w:t>”), may instruct the Designated Agent by telephone (confirmed promptly by email by any of the Authorized Representatives and shall be addressed to each of the individuals from the Designated Agent set forth on Schedule 1 which confirmation will be promptly acknowledged by the Designated Agent) as to the maximum number of Shares to be sold by the Designated Agent on such day (in any event not in excess of the number available for issuance under the Prospectus and the currently effective Registration Statement) and the minimum price per Share at which such Shares may be sold. Subject to the terms and conditions hereof, the Designated Agent shall use its commercially reasonable efforts to sell as sales agent all of the Shares so designated by the Company. The Company and the Designated Agent each acknowledge and agree that (A) there can be no assurance that the Designated Agent will be successful in selling the Shares, (B) the Designated Agent will incur no liability or obligation to the Company or any other person or entity if it does not sell Shares for any reason other than a failure by the Designated Agent to use its commercially reasonable efforts consistent with its normal trading and sales practices and applicable law and regulations to sell such Shares as required by this Agreement, and (C) the Designated Agent shall be under no obligation to purchase Shares on a principal basis except as otherwise specifically agreed by either Agent and the Company pursuant to a Terms Agreement. In the event of a conflict between the terms of this Agreement and the terms of a Terms Agreement, the terms of such Terms Agreement will control.</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            Notwithstanding the foregoing, the Company shall not authorize the issuance and sale of, and the Designated Agent as sales agent shall not be obligated to use its commercially reasonable efforts to sell, any Shares pursuant to this Agreement (i) at a price lower than the minimum price therefor authorized from time to time, or (ii) in a number in excess of the number or maximum aggregate dollar value of Shares, in each case, authorized from time to time to be issued and sold under this Agreement, in each case, by the Company’s board of directors, or a duly authorized committee thereof, or any individual to whom such authority has been duly and properly delegated by the Company’s board of directors or a duly authorized committee thereof, and notified to the Designated Agent in writing. The Agents shall not make any sales or offers to sell Shares before the Commencement Time. In addition, the Company may, upon notice to the Designated Agent, suspend the offering of the Shares, or the Agents may, upon notice to the Company, suspend the offering of the Shares with respect to which the Designated Agent is acting as sales agent, for any reason and at any time;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suspension or termination shall not affect or impair the parties’ respective obligations with respect to the Shares sold hereunder prior to the giving of such notice. Any notice given pursuant to the preceding sentence, and the Company’s notice of the Commencement Time, may be given by telephone (confirmed promptly by telecopy or email, which confirmation will be promptly acknowledged).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            The gross sales price of any Shares sold pursuant to this Agreement by the Designated Agent acting as sales agent of the Company shall be the market price prevailing at the time of sale for the Common Shares sold by the Designated Agent on the Nasdaq or otherwise, at prices relating to prevailing market prices or at negotiated prices. The compensation payable to the Designated Agent for sales of Shares with respect to which the Designated Agent acts as sales agent shall be equal to up to 3.0% of the gross sales price of the Shares for amounts of Shares sold pursuant to this Section 2(d). The Company may sell Shares to an Agent, acting as principal, at a price agreed upon with such Agent at the relevant Applicable Time and pursuant to a separate Terms Agreement, in which case, for the avoidance of doubt, the foregoing rate shall not apply. The remaining proceeds after the foregoing compensation payable to the Agents and after further deduction for any transaction fees imposed by any governmental, regulatory or self-regulatory organization in respect of such sales (the “</w:t>
      </w:r>
      <w:r>
        <w:rPr>
          <w:rFonts w:ascii="Times New Roman" w:cs="Times New Roman" w:eastAsia="Times New Roman" w:hAnsi="Times New Roman"/>
          <w:sz w:val="18"/>
          <w:szCs w:val="18"/>
          <w:u w:val="single" w:color="auto"/>
          <w:color w:val="auto"/>
        </w:rPr>
        <w:t>Transaction Fees</w:t>
      </w:r>
      <w:r>
        <w:rPr>
          <w:rFonts w:ascii="Times New Roman" w:cs="Times New Roman" w:eastAsia="Times New Roman" w:hAnsi="Times New Roman"/>
          <w:sz w:val="18"/>
          <w:szCs w:val="18"/>
          <w:color w:val="auto"/>
        </w:rPr>
        <w:t>”), shall constitute the net proceeds to the Company for such Shares (the “</w:t>
      </w:r>
      <w:r>
        <w:rPr>
          <w:rFonts w:ascii="Times New Roman" w:cs="Times New Roman" w:eastAsia="Times New Roman" w:hAnsi="Times New Roman"/>
          <w:sz w:val="18"/>
          <w:szCs w:val="18"/>
          <w:u w:val="single" w:color="auto"/>
          <w:color w:val="auto"/>
        </w:rPr>
        <w:t>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Proceeds</w:t>
      </w:r>
      <w:r>
        <w:rPr>
          <w:rFonts w:ascii="Times New Roman" w:cs="Times New Roman" w:eastAsia="Times New Roman" w:hAnsi="Times New Roman"/>
          <w:sz w:val="18"/>
          <w:szCs w:val="18"/>
          <w:color w:val="auto"/>
        </w:rPr>
        <w:t>”). Such Agent shall notify the Company as promptly as practicable if any deduction referenced in the preceding sentence will be required. The Agents shall provide statements to the Company from time to time reflecting the gross sales price of Shares, Agent compensation and any Transaction Fees.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If acting as a sales agent hereunder, the Designated Agent shall provide written confirmation to the Company following the close of trading on the Nasdaq, each day in which Shares are sold under this Agreement setting forth the number of Shares sold on such day, the aggregate gross sales proceeds of the Shares, the Net Proceeds to the Company and the compensation payable by the Company to such Designated Agent with respect to such sales.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             Under no circumstances shall the aggregate offering price or number, as the case may be, of Shares sold pursuant to this Agreement and any Terms Agreement exceed the aggregate offering price or number, as the case may be, of Common Shares (i) set forth in the preamble paragraph of this Agreement, (ii) available for issuance under the Prospectus and the then currently effective Registration Statement or (iii) authorized from time to time to be issued and sold under this Agreement or any Terms Agreement by the Company’s board of directors, or a duly authorized committee thereof, and notified to the Designated Agent in writing. In addition, under no circumstances shall any Shares with respect to which the Designated Agent acts as sales agent be sold at a price lower than the minimum price therefor authorized from time to time by the Company’s board of directors, or a duly authorized committee thereof, and notified to the Designated Agent in writing.</w:t>
      </w:r>
    </w:p>
    <w:p>
      <w:pPr>
        <w:spacing w:after="0" w:line="18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(g)            Settlement for sales of Shares pursuant to this Section 2(g) will occur on the second Business Day that is also a Trading Day following the trade date on which such sales are made, unless another date shall be agreed to by the Company and the Designated Agent (each such day, a “</w:t>
      </w:r>
      <w:r>
        <w:rPr>
          <w:rFonts w:ascii="Times New Roman" w:cs="Times New Roman" w:eastAsia="Times New Roman" w:hAnsi="Times New Roman"/>
          <w:sz w:val="17"/>
          <w:szCs w:val="17"/>
          <w:u w:val="single" w:color="auto"/>
          <w:color w:val="auto"/>
        </w:rPr>
        <w:t>Settlement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Date</w:t>
      </w:r>
      <w:r>
        <w:rPr>
          <w:rFonts w:ascii="Times New Roman" w:cs="Times New Roman" w:eastAsia="Times New Roman" w:hAnsi="Times New Roman"/>
          <w:sz w:val="17"/>
          <w:szCs w:val="17"/>
          <w:color w:val="auto"/>
        </w:rPr>
        <w:t>”). On each Settlement Date, the Shares sold through the Designated Agent for settlement on such date shall be delivered by the Company to the Designated Agent against payment of the Net Proceeds from the sale of such Shares. Settlement for all Shares shall be effected by book-entry delivery of Shares to the Designated Agent’s account at The Depository Trust Company against payments by the Designated Agent of the Net Proceeds from the sale of such Shares in same day funds delivered to an account designated by the Company. If the Company shall default on its obligation to deliver Shares on any Settlement Date, the Company shall (i) indemnify and hold the Designated Agent harmless against any loss, claim or damage arising from or as a result of such default by the Company and (ii) pay the Designated Agent any commission to which it would otherwise be entitled absent such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The Agents hereby covenant and agree not to make any sales of the Shares on behalf of the Company, pursuant to this Section 2, other than as shall be permitted by law and agreed upon by the Company and the Agents.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             At each Applicable Time, Settlement Date and Representation Date, the Company shall be deemed to have affirmed each representation and warranty contained in this Agreement, modified as necessary to relate to the Registration Statement and the Prospectus as amended as of such date. Any obligation of the Designated Agent to use its commercially reasonable efforts to sell the Shares on behalf of the Company as sales agent shall be subject to the continuing accuracy of the representations and warranties of the Company herein, to the performance by the Company of its obligations hereunder and to the continuing satisfaction of the additional conditions specified in Section 6 of this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(j)             Notwithstanding any other provision of this Agreement, the Company and the Agents agree that no sales of Shares shall take place, and the Company shall not request the sale of any Shares that would be sold, and the Agents shall not be obligated to sell, during any period in which the Company is in possession of material non-public information. The Company agrees that any offer to sell, any solicitation of an offer to buy, or any sales of Shares pursuant to this Agreement shall only be effected by or through an Agent, and only a single Agent, on any single given date, and in no event shall the Company request that more than one Agent sell securities on the same day.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(k)            The Agents acknowledge that the Company is not a reporting issuer in any Province or Territory of Canada and the Common Shares have not been registered or qualified by prospectus for distribution in any Province or Territory of Canada, and are not eligible for sale or resale in Canada. The Agents agree that it will not sell, offer to sell or solicit offers to purchase Common Shares in Canada, or to or from persons resident in any Province or Territory of Canada or to or from any person acquiring such Common Shares for the benefit of another person resident in any Province or Territory of Canada, including under a Terms Agreement. The Agents shall not sell, offer to sell or solicit offers to purchase Common Shares so as to require registration thereof or the filing of a prospectus or similar document with respect thereto under the laws of any jurisdiction other than the United States.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The Company agrees with the Agents:</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            During any period when the delivery of a prospectus is required in connection with the offering or sale of Shares pursuant to this Agreement (whether physically or through compliance with Rule 153 or 172, or in lieu thereof, a notice referred to in Rule 173(a) under the 1933 Act), to make no further amendment or any supplement to the Registration Statement or the Prospectus (other than any amendment or supplement which does not relate to the sale of the Shares and not including any reports or documents and any preliminary or definitive proxy or information statement required to be filed by the Company with the Commission in order to comply with the 1934 Act) unless the Company has furnished to the Agents a copy for their review a reasonable time period prior to filing and will not file any such proposed amendment or supplement to which the Agents reasonably object. At the Commencement Time, the Company will have filed the Prospectus, in a form approved by the Agents, with the Commission pursuant to the applicable paragraph of Rule 424(b) by the Commencement Time and will cause any supplement to the Prospectus to be properly completed, in a form approved by the Agents, and will file such supplement with the Commission pursuant to the applicable paragraph of Rule 424(b) within the time period prescribed thereby and will provide evidence satisfactory to the Agents of such timely filing. The Company will promptly advise the Agents (i) when the Prospectus, and any supplement thereto, shall have been filed (if required) with the Commission pursuant to Rule 424(b), (ii) when, during any period when the delivery of a prospectus (whether physically, deemed to be delivered pursuant to Rule 153 or through compliance with Rule 172 or any similar rule) is required under the 1933 Act in connection with the offering or sale of the Shares, any amendment to the Registration Statement shall have been filed or become effective, (iii) of any request by the Commission or its staff for any amendment of the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Shares for sale in any jurisdiction or the institution or threatening of any proceeding for such purpose. The Company will use its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at the Company’s expense (references herein to the Registration Statement shall include any such amendment or new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Promptly from time to time to take such action as the Agents may reasonably request to qualify the Shares for offering and sale under the securities laws of such jurisdictions as the Agents may request and to comply with such laws so as to permit the continuance of sales and dealings therein in such jurisdictions for as long as may be necessary to complete the sale of the Shares, provided that in connection therewith the Company shall not be required to (i) qualify as a foreign corporation or to file a general consent to service of process in any jurisdiction or (ii) qualify the Shares in any jurisdiction other than the United States of America and any state therein; and to promptly advise the Agents of the receipt by the Company of any notification with respect to the suspension of the qualification of the Shares for offer or sale in any jurisdiction or the initiation or threatening of any proceeding for such purpose.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During any period when the delivery of a prospectus is required (whether physically or through compliance with Rules 153 or 172, or in lieu thereof, a notice referred to in Rule 173(a) under the 1933 Act) in connection with the offering or sale of Shares, the Company will make available to the Agents, as soon as practicable after the Commencement Time, and thereafter from time to time furnish to the Agents, electronic copies of the most recent Prospectus in such quantities and at such locations as the Agents may reasonably request for the purposes contemplated by the 1933 Act.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During any period when the delivery of a prospectus is required (whether physically or through compliance with Rules 153 or 172, or in lieu thereof, a notice referred to in Rule 173(a) under the 1933 Act) in connection with the offering or sale of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during such same period to amend or supplement the Prospectus or to file under the 1934 Act any document incorporated by reference in the Prospectus in order to comply with the 1933 Act or the 1934 Act, to notify the Agents and to file such document and to prepare and furnish without charge to the Agents as many written and electronic copies as the Agents may from time to time reasonably request of an amended Prospectus or a supplement to the Prospectus which will correct such statement or omission or effect such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To make generally available to its securityholders as soon as practicable an earnings statement of the Company and its subsidiaries (which need not be audited) complying with Section 11(a) of the 1933 Act and the rules and regulations of the Commission thereunder (including, at the option of the Company, Rule 158).</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To use the Net Proceeds received by it from the sale of the Shares pursuant to this Agreement and any Terms Agreement in the manner specified in the General Disclosure Package.</w:t>
      </w:r>
    </w:p>
    <w:p>
      <w:pPr>
        <w:spacing w:after="0" w:line="16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(g)            In connection with the offering and sale of the Shares, the Company will file with the Nasdaq all documents and notices, and make all certifications, required by the Nasdaq of companies that have securities that are listed or quoted on the Nasdaq and will maintain such listings or quotations.</w:t>
      </w:r>
    </w:p>
    <w:p>
      <w:pPr>
        <w:spacing w:after="0" w:line="3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To not take, directly or indirectly, and to cause its affiliates to refrain from taking, any action designed to cause or result in, or that has constituted or might reasonably be expected to constitute, under the 1934 Act or otherwise, the stabilization or manipulation of the price of any securities of the Company to facilitate the sale or resale of the Shares.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At each Applicable Time, each Settlement Date and each Representation Date, the Company shall be deemed to have affirmed each representation, warranty, covenant and other agreement contained in this Agreement or any Terms Agreement (except that such representations, warranties, covenants and other agreements shall be deemed to relate to the Registration Statement and the Prospectus as amended and supplemented relating to such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(j)             In each Annual Report on Form 10-K or Quarterly Report on Form 10-Q filed by the Company in respect of any quarter in which sales of Shares were made by or through the Agents under this Agreement or any Terms Agreement, the Company shall set forth with regard to such quarter the number of Shares sold through the Agents under this Agreement or any Terms Agreement and the Net Proceeds received by the Company with respect to sales of Shares pursuant to this Agreement or any Terms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(k)            Upon the Commencement Time (and upon any subsequent recommencement of the offering of the Shares under this Agreement following the termination or a suspension of sales hereunder) and each time after the Commencement Time that (i) the Shares are delivered to an Agent as principal pursuant to a Terms Agreement, (ii) the Registration Statement or the Prospectus shall be amended or supplemented (other than (1) by an amendment or supplement providing solely for the determination of the terms of the Shares, (2) in connection with the filing of a prospectus supplement filed pursuant to Section 3(a) hereof, (3) any amendment or supplement effected by the filing with the Commission of any document incorporated by reference therein (other than any current reports on Form 8-K that contain financial statements, supporting schedules or other financial data, including any current report on Form 8-K under Item 2.02 of such form that is considered “filed” instead of “furnished” under the 1934 Act) or (4) by a prospectus supplement relating to the offering of other securities (including, without limitation, other Common Shares)), (iii) the Company shall file an Annual Report on Form 10-K or a Quarterly Report on Form 10-Q, or (iv) otherwise as the Agents may reasonably request (such Commencement Time or recommencement date and each such date referred to in clauses (i), (ii), (iii), and (iv), excluding any date occurring during the suspension of sales hereunder, a “</w:t>
      </w:r>
      <w:r>
        <w:rPr>
          <w:rFonts w:ascii="Times New Roman" w:cs="Times New Roman" w:eastAsia="Times New Roman" w:hAnsi="Times New Roman"/>
          <w:sz w:val="18"/>
          <w:szCs w:val="18"/>
          <w:u w:val="single" w:color="auto"/>
          <w:color w:val="auto"/>
        </w:rPr>
        <w:t>Representation Date</w:t>
      </w:r>
      <w:r>
        <w:rPr>
          <w:rFonts w:ascii="Times New Roman" w:cs="Times New Roman" w:eastAsia="Times New Roman" w:hAnsi="Times New Roman"/>
          <w:sz w:val="18"/>
          <w:szCs w:val="18"/>
          <w:color w:val="auto"/>
        </w:rPr>
        <w:t>”), the Company will furnish or cause to be furnished within two (2) Business Days thereafter to the Agents a certificate in a form reasonably satisfactory to the Agents to the effect that the statements contained in the certificate referred to in Section 6(e) of this Agreement which were last furnished to the Agents are true and correct at the time of such Representation Date, as though made at and as of such time (except that such statements shall be deemed to relate to the Registration Statement, the General Disclosure Package and the Prospectus as amended and supplemented to such time) or, in lieu of such certificate, a certificate of the same tenor as the certificate referred to in said Section 6(e), but modified as necessary to relate to the Registration Statement and the Prospectus as amended and supplemented, or to the document incorporated by reference into the Prospectus, to the time of delivery of such certificate. The requirement to provide a certificate under this Section 3(k) shall be waived for any Representation Date occurring at a time at which no instruction by the Company to the Agents to sell Shares under this Agreement is in effect, which waiver shall continue until the earlier to occur of the date the Company delivers an instruction to the Agents to sell Shares pursuant to Section 2(a) hereof (which for such calendar quarter shall be considered a Representation Date) and the next occurring Representation Date for which no such waiver is made; provided, however, that the Company may elect, in its sole discretion, to provide a certificate under this Section 3(k) notwithstanding the fact that no instruction by the Company to the Agents to sell Shares under this Agreement is in effect. Notwithstanding the foregoing, if the Company subsequently decides to sell Shares following a Representation Date when the Company relied on such waiver and did not provide the Agents with a certificate under this Section 3(k), then before the Company delivers an instruction pursuant to Section 2(a) or the Agents sell any Shares, the Company shall provide the Agents with a certificate of the same tenor as the certificate referred to in Section 6(f) of this Agreement.</w:t>
      </w:r>
    </w:p>
    <w:p>
      <w:pPr>
        <w:spacing w:after="0" w:line="20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(l)             Upon the Commencement Time (and upon the recommencement of the offering of the Shares under this Agreement following the termination of a suspension of sales as contemplated herein) and within two (2) Business Days after each Representation Date, the Company will furnish or cause to be furnished to the Agents the written opinion and letter of Mintz, Levin, Cohn, Ferris, Glovsky and Popeo, P.C., United States counsel to the Company (“</w:t>
      </w:r>
      <w:r>
        <w:rPr>
          <w:rFonts w:ascii="Times New Roman" w:cs="Times New Roman" w:eastAsia="Times New Roman" w:hAnsi="Times New Roman"/>
          <w:sz w:val="18"/>
          <w:szCs w:val="18"/>
          <w:u w:val="single" w:color="auto"/>
          <w:color w:val="auto"/>
        </w:rPr>
        <w:t>U.S. Company Counsel</w:t>
      </w:r>
      <w:r>
        <w:rPr>
          <w:rFonts w:ascii="Times New Roman" w:cs="Times New Roman" w:eastAsia="Times New Roman" w:hAnsi="Times New Roman"/>
          <w:sz w:val="18"/>
          <w:szCs w:val="18"/>
          <w:color w:val="auto"/>
        </w:rPr>
        <w:t>”), and opinion of Fasken Martineau DuMoulin LLP, Canadian counsel to the Company (the “</w:t>
      </w:r>
      <w:r>
        <w:rPr>
          <w:rFonts w:ascii="Times New Roman" w:cs="Times New Roman" w:eastAsia="Times New Roman" w:hAnsi="Times New Roman"/>
          <w:sz w:val="18"/>
          <w:szCs w:val="18"/>
          <w:u w:val="single" w:color="auto"/>
          <w:color w:val="auto"/>
        </w:rPr>
        <w:t>Canadian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Counsel</w:t>
      </w:r>
      <w:r>
        <w:rPr>
          <w:rFonts w:ascii="Times New Roman" w:cs="Times New Roman" w:eastAsia="Times New Roman" w:hAnsi="Times New Roman"/>
          <w:sz w:val="18"/>
          <w:szCs w:val="18"/>
          <w:color w:val="auto"/>
        </w:rPr>
        <w:t>”) or other counsel reasonably satisfactory to the Agents, dated the date of effectiveness of such amendment or the date of filing with the Commission of such supplement or other document, as the case may be, in a form and substance reasonably satisfactory to the Agents, of the same tenor as the opinions and letters referred to in Section 6(c) of this Agreement, but modified as necessary to relate to the Registration Statement, the General Disclosure Package and the Prospectus as amended and supplemented, or to the document incorporated by reference into the Prospectus, to the time of delivery of such opinion and letter or, in lieu of such opinion and letter, counsel last furnishing such letter to the Agents shall furnish such Agents with a letter substantially to the effect that the Agents may rely on such last opinion and letter to the same extent as though each were dated the date of such letter authorizing reliance (except that statements in such last letter shall be deemed to relate to the Registration Statement and the Prospectus as amended and supplemented to the time of delivery of such letter authorizing reliance). The requirement to provide an opinion and/or letter under this Section 3(l) shall be waived for any Representation Date occurring at a time at which no instruction by the Company to the Agents to sell Shares under this Agreement is in effect, which waiver shall continue until the earlier to occur of the date the Company delivers an instruction to the Agents to sell Shares pursuant to Section 2(a) hereof (which for such calendar quarter shall be considered a Representation Date) and the next occurring Representation Date for which no such waiver is made; provided, however, that each of U.S. Company Counsel and Canadian Company Counsel may elect, in its sole discretion, to provide an opinion and/or letter under this Section 3(l) notwithstanding the fact that no instruction by the Company to the Agents to sell Shares under this Agreement is in effect. Notwithstanding the foregoing, if the Company subsequently decides to sell Shares following a Representation Date when the Company relied on such waiver and each of U.S. Company Counsel and Canadian Company Counsel did not provide the Agents with an opinion and/or letter under this Section 3(l), then before the Company delivers an instruction pursuant to Section 2(a) or the Agents sell any Shares, each of U.S. Company Counsel and Canadian Company Counsel shall provide the Agents with an opinion and/or letter of the same tenor as the opinion and/or letter referred to in Section 6(c)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(m)           Upon the Commencement Time (and upon the recommencement of the offering of the Shares under this Agreement following the termination of a suspension of sales as contemplated herein) and within two (2) Business Days after each time after the Commencement Time that (i) the Registration Statement or the Prospectus shall be amended or supplemented to include additional amended financial information, (ii) the Shares are delivered to an Agent as principal pursuant to a Terms Agreement, (iii) the Company files with the Commission a Quarterly Report on Form 10-Q or an Annual Report on Form 10-K, or (iv) at the Agents’ request and upon reasonable advance notice to the Company (such recommencement date and each such date referred to in (i), (ii), (iii) and (iv) above, an “</w:t>
      </w:r>
      <w:r>
        <w:rPr>
          <w:rFonts w:ascii="Times New Roman" w:cs="Times New Roman" w:eastAsia="Times New Roman" w:hAnsi="Times New Roman"/>
          <w:sz w:val="18"/>
          <w:szCs w:val="18"/>
          <w:u w:val="single" w:color="auto"/>
          <w:color w:val="auto"/>
        </w:rPr>
        <w:t>Auditor Representation Date</w:t>
      </w:r>
      <w:r>
        <w:rPr>
          <w:rFonts w:ascii="Times New Roman" w:cs="Times New Roman" w:eastAsia="Times New Roman" w:hAnsi="Times New Roman"/>
          <w:sz w:val="18"/>
          <w:szCs w:val="18"/>
          <w:color w:val="auto"/>
        </w:rPr>
        <w:t>”), there is filed with the Commission any document which contains financial information incorporated by reference into the Prospectus, the Company will cause Ernst &amp; Young, LLP, or other independent accountants reasonably satisfactory to the Agents (the “</w:t>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xml:space="preserve">”), to furnish to the Agents a letter, dated the date of effectiveness of such amendment or the date of filing of such supplement or other document with the Commission, as the case may be, in form reasonably satisfactory to the Agents, of the same tenor as the letter referred to in Section 6(d) hereof, but modified as necessary to relate to the Registration Statement, the General Disclosure Package and the Prospectus, as amended and supplemented, or to the document incorporated by reference into the Prospectus, to the date of such letter. The requirement to provide a letter or letters under this Section 3(m) shall be waived for any Auditor Representation Date occurring at a time at which no instruction by the Company to the Agents to sell Shares under this Agreement is in effect, which waiver shall continue until the earlier to occur of the date the Company delivers an instruction to the Agents to sell Shares pursuant to Section 2(a) hereof (which for such calendar quarter shall be considered an Auditor Representation Date) and the next occurring Auditor Representation Date for which no such waiver is made;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may elect, in its sole discretion, to cause the Accountants to provide the Agents a letter or letters under this Section 3(m) notwithstanding the fact that no instruction by the Company to the Agents to sell Shares under this Agreement is in effect. Notwithstanding the foregoing, if the Company subsequently decides to sell Shares following an Auditor Representation Date when the Company relied on such waiver and did not cause the Accountants to provide the Agents with a letter or letters under this Section 3(m), then before the Company delivers an instruction pursuant to Section 2(a) or the Agents sell any Shares, the Company shall cause the Accountants to furnish the Agents a letter or letters, dated the date of the Auditor Representation Date, in form reasonably satisfactory to the Agents, of the same tenor as the letter referred to in Section 6(d) of this Agreement but modified to relate to the Registration Statement and the Prospectus, as amended and supplemented to the date of such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(n)            [Reserved].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            The Company consents to the Agents trading in the Common Shares for Agents’ own accounts and for the accounts of their clients at the same time as sales of Shares occur pursuant to this Agreement or any Terms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            If, to the knowledge of the Company, all filings required by Rule 424 in connection with this offering shall not have been made or the representations in Section 1(a) shall not be true and correct on the applicable Settlement Date, the Company will offer to any person who has agreed to purchase Shares from the Company as the result of an offer to purchase solicited by the Agent the right to refuse to purchase and pay for such Shares.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(q)            Within two (2) Business Days after each Representation Date, the Company will conduct a due diligence session, in form and substance satisfactory to the Agents, which shall include representatives of the management and the independent accountants of the Company. The Company will cooperate timely with any reasonable due diligence review conducted by or on behalf of the Agents from time to time in connection with the transactions contemplated hereby or in any Terms Agreement, including, without limitation, and upon reasonable notice providing information and making available documents and appropriate corporate officers, during regular business hours and at the Company’s principal offices, as the Agents may reasonably request.</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(r)             The Company will not, without (i) giving the Agents at least three (3) Business Days’ prior written notice specifying the nature of the proposed sale and the date of such proposed sale and (ii) the Agents suspending activity under this program for such period of time as requested by the Company or as deemed appropriate by the Agents in light of the proposed sale, (A) offer, pledge, announce the intention to sell, sell, contract to sell, sell any option or contract to purchase, purchase any option or contract to sell, grant any option, right or warrant for the sale of, lend or otherwise transfer or dispose of, directly or indirectly, any Common Shares or securities convertible into or exchangeable or exercisable for or repayable with Common Shares, or file any registration statement under the 1933 Act with respect to any of the foregoing (other than a shelf registration statement under Rule 415 under the 1933 Act, a registration statement on Form S-8, or any post-effective amendment to the Registration Statement or any other existing registration statement of the Company) or (B) enter into any swap or other agreement or any transaction that transfers in whole or in part, directly or indirectly, any of the economic consequence of ownership of the Common Shares, or any securities convertible into or exchangeable or exercisable for or repayable with Common Shares, whether any such swap or transaction described in clause (A) or (B) above is to be settled by delivery of Common Shares or such other securities, in cash or otherwise. The foregoing sentence shall not apply to the Company’s issuance or sale of (i) Common Shares, options to purchase Common Shares, restricted share units, other equity awards to acquire Common Shares or Common Shares issuable upon the exercise of options or other equity awards, pursuant to any equity incentive or benefits plan, stock ownership plan or dividend reinvestment plan (but not Common Shares subject to a waiver to exceed plan limits in its dividend reinvestment plan) of the Company where now in effect or hereafter implemented, (ii) Common Shares issuable upon conversion of securities or the exercise of warrants, options or other rights in effect or outstanding, and disclosed in filings by the Company available on the Electronic Data Gathering, Analysis, and Retrieval system or otherwise in writing to the Agents, (iii) Common Shares or securities convertible into or exchangeable for Common Shares as consideration for mergers, acquisitions, or other business combinations occurring after the date of this Agreement which are not issued primarily for capital raising purposes and (iv) Common Shares or securities convertible into or exchangeable for Common Shares</w:t>
      </w:r>
    </w:p>
    <w:p>
      <w:pPr>
        <w:spacing w:after="0" w:line="10" w:lineRule="exact"/>
        <w:rPr>
          <w:sz w:val="20"/>
          <w:szCs w:val="20"/>
          <w:color w:val="auto"/>
        </w:rPr>
      </w:pPr>
    </w:p>
    <w:p>
      <w:pPr>
        <w:jc w:val="both"/>
        <w:ind w:firstLine="8"/>
        <w:spacing w:after="0" w:line="253" w:lineRule="auto"/>
        <w:tabs>
          <w:tab w:leader="none" w:pos="34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strategic transactions, including (1) joint ventures, manufacturing, marketing, OEM, sponsored research, collaboration or distribution arrangements or (2) technology transfer or development arrangements and/or (B) to suppliers or third party service providers in connection with the provision of goods or services, in each case of this clause (iv) which are not issued primarily for capital raising purposes and (v) the Shares to be offered and sold through the Agents pursuant to this Agreement or any Terms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            If immediately prior to the third anniversary (the “</w:t>
      </w:r>
      <w:r>
        <w:rPr>
          <w:rFonts w:ascii="Times New Roman" w:cs="Times New Roman" w:eastAsia="Times New Roman" w:hAnsi="Times New Roman"/>
          <w:sz w:val="18"/>
          <w:szCs w:val="18"/>
          <w:u w:val="single" w:color="auto"/>
          <w:color w:val="auto"/>
        </w:rPr>
        <w:t>Renewal Deadline</w:t>
      </w:r>
      <w:r>
        <w:rPr>
          <w:rFonts w:ascii="Times New Roman" w:cs="Times New Roman" w:eastAsia="Times New Roman" w:hAnsi="Times New Roman"/>
          <w:sz w:val="18"/>
          <w:szCs w:val="18"/>
          <w:color w:val="auto"/>
        </w:rPr>
        <w:t>”) of the initial effective date of the Registration Statement, any of the Shares remain unsold and the Company desires to sell any of such unsold Shares under the terms of this Agreement, the Company will, prior to the Renewal Deadline file, if it has not already done so and is eligible to do so, file a new shelf registration statement relating to the Shares, in a form satisfactory to the Agent, and will use its best efforts to cause such registration statement to be declared effective within 60 days after the Renewal Deadline. The Company will take all other action necessary or appropriate to permit the issuance and sale of the Shares to continue as contemplated in the expired registration statement relating to the Shares. References herein to the Registration Statement shall include such new registration statement.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(i)            The Company represents and agrees that without the prior consent of the Agents, it has not made and will not make any offer relating to the Shares that would constitute a Free Writing Prospectus; and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(ii)            The Agents represent and agree that, without the prior consent of the Company, they have not made and will not make any offer relating to the Shares that would constitute a Free Writing Prospectus required to be filed with the Commission.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The Company has complied and will comply with the requirements of Rule 433 under the 1933 Act applicable to any Issuer Free Writing Prospectus (including any free writing prospectus identified in Section 4(a) hereof), including timely filing with the Commission or retention where required and legending.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covenants and agrees with the Agents that the Company will pay or cause to be paid the following: (i) the fees, disbursements and expenses of the Company’s counsel and accountants in connection with the registration of the Shares under the 1933 Act and all other expenses in connection with the preparation, printing and filing of the Registration Statement, the Base Prospectus, Prospectus Supplement, any Issuer Free Writing Prospectus and the Prospectus and amendments and supplements thereto and the mailing and delivering of copies thereof to the Agents; (ii) the cost of printing or producing this Agreement or any Terms Agreement, any Blue Sky and Legal Investment Memoranda, closing documents (including any compilations thereof) and any other documents in connection with the offering, purchase, sale and delivery of the Shares;</w:t>
      </w:r>
    </w:p>
    <w:p>
      <w:pPr>
        <w:spacing w:after="0" w:line="5" w:lineRule="exact"/>
        <w:rPr>
          <w:sz w:val="20"/>
          <w:szCs w:val="20"/>
          <w:color w:val="auto"/>
        </w:rPr>
      </w:pPr>
    </w:p>
    <w:p>
      <w:pPr>
        <w:jc w:val="both"/>
        <w:ind w:firstLine="8"/>
        <w:spacing w:after="0" w:line="251"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in connection with the qualification of the Shares for offering and sale under state securities laws as provided in Section 3(b) hereof, including the reasonable and documented fees and disbursements of counsel for the Agents in connection with such qualification and in connection with the Blue Sky and Legal Investment Surveys; (iv) any filing fees incident to, and the reasonable and documented fees and disbursements of counsel for the Agents in connection with, any required review by FINRA of the terms of the sale of the Shares; (v) all fees and expenses in connection with listing or quoting the Shares on the Nasdaq; (vi) the cost of preparing the Shares; (vii) the costs and charges of any transfer agent or registrar or any dividend distribution agent; (vii) the reasonable and documented fees and disbursements of counsel to the Agents in an aggregate amount not to exceed US$75,000; and (viii) all other costs and expenses incident to the performance of its obligations hereunder which are not otherwise specifically provided for in this Section. Such expenses set forth in clauses (iii) and (iv) above shall invoiced in statements from the Agents to the Company, with payment to be made by the Company promptly after its receipt thereof. It is understood, however, that, except as provided in this Section, and Section 7 hereof, the Agents will pay all of their own costs and expenses, including the fees of its counsel, transfer taxes on resale of any of the Shares by it, and any advertising expenses connected with any offers it may make.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Conditions of Agents’ Obligation</w:t>
      </w:r>
      <w:r>
        <w:rPr>
          <w:rFonts w:ascii="Times New Roman" w:cs="Times New Roman" w:eastAsia="Times New Roman" w:hAnsi="Times New Roman"/>
          <w:sz w:val="18"/>
          <w:szCs w:val="18"/>
          <w:color w:val="auto"/>
        </w:rPr>
        <w:t>. The obligations of the Agents hereunder shall be subject, in their discretion, to the condition that all representations and warranties and other statements of the Company herein or in certificates of any officer of the Company delivered pursuant to the provisions hereof are true and correct as of the Commencement Time, the date of any executed Terms Agreement and as of each Registration Statement Amendment Date, Applicable Time and Settlement Date, to the condition that the Company shall have performed all of its obligations hereunder theretofore to be performed, and the following additional conditions: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The Prospectus Supplement shall have been filed with the Commission pursuant to Rule 424(b) under the 1933 Act on or prior to the Commencement Time and in accordance with Section 3(a) hereof, any other material required to be filed by the Company pursuant to Rule 433(d) under the 1933 Act shall have been filed with the Commission within the applicable time periods prescribed for such filings by Rule 433; no stop order suspending the effectiveness of the Registration Statement or any part thereof shall have been issued and no proceeding for that purpose shall have been initiated or threatened by the Commission and no notice of objection of the Commission to the use of the form of the Registration Statement or any post-effective amendment thereto pursuant to Rule 401(g)(2) under the 1933 Act shall have been received; no stop order suspending or preventing the use of the Prospectus or any Issuer Free Writing Prospectus shall have been initiated or threatened by the Commission; and all requests for additional information on the part of the Commission shall have been complied with to the reasonable satisfaction of the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On every date specified in Section 3(k) hereof and on such other dates as reasonably requested by the Agents, Goodwin Procter LLP, counsel for the Agents, shall have furnished to the Agents such written opinion or opinions, dated as of such date, with respect to such matters as the Agents may reasonably request, and such counsel shall have received such papers and information as they may reasonably request to enable them to pass upon such matters.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On every date specified in Section 3(l) hereof and on such other dates as reasonably requested by the Agents, each of the U.S. Company Counsel and the Canadian Company Counsel, shall have furnished to the Agents a written opinion or opinions, dated as of such date, in form and substance reasonably satisfactory to the Agents.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            At the dates specified in Section 3(m) hereof and on such other dates as reasonably requested by the Agents, the independent accountants of the Company who have certified the financial statements of the Company and its subsidiaries included or incorporated by reference in the Registration Statement, the General Disclosure Package and the Prospectus shall have furnished to the Agents a letter dated as of the date of delivery thereof and addressed to the Agents in form and substance reasonably satisfactory to the Agents, containing statements and information of the type ordinarily included in accountants’ “comfort letters” to underwriters with respect to the financial statements of the Company and its subsidiaries included or incorporated by reference in the Registration Statement, the General Disclosure Package and the Prospectus.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[Reserved].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             Prior to the Commencement Time, the Agents shall have received a certificate, signed on behalf of the Company by its corporate secretary, in form and substance satisfactory to the Agents.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            (i) Upon Commencement Time and on such other dates as reasonably requested by Agents, the Company will furnish or cause to be furnished promptly to the Agents a certificate of an officer in a form satisfactory to the Agents stating the minimum price for the sale of such Shares pursuant to this Agreement and the maximum number of Shares that may be issued and sold pursuant to this Agreement or, alternatively, maximum gross proceeds from such sales, as authorized from time to time by the Company’s board of directors or a duly authorized committee thereof or, in connection with any amendment, revision or modification of such minimum price or maximum Share number or amount, a new certificate with respect thereto and</w:t>
      </w:r>
    </w:p>
    <w:p>
      <w:pPr>
        <w:spacing w:after="0" w:line="3" w:lineRule="exact"/>
        <w:rPr>
          <w:sz w:val="20"/>
          <w:szCs w:val="20"/>
          <w:color w:val="auto"/>
        </w:rPr>
      </w:pPr>
    </w:p>
    <w:p>
      <w:pPr>
        <w:jc w:val="both"/>
        <w:ind w:firstLine="8"/>
        <w:spacing w:after="0" w:line="252" w:lineRule="auto"/>
        <w:tabs>
          <w:tab w:leader="none" w:pos="2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date specified in Section 3(k) and on such other dates as reasonably requested by Agents, the Agents shall have received a certificate of executive officers of the Company, one of whom shall be the Chief Financial Officer, Chief Accounting Officer, Treasurer, or Executive Vice President in the area of capital markets and investments, dated as of the date thereof, to the effect that (A) there has been no Material Adverse Effect since the date as of which information is given in the General Disclosure Package and the Prospectus as then amended or supplemented, (B) the representations and warranties in Section 1 hereof are true and correct as of such date and (C) the Company has complied with all of the agreements entered into in connection with the transaction contemplated herein and satisfied all conditions on its part to be performed or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Since the date of the latest audited financial statements then included or incorporated by reference in the General Disclosure Package and the Prospectus, no Material Adverse Effect shall have occurred.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The Company shall have complied with the provisions of Section 3(c) hereof with respect to the timely furnishing of prospectuses.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             On or around each date specified in Section 3(q) and on such dates as reasonably requested by the Agents, the Company shall have conducted due diligence sessions, in form and substance satisfactory to the Agents.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            All filings with the Commission required by Rule 424 under the 1933 Act to have been filed by each Applicable Time or related Settlement Date shall have been made within the applicable time period prescribed for such filing by Rule 424 (without reliance on Rule 424(b)(8)).</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             The Shares shall be approved for listing or quotation on the Nasdaq prior to any Settlement Date.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           Prior to any Settlement Date, the Company shall have furnished to the Agents such further information, documents or certificates as the Agents may reasonably request.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The Company will indemnify and hold harmless the Agents against any losses, claims, damages or liabilities, joint or several, to which the Agents may become subject, under the 1933 Act or otherwise, insofar as such losses, claims, damages or liabilities (or actions in respect thereof) arise out of or are based upon an untrue statement or alleged untrue statement of a material fact contained in the Registration Statement, the Base Prospectus, the Prospectus Supplement or the Prospectus or any amendment or supplement thereto, any Issuer Free Writing Prospectus or any “issuer information” filed or required to be filed pursuant to Rule 433(d) under the 1933 Act, or arise out of or are based upon the omission or alleged omission to state therein a material fact required to be stated therein or necessary to make the statements therein not misleading, and will reimburse the Agents for any legal or other expenses reasonably incurred by the Agents in connection with investigating or defending any such action or claim as such expenses are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liable in any such case to the extent that any such loss, claim, damage or liability arises out of or is based upon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untrue statement or alleged untrue statement or omission or alleged omission made in the Registration Statement, the Base Prospectus, the Prospectus Supplement or the Prospectus, or any amendment or supplement thereto, or any Issuer Free Writing Prospectus, in reliance upon and in strict conformity with written information furnished to the Company by the Agents expressly for use therein.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Each Agent, severally but not jointly, will indemnify and hold harmless the Company against any losses, claims, damages or liabilities to which the Company may become subject, under the 1933 Act or otherwise, insofar as such losses, claims, damages or liabilities (or actions in respect thereof) arise out of or are based upon an untrue statement or alleged untrue statement of a material fact contained in the Registration Statement, the Base Prospectus, the Prospectus Supplement or the Prospectus, or any amendment or supplement thereto,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Base Prospectus, the Prospectus Supplement or the Prospectus, or any such amendment or supplement thereto, or any Issuer Free Writing Prospectus, in reliance upon and in strict conformity with written information furnished to the Company by such Agent expressly for use therein; and will reimburse the Company for any legal or other expenses reasonably incurred by the Company in connection with investigating or defending any such action or claim as such expenses are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w:t>
      </w:r>
    </w:p>
    <w:p>
      <w:pPr>
        <w:spacing w:after="0" w:line="3" w:lineRule="exact"/>
        <w:rPr>
          <w:sz w:val="20"/>
          <w:szCs w:val="20"/>
          <w:color w:val="auto"/>
        </w:rPr>
      </w:pPr>
    </w:p>
    <w:p>
      <w:pPr>
        <w:jc w:val="both"/>
        <w:ind w:firstLine="8"/>
        <w:spacing w:after="0" w:line="251" w:lineRule="auto"/>
        <w:tabs>
          <w:tab w:leader="none" w:pos="27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provided, however, that such counsel shall be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an admission of fault.</w:t>
      </w:r>
    </w:p>
    <w:p>
      <w:pPr>
        <w:spacing w:after="0" w:line="19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(d)            If the indemnification provided for in this Section 7 is unavailable to hold harmless an indemnified party under subsection (a) or (b) above in respect of any losses, claims, damages or liabilities (or actions in respect thereof) referred to therein, then each indemnifying party (with respect to subsection (b), severally but not jointly) shall contribute to the amount paid or payable by such indemnified party as a result of such losses, claims, damages or liabilities (or actions in respect thereof) in such proportion as is appropriate to reflect the relative benefits received by the Company on the one hand and an Agent on the other from the offering of the Shares to which such loss, claim, damage or liability (or action in respect thereof) relates.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such Agent on the other in connection with the statements or omissions which resulted in such losses, claims, damages or liabilities (or actions in respect thereof), as well as any other relevant equitable considerations. The relative benefits received by the Company on the one hand and such Agent on the other shall be deemed to be in the same proportion as the total net proceeds from the offering (before deducting expenses) received by the Company bear to the total commissions received by such Agent. The relative fault shall be determined by reference to, among other things, whether the untrue or alleged untrue statement of a material fact or the omission or alleged omission to state a material fact relates to information supplied by the Company on the one hand or such Agent on the other and the parties’ relative intent, knowledge, access to information and opportunity to correct or prevent such statement or omission. The Company and the Agents agree that it would not be just and equitable if contribution pursuant to this subsection (d) were determined by pro rata allocation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an Agent shall not be required to contribute any amount in excess of the amount by which the total compensation received by such Agent with respect to sales of the Shares sold by it to the public exceeds the amount of any damages which such Agent has otherwise been required to pay by reason of such untrue or alleged untrue statement or omission or alleged omission. No person guilty of fraudulent misrepresentation (within the meaning of Section 11(f) of the 1933 Act) shall be entitled to contribution from any person who was not guilty of such fraudulent misrepresentation.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The obligations of the Company under this Section 7 shall be in addition to any liability which the Company may otherwise have and shall extend, upon the same terms and conditions, to the directors, officers, employees, attorneys and agents of each Agent and to each person, if any, who controls each Agent within the meaning of the 1933 Act and each broker dealer affiliate of each Agent; and the obligations of the Agents under this Section 7 shall be in addition to any liability which the Agents may otherwise have and shall extend, upon the same terms and conditions, to each director, officer, employee, attorney and agent of the Company and to each person, if any, who controls the Company within the meaning of the 1933 Act.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Representations, Warranties and Agreements to Survive Delivery</w:t>
      </w:r>
      <w:r>
        <w:rPr>
          <w:rFonts w:ascii="Times New Roman" w:cs="Times New Roman" w:eastAsia="Times New Roman" w:hAnsi="Times New Roman"/>
          <w:sz w:val="18"/>
          <w:szCs w:val="18"/>
          <w:color w:val="auto"/>
        </w:rPr>
        <w:t>. The respective indemnities, agreements, representations, warranties and other statements of the Company and the Agents, as set forth in this Agreement or made by or on behalf of them, respectively, pursuant to this Agreement, shall remain in full force and effect, regardless of any investigation (or any statement as to the results thereof) made by or on behalf of the Agents or any controlling person of the Agents, or the Company, or any officer or director or controlling person of the Company, and shall survive delivery of and payment for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 Advisory or Fiduciary Relationship</w:t>
      </w:r>
      <w:r>
        <w:rPr>
          <w:rFonts w:ascii="Times New Roman" w:cs="Times New Roman" w:eastAsia="Times New Roman" w:hAnsi="Times New Roman"/>
          <w:sz w:val="18"/>
          <w:szCs w:val="18"/>
          <w:color w:val="auto"/>
        </w:rPr>
        <w:t>. The Company acknowledges and agrees that (i) each Agent is acting solely in the capacity of an arm’s-length contractual counterparty to the Company with respect to the offering of Shares contemplated hereby (including in connection with determining the terms of such offering), (ii) the Agents have not assumed an advisory or fiduciary responsibility in favor of the Company with respect to the offering contemplated hereby or the process leading thereto (irrespective of whether the Agents have advised or are currently advising the Company on other matters) or any other obligation to the Company except the obligations expressly set forth in this Agreement, and (iii) the Company has consulted its own legal and financial advisors to the extent it deemed appropriate. The Company agrees that it will not claim that either Agent has rendered advisory services of any nature or respect, or owe a fiduciary or similar duty to the Company, in connection with such transaction or the process leading thereto.</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The Company shall have the right, by giving written notice as hereinafter specified, to terminate this Agreement in its sole discretion at any time. Any such termination shall be without liability of any party to any other party, except that (i) with respect to any pending sale through an Agent for the Company, the obligations of the Company, including in respect of compensation of such Agent, shall remain in full force and effect notwithstanding such termination; and (ii) the provisions of Section 1, Section 5, Section 7, Section 8, Section 14 and Section 15 of this Agreement shall remain in full force and effect notwithstanding such termination.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Each Agent shall have the right, by giving written notice as hereinafter specified, to terminate this Agreement in its sole discretion at any time with respect to itself. Any such termination shall be without liability of any party to any other party except that the provisions of Section 1, Section 5, Section 7, Section 8, Section 14 and Section 15 of this Agreement shall remain in full force and effect notwithstanding such termination.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Unless earlier terminated pursuant to this Section 10, this Agreement shall automatically terminate upon the issuance and sale of all of the Shares by the Agents on the terms and subject to the conditions set forth herein except any termination pursuant to this clause (c) shall in all cases be deemed to provide that Section 1, Section 5, Section 7, Section 8, Section 14 and Section 15 of this Agreement shall remain in full force and effect.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This Agreement shall remain in full force and effect until and unless terminated pursuant to Section 10(a), (b) or (c) above or otherwise by mutual agreement of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termination by mutual agreement or pursuant to this clause (d) shall in all cases be deemed to provide that Section 1, Section 5, Section 7, Section 8, Section 14 and Section 15 of this Agreement shall remain in full force and effect.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Any termination of this Agreement shall be effective on the date specified in such notice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termination shall not be effective until the close of business on the date of receipt of such notice by the Agents or the Company, as the case may be. If such termination shall occur prior to the Settlement Date for any sale of Shares, such sale shall settle in accordance with the provisions of Section 2(h)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             In the case of any purchase by an Agent pursuant to a Terms Agreement, such Agent may terminate this Agreement, at any time at or prior to the Settlement Date (i) if there has been, since the Commencement Time or since the respective dates as of which information is given in the General Disclosure Package or the Prospectus, any Material Adverse Effect,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such Agent, impracticable or inadvisable to market the Shares or to enforce contracts for the sale of Shares, or (iii) if trading in any securities of the Company has been suspended or materially limited by the Commission or the Nasdaq, or if trading generally on the Nasdaq has been suspended or materially limited, or minimum or maximum prices for trading have been fixed, or maximum ranges for prices have been required, by any of said exchanges or by such system or by order of the Commission, FINRA or any other governmental authority, or (iv) a material disruption has occurred in commercial banking or securities settlement or clearance services in the United States, or (v) if a banking moratorium has been declared by either Federal, Canadian or New York authorities.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statements, requests, notices and agreements hereunder shall be in writing, and if to the Agents shall be delivered or sent by mail, email or facsimile transmission 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ind w:left="1300"/>
        <w:spacing w:after="0" w:line="205" w:lineRule="auto"/>
        <w:rPr>
          <w:sz w:val="20"/>
          <w:szCs w:val="20"/>
          <w:color w:val="auto"/>
        </w:rPr>
      </w:pPr>
      <w:r>
        <w:rPr>
          <w:rFonts w:ascii="Times New Roman" w:cs="Times New Roman" w:eastAsia="Times New Roman" w:hAnsi="Times New Roman"/>
          <w:sz w:val="18"/>
          <w:szCs w:val="18"/>
          <w:color w:val="auto"/>
        </w:rPr>
        <w:t>One South Street,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Baltimore, Maryland 21202</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Syndicate Department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Wedbush Securities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600 Montgomery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29th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Equity Capital Markets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New York Times Building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Thomas S. Levato</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if to the Company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595 Howe Street, 10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Vancouver, British Columbia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V6C 2T5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130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Boston, Massachusetts 02111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Daniel T. Kajunski</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such statements, requests, notices or agreements shall take effect upon receipt thereof. Notwithstanding anything to the contrary herein, any instruction to sell Shares pursuant to this Agreement shall be made by an Authorized Representative to the authorized individuals with respect to a particular Agent set forth on Schedule 1, as such Schedule 1 may be amended from time to time, in the manner described in Section 2(a)(i) hereof.</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This Agreement shall be binding upon, and inure solely to the benefit of, the Agents and the Company and, to the extent provided in Sections 7 and 8 hereof, the officers, directors, employees, attorneys and agents of the Company and the Agents and each person who controls the Company or the Agents, and their respective heirs, executors, administrators, successors and assigns, and no other person shall acquire or have any right under or by virtue of this Agreement. No purchaser of Shares through the Agents shall be deemed a successor or assign by reason merely of such purchase.</w:t>
      </w: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Time of the Essence</w:t>
      </w:r>
      <w:r>
        <w:rPr>
          <w:rFonts w:ascii="Times New Roman" w:cs="Times New Roman" w:eastAsia="Times New Roman" w:hAnsi="Times New Roman"/>
          <w:sz w:val="18"/>
          <w:szCs w:val="18"/>
          <w:color w:val="auto"/>
        </w:rPr>
        <w:t>. Time shall be of the essence of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Company and the Agents hereby irrevocably waive, to the fullest extent permitted by applicable law, any and all right to jury trial by jury in any legal proceeding arising out of or relating to this Agreement or the transactions contemplated hereby.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THIS AGREEMENT AND EACH TERMS AGREEMENT, AND ANY DISPUTE, CLAIM OR CONTROVERSY ARISING UNDER OR RELATED TO THIS AGREEMENT OR SUCH TERMS AGREEMENT, SHALL BE GOVERNED BY AND CONSTRUED IN ACCORDANCE WITH THE LAWS OF THE STATE OF NEW YORK APPLICABLE TO AGREEMENTS MADE AND TO BE PERFORMED ENTIRELY WITHIN SUCH STATE. Each party hereto hereby irrevocably submits for purposes of any action arising from this Agreement or any Terms Agreement brought by the other party hereto to the jurisdiction of the courts of New York State located in the Borough of Manhattan and the U.S. District Court for the Southern District of New York.</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By the execution and delivery of this Agreement, the Company (i) acknowledges that it has, by separate written instrument, irrevocably designated and appointed Cogency Global Inc., with an address of 122 East 42nd Street, 18th Floor, New York, NY 10168, (or any successor) (together with any successor, the “</w:t>
      </w:r>
      <w:r>
        <w:rPr>
          <w:rFonts w:ascii="Times New Roman" w:cs="Times New Roman" w:eastAsia="Times New Roman" w:hAnsi="Times New Roman"/>
          <w:sz w:val="18"/>
          <w:szCs w:val="18"/>
          <w:u w:val="single" w:color="auto"/>
          <w:color w:val="auto"/>
        </w:rPr>
        <w:t>Agent for Service</w:t>
      </w:r>
      <w:r>
        <w:rPr>
          <w:rFonts w:ascii="Times New Roman" w:cs="Times New Roman" w:eastAsia="Times New Roman" w:hAnsi="Times New Roman"/>
          <w:sz w:val="18"/>
          <w:szCs w:val="18"/>
          <w:color w:val="auto"/>
        </w:rPr>
        <w:t>”), as its authorized agent upon which process may be served in any suit or proceeding arising out of or relating to this Agreement or the Shares, that may be instituted in any federal or state court in the State of New York, or brought under U.S. securities laws, and acknowledges that the Agent for Service has accepted such designation, and (ii) agrees that service of process upon the Agent for Service (or any successor) and written notice of said service to the Company shall be deemed in every respect effective service of process upon the Company in any such suit or proceeding. The Company further agrees to take any and all action, including the execution and filing of any and all such documents and instruments, as may be necessary to continue such designation and appointment of the Agent for Service in full force and effect so long as any of the Shares shall be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The Company irrevocably (i) agrees that any legal suit, action or proceeding against the Company brought by the Agents or by any person who controls an Agent arising out of or based upon this Agreement or the transactions contemplated thereby may be instituted in the courts of New York State located in the Borough of Manhattan and the U.S. District Court for the Southern District of New York, (ii) waives, to the fullest extent it may effectively do so, any objection which it may now or hereafter have to the laying of venue of any such proceeding and (iii) submits to the exclusive jurisdiction of such courts in any such suit, action or proceeding. To the extent that the Company has or hereafter may acquire any immunity from jurisdiction of any court or from any legal process (whether through service of notice, attachment prior to judgment, attachment in aid of execution, execution or otherwise) with respect to itself or its property, it hereby irrevocably waives such immunity in respect of its obligations under the above-referenced documents, to the extent permitted by law. The provisions of this Section 15(c) shall survive any termination of this Agreement, in whole or in part.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any Terms Agreement may be signed in two or more counterparts, each of which shall be an original, with the same effect as if the signatures thereto and hereto were upon the same instrument. Facsimile copies or “pdf” or similar electronic data format copies of signatures shall constitute original signatures for all purposes of this Agreement and any enforcement hereof. The words “execution,” “signed,” “signature,” “delivery,” and words of like import in or relating to this Agreement, any Terms Agreement and any certificate, agreement or other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without limitation, the Federal Electronic Signatures in Global and National Commerce Act, the New York State Electronic Signatures and Records Act, or any other similar state laws based on the Uniform Electronic Transactions Act. For the purpose of this Section 16,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any electronic symbol or process (including, without limitation, DocuSign and AdobeSign) attached to, or associated with, a contract or other record and adopted by a person with the intent to sign, authenticate or accept such contract or record.</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terms that follow, when used in this Agreement and any Terms Agreement, shall have the meanings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shall mean the Securities Act of 1933 and the rules and regulations of the Commission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shall mean the Securities Exchange Act of 1934 and the rules and regulations of the Commission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shall mean, with respect to any offered Shares, the time of sale of such Shares pursuant to this Agreement or any relevant Terms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shall mean the base prospectus referred to in Section 2(a) above contained in the Registration Statement at the date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a Sunday or a legal holiday or a day on which banking institutions or trust companies are authorized or obligated by law to close in New York City.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Commencement Time</w:t>
      </w:r>
      <w:r>
        <w:rPr>
          <w:rFonts w:ascii="Times New Roman" w:cs="Times New Roman" w:eastAsia="Times New Roman" w:hAnsi="Times New Roman"/>
          <w:sz w:val="18"/>
          <w:szCs w:val="18"/>
          <w:color w:val="auto"/>
        </w:rPr>
        <w:t>” shall mean the date that the Company elects by notice to the Agents to have the Agents first commence offerings of the Shares pursuant to this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each date and time that the Registration Statement and any post-effective amendment or amendments thereto became or becomes effective.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shall mean a free writing prospectus, as defined in Rule 405.</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Disclosure Package</w:t>
      </w:r>
      <w:r>
        <w:rPr>
          <w:rFonts w:ascii="Times New Roman" w:cs="Times New Roman" w:eastAsia="Times New Roman" w:hAnsi="Times New Roman"/>
          <w:sz w:val="18"/>
          <w:szCs w:val="18"/>
          <w:color w:val="auto"/>
        </w:rPr>
        <w:t>” shall mean (i) the Base Prospectus, (ii) the Prospectus Supplement, (iii) the public offering price of Shares sold at the relevant Applicable Time and (iv) any other Free Writing Prospectus that the parties hereto shall hereafter expressly agree in writing to treat as part of the General Disclosure Package.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shall mean an issuer free writing prospectus, as defined in Rule 433.</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the Base Prospectus, as supplemented by the Prospectus Supplement.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shall mean the most recent prospectus supplement relating to the Shares that was first filed pursuant to Rule 424(b) at or prior to the Commencement Time.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the registration statement referred to in Section 2(a) above, including exhibits and financial statements and any prospectus supplement relating to the Shares that is filed with the Commission pursuant to Rule 424(b) and deemed part of such registration statement pursuant to Rule 430B, as amended on each Effective Date and, in the event any post-effective amendment thereto becomes effective, shall also mean such registration statement as so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262890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1" w:name="page42"/>
    <w:bookmarkEnd w:id="4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Technical Reports</w:t>
      </w:r>
      <w:r>
        <w:rPr>
          <w:rFonts w:ascii="Times New Roman" w:cs="Times New Roman" w:eastAsia="Times New Roman" w:hAnsi="Times New Roman"/>
          <w:sz w:val="18"/>
          <w:szCs w:val="18"/>
          <w:color w:val="auto"/>
        </w:rPr>
        <w:t>” shall mean the following technical reports: (i) “Technical Report Summary--Initial Assessment of the NORI Property, Clarion-Clipperton Zone, for Deep Green Metals Inc.” of AMC Consultants Pty Ltd, Canadian Engineering Associates Ltd., Deep Reach Technology Inc., Margin — Marine Geoscience Innovation and John Michael Parianos with an effective date of March 17, 2021 filed as Exhibit 96.1 to the Registration Statement; and (ii) “Technical Report Summary--Initial Assessment of the TOML Mineral Resource, Clarion-Clipperton Zone, Pacific Ocean, for Deep Green Metals Inc.” of AMC Consultants Pty Ltd, Canadian Engineering Associates Ltd and Deep Reach Technology Inc. with an effective date of March 26, 2021 filed as Exhibit 96.2 to the Registration Statement.</w:t>
      </w:r>
    </w:p>
    <w:p>
      <w:pPr>
        <w:spacing w:after="0" w:line="18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292735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2" w:name="page43"/>
    <w:bookmarkEnd w:id="4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the Company a counterpart hereof, whereupon this instrument, along with all counterparts, will become a binding agreement between the Agents and the Company in accordance with its terms.</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Craig Shesky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STIFEL, NICOLAUS &amp; COMPANY, INCORPORATED</w:t>
      </w:r>
    </w:p>
    <w:p>
      <w:pPr>
        <w:spacing w:after="0" w:line="200" w:lineRule="exact"/>
        <w:rPr>
          <w:sz w:val="20"/>
          <w:szCs w:val="20"/>
          <w:color w:val="auto"/>
        </w:rPr>
      </w:pPr>
    </w:p>
    <w:p>
      <w:pPr>
        <w:spacing w:after="0" w:line="24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Justin P.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Justin P. Bowman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WEDBUSH SECURITIES INC.</w:t>
      </w:r>
    </w:p>
    <w:p>
      <w:pPr>
        <w:spacing w:after="0" w:line="200" w:lineRule="exact"/>
        <w:rPr>
          <w:sz w:val="20"/>
          <w:szCs w:val="20"/>
          <w:color w:val="auto"/>
        </w:rPr>
      </w:pPr>
    </w:p>
    <w:p>
      <w:pPr>
        <w:spacing w:after="0" w:line="24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Burke Dempsey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Burke Dempsey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EVP Head of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Parties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Stifel Nicolaus:</w:t>
            </w:r>
          </w:p>
        </w:tc>
        <w:tc>
          <w:tcPr>
            <w:tcW w:w="9260" w:type="dxa"/>
            <w:vAlign w:val="bottom"/>
          </w:tcPr>
          <w:p>
            <w:pPr>
              <w:spacing w:after="0"/>
              <w:rPr>
                <w:sz w:val="17"/>
                <w:szCs w:val="17"/>
                <w:color w:val="auto"/>
              </w:rPr>
            </w:pPr>
          </w:p>
        </w:tc>
      </w:tr>
      <w:tr>
        <w:trPr>
          <w:trHeight w:val="466"/>
        </w:trPr>
        <w:tc>
          <w:tcPr>
            <w:tcW w:w="1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4"/>
              </w:rPr>
              <w:t>Dan Covatta      </w:t>
            </w:r>
          </w:p>
        </w:tc>
        <w:tc>
          <w:tcPr>
            <w:tcW w:w="900" w:type="dxa"/>
            <w:vAlign w:val="bottom"/>
          </w:tcPr>
          <w:p>
            <w:pPr>
              <w:spacing w:after="0"/>
              <w:rPr>
                <w:sz w:val="24"/>
                <w:szCs w:val="24"/>
                <w:color w:val="auto"/>
              </w:rPr>
            </w:pPr>
          </w:p>
        </w:tc>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dcovatta@stifel.com</w:t>
            </w:r>
          </w:p>
        </w:tc>
      </w:tr>
      <w:tr>
        <w:trPr>
          <w:trHeight w:val="432"/>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Shaduk</w:t>
            </w:r>
          </w:p>
        </w:tc>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jashaduk@stifel.com</w:t>
            </w:r>
          </w:p>
        </w:tc>
      </w:tr>
      <w:tr>
        <w:trPr>
          <w:trHeight w:val="432"/>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Suzanne Hill</w:t>
            </w:r>
          </w:p>
        </w:tc>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sahill@stifel.com</w:t>
            </w:r>
          </w:p>
        </w:tc>
      </w:tr>
      <w:tr>
        <w:trPr>
          <w:trHeight w:val="392"/>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Wedbush:</w:t>
            </w:r>
          </w:p>
        </w:tc>
        <w:tc>
          <w:tcPr>
            <w:tcW w:w="9260" w:type="dxa"/>
            <w:vAlign w:val="bottom"/>
          </w:tcPr>
          <w:p>
            <w:pPr>
              <w:spacing w:after="0"/>
              <w:rPr>
                <w:sz w:val="24"/>
                <w:szCs w:val="24"/>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466"/>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Capital Markets</w:t>
            </w:r>
          </w:p>
        </w:tc>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ECM@wedbush.com</w:t>
            </w:r>
          </w:p>
        </w:tc>
      </w:tr>
      <w:tr>
        <w:trPr>
          <w:trHeight w:val="432"/>
        </w:trPr>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Annex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Shares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(without par value)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205" w:lineRule="auto"/>
        <w:rPr>
          <w:sz w:val="20"/>
          <w:szCs w:val="20"/>
          <w:color w:val="auto"/>
        </w:rPr>
      </w:pPr>
      <w:r>
        <w:rPr>
          <w:rFonts w:ascii="Times New Roman" w:cs="Times New Roman" w:eastAsia="Times New Roman" w:hAnsi="Times New Roman"/>
          <w:sz w:val="18"/>
          <w:szCs w:val="18"/>
          <w:color w:val="auto"/>
        </w:rPr>
        <w:t>One South Street,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 21202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WEDBUSH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Montgomery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TMC the metals company Inc., a company organized under the laws of the Province of British Columbia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subject to the terms and conditions stated herein and in the At-The-Market Equity Distribution Agreement, dated December 22, 2022 (the “</w:t>
      </w:r>
      <w:r>
        <w:rPr>
          <w:rFonts w:ascii="Times New Roman" w:cs="Times New Roman" w:eastAsia="Times New Roman" w:hAnsi="Times New Roman"/>
          <w:sz w:val="18"/>
          <w:szCs w:val="18"/>
          <w:u w:val="single" w:color="auto"/>
          <w:color w:val="auto"/>
        </w:rPr>
        <w:t>Distribution Agreement</w:t>
      </w:r>
      <w:r>
        <w:rPr>
          <w:rFonts w:ascii="Times New Roman" w:cs="Times New Roman" w:eastAsia="Times New Roman" w:hAnsi="Times New Roman"/>
          <w:sz w:val="18"/>
          <w:szCs w:val="18"/>
          <w:color w:val="auto"/>
        </w:rPr>
        <w:t>”), among the Company, Stifel, Nicolaus &amp; Company, Incorporated and Wedbush Securities Inc., to issue and sell to [Stifel, Nicolaus &amp; Company, Incorporated] [Wedbush Securities Inc.]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the securities specified in the Schedule hereto (the “</w:t>
      </w:r>
      <w:r>
        <w:rPr>
          <w:rFonts w:ascii="Times New Roman" w:cs="Times New Roman" w:eastAsia="Times New Roman" w:hAnsi="Times New Roman"/>
          <w:sz w:val="18"/>
          <w:szCs w:val="18"/>
          <w:u w:val="single" w:color="auto"/>
          <w:color w:val="auto"/>
        </w:rPr>
        <w:t>Purchased Securities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of the provisions of the Distribution Agreement not specifically related to the solicitation by the Agent, as agent of the Company,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the Applicable Time, except that each representation and warranty in Section 1 of the Distribution Agreement which makes reference to the Prospectus (as therein defined) shall be deemed to be a representation and warranty as of the date of the Distribution Agreement in relation to the Prospectus, and also a representation and warranty as of the date of this Terms Agreement and the Settlement Date in relation to the Prospectus as amended and supplemented to relate to the Purchased Securities.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amendment to the Registration Statement (as defined in the Distribution Agreement), or a supplement to the Prospectus, as the case may be, relating to the Purchased Securities, in the form heretofore delivered to the Agent is now proposed to be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herein and in the Distribution Agreement which are incorporated herein by reference, the Company agrees to issue and sell to the Agent and the latter agrees to purchase from the Company the number of shares of the Purchased Securities at the time and place and at the purchase price set forth in the Schedule hereto.</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the Company a counterpart hereof, whereupon this instrument, along with all counterparts, will become a binding agreement between the Agent and the Company in accordance with its terms.</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STIFEL, NICOLAUS &amp; COMPANY, INCORPORATED WEDBUSH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INC.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registrant is filing this Exhibit 99.1 for the purpose of incorporating the information set forth herein by reference into the registration statement on Form S-3 (File No. 333-267479) that was filed by the registrant with the Securities and Exchange Commission (the “SEC”) on September 16, 2022, as amended, and declared effective by the SEC on October 14, 2022.</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costs and expenses, other than sales commissions to the Agents, payable by the registrant in connection with the sale of the securities being registered: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640" w:type="dxa"/>
            <w:vAlign w:val="bottom"/>
            <w:gridSpan w:val="2"/>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2,781</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15,500</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200,000</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Accountants’ fees and expenses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1400" w:type="dxa"/>
            <w:vAlign w:val="bottom"/>
          </w:tcPr>
          <w:p>
            <w:pPr>
              <w:spacing w:after="0"/>
              <w:rPr>
                <w:sz w:val="18"/>
                <w:szCs w:val="18"/>
                <w:color w:val="auto"/>
              </w:rPr>
            </w:pPr>
          </w:p>
        </w:tc>
      </w:tr>
      <w:tr>
        <w:trPr>
          <w:trHeight w:val="229"/>
        </w:trPr>
        <w:tc>
          <w:tcPr>
            <w:tcW w:w="1420" w:type="dxa"/>
            <w:vAlign w:val="bottom"/>
          </w:tcPr>
          <w:p>
            <w:pPr>
              <w:spacing w:after="0"/>
              <w:rPr>
                <w:sz w:val="19"/>
                <w:szCs w:val="19"/>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6,719</w:t>
            </w:r>
          </w:p>
        </w:tc>
        <w:tc>
          <w:tcPr>
            <w:tcW w:w="1400" w:type="dxa"/>
            <w:vAlign w:val="bottom"/>
          </w:tcPr>
          <w:p>
            <w:pPr>
              <w:spacing w:after="0"/>
              <w:rPr>
                <w:sz w:val="19"/>
                <w:szCs w:val="19"/>
                <w:color w:val="auto"/>
              </w:rPr>
            </w:pPr>
          </w:p>
        </w:tc>
      </w:tr>
      <w:tr>
        <w:trPr>
          <w:trHeight w:val="210"/>
        </w:trPr>
        <w:tc>
          <w:tcPr>
            <w:tcW w:w="14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tcBorders>
              <w:bottom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r>
        <w:trPr>
          <w:trHeight w:val="425"/>
        </w:trPr>
        <w:tc>
          <w:tcPr>
            <w:tcW w:w="14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lowerLetter"/>
      <w:start w:val="4"/>
    </w:lvl>
  </w:abstractNum>
  <w:abstractNum w:abstractNumId="2">
    <w:nsid w:val="1F16E9E8"/>
    <w:multiLevelType w:val="hybridMultilevel"/>
    <w:lvl w:ilvl="0">
      <w:lvlJc w:val="left"/>
      <w:lvlText w:val="%1."/>
      <w:numFmt w:val="upperLetter"/>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3"/>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upperLetter"/>
      <w:start w:val="2"/>
    </w:lvl>
  </w:abstractNum>
  <w:abstractNum w:abstractNumId="7">
    <w:nsid w:val="109CF92E"/>
    <w:multiLevelType w:val="hybridMultilevel"/>
    <w:lvl w:ilvl="0">
      <w:lvlJc w:val="left"/>
      <w:lvlText w:val="%1."/>
      <w:numFmt w:val="upperLetter"/>
      <w:start w:val="3"/>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2"/>
    </w:lvl>
  </w:abstractNum>
  <w:abstractNum w:abstractNumId="10">
    <w:nsid w:val="1BEFD79F"/>
    <w:multiLevelType w:val="hybridMultilevel"/>
    <w:lvl w:ilvl="0">
      <w:lvlJc w:val="left"/>
      <w:lvlText w:val="%1."/>
      <w:numFmt w:val="upperLetter"/>
      <w:start w:val="4"/>
    </w:lvl>
  </w:abstractNum>
  <w:abstractNum w:abstractNumId="11">
    <w:nsid w:val="41A7C4C9"/>
    <w:multiLevelType w:val="hybridMultilevel"/>
    <w:lvl w:ilvl="0">
      <w:lvlJc w:val="left"/>
      <w:lvlText w:val="%1."/>
      <w:numFmt w:val="upperLetter"/>
      <w:start w:val="5"/>
    </w:lvl>
  </w:abstractNum>
  <w:abstractNum w:abstractNumId="12">
    <w:nsid w:val="6B68079A"/>
    <w:multiLevelType w:val="hybridMultilevel"/>
    <w:lvl w:ilvl="0">
      <w:lvlJc w:val="left"/>
      <w:lvlText w:val="%1."/>
      <w:numFmt w:val="upperLetter"/>
      <w:start w:val="6"/>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upperLetter"/>
      <w:start w:val="1"/>
    </w:lvl>
  </w:abstractNum>
  <w:abstractNum w:abstractNumId="15">
    <w:nsid w:val="519B500D"/>
    <w:multiLevelType w:val="hybridMultilevel"/>
    <w:lvl w:ilvl="0">
      <w:lvlJc w:val="left"/>
      <w:lvlText w:val="(%1)"/>
      <w:numFmt w:val="upperLetter"/>
      <w:start w:val="1"/>
    </w:lvl>
  </w:abstractNum>
  <w:abstractNum w:abstractNumId="16">
    <w:nsid w:val="431BD7B7"/>
    <w:multiLevelType w:val="hybridMultilevel"/>
    <w:lvl w:ilvl="0">
      <w:lvlJc w:val="left"/>
      <w:lvlText w:val="(%1)"/>
      <w:numFmt w:val="lowerRoman"/>
      <w:start w:val="3"/>
    </w:lvl>
  </w:abstractNum>
  <w:abstractNum w:abstractNumId="17">
    <w:nsid w:val="3F2DBA31"/>
    <w:multiLevelType w:val="hybridMultilevel"/>
    <w:lvl w:ilvl="0">
      <w:lvlJc w:val="left"/>
      <w:lvlText w:val="(%1)"/>
      <w:numFmt w:val="lowerRoman"/>
      <w:start w:val="2"/>
    </w:lvl>
  </w:abstractNum>
  <w:abstractNum w:abstractNumId="18">
    <w:nsid w:val="7C83E45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2022-12-22T16:32:28Z</dcterms:created>
  <dcterms:modified xsi:type="dcterms:W3CDTF">2022-12-22T16:32:28Z</dcterms:modified>
</cp:coreProperties>
</file>