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776605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6605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1540"/>
        <w:spacing w:after="0"/>
        <w:rPr>
          <w:sz w:val="20"/>
          <w:szCs w:val="20"/>
          <w:color w:val="auto"/>
        </w:rPr>
      </w:pPr>
      <w:r>
        <w:rPr>
          <w:rFonts w:ascii="Arial" w:cs="Arial" w:eastAsia="Arial" w:hAnsi="Arial"/>
          <w:sz w:val="48"/>
          <w:szCs w:val="48"/>
          <w:color w:val="auto"/>
        </w:rPr>
        <w:t xml:space="preserve">annual report </w:t>
      </w:r>
      <w:r>
        <w:rPr>
          <w:rFonts w:ascii="Arial" w:cs="Arial" w:eastAsia="Arial" w:hAnsi="Arial"/>
          <w:sz w:val="59"/>
          <w:szCs w:val="59"/>
          <w:color w:val="F3D304"/>
        </w:rPr>
        <w:t>|</w:t>
      </w:r>
      <w:r>
        <w:rPr>
          <w:rFonts w:ascii="Arial" w:cs="Arial" w:eastAsia="Arial" w:hAnsi="Arial"/>
          <w:sz w:val="48"/>
          <w:szCs w:val="48"/>
          <w:color w:val="auto"/>
        </w:rPr>
        <w:t xml:space="preserve"> 2022</w:t>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1009015</wp:posOffset>
            </wp:positionH>
            <wp:positionV relativeFrom="page">
              <wp:posOffset>0</wp:posOffset>
            </wp:positionV>
            <wp:extent cx="158242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2420" cy="10058400"/>
                    </a:xfrm>
                    <a:prstGeom prst="rect">
                      <a:avLst/>
                    </a:prstGeom>
                    <a:noFill/>
                  </pic:spPr>
                </pic:pic>
              </a:graphicData>
            </a:graphic>
          </wp:anchor>
        </w:drawing>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365760</wp:posOffset>
                </wp:positionH>
                <wp:positionV relativeFrom="paragraph">
                  <wp:posOffset>16510</wp:posOffset>
                </wp:positionV>
                <wp:extent cx="7524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12700">
                          <a:solidFill>
                            <a:srgbClr val="F3D304"/>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pt,1.3pt" to="88.05pt,1.3pt" o:allowincell="f" strokecolor="#F3D304" strokeweight="1pt"/>
            </w:pict>
          </mc:Fallback>
        </mc:AlternateContent>
      </w:r>
    </w:p>
    <w:p>
      <w:pPr>
        <w:spacing w:after="0" w:line="3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Chairman &amp; CEO</w:t>
      </w:r>
    </w:p>
    <w:p>
      <w:pPr>
        <w:spacing w:after="0" w:line="20" w:lineRule="exact"/>
        <w:rPr>
          <w:sz w:val="20"/>
          <w:szCs w:val="20"/>
          <w:color w:val="auto"/>
        </w:rPr>
      </w:pPr>
      <w:r>
        <w:rPr>
          <w:sz w:val="20"/>
          <w:szCs w:val="20"/>
          <w:color w:val="auto"/>
        </w:rPr>
        <w:br w:type="column"/>
      </w:r>
    </w:p>
    <w:p>
      <w:pPr>
        <w:ind w:left="3680"/>
        <w:spacing w:after="0"/>
        <w:tabs>
          <w:tab w:leader="none" w:pos="5380" w:val="left"/>
        </w:tabs>
        <w:rPr>
          <w:sz w:val="20"/>
          <w:szCs w:val="20"/>
          <w:color w:val="auto"/>
        </w:rPr>
      </w:pPr>
      <w:r>
        <w:rPr>
          <w:rFonts w:ascii="Arial" w:cs="Arial" w:eastAsia="Arial" w:hAnsi="Arial"/>
          <w:sz w:val="16"/>
          <w:szCs w:val="16"/>
          <w:color w:val="A29E9D"/>
        </w:rPr>
        <w:t>TMC Annual Report</w:t>
      </w:r>
      <w:r>
        <w:rPr>
          <w:sz w:val="20"/>
          <w:szCs w:val="20"/>
          <w:color w:val="auto"/>
        </w:rPr>
        <w:tab/>
      </w: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-584200</wp:posOffset>
            </wp:positionV>
            <wp:extent cx="508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508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3D304"/>
        </w:rPr>
        <w:t>2022 Annual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218"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From the successful completion of NORI’s pilot system trials and environmental impact monitoring program to the launch of our first Impact Report, last year was monumental in progressing both our industry and our NORI-D Nodule Project. We wrapped up 2022 with over 3,000 tonnes of nodules aboard the Hidden Gem, having spent most of 2022 at sea, where TMC, NORI and Allseas delivered the first integrated collection and lift of nodules in the CCZ since the 1970s, while our science partners were monitoring the impacts of the operation and gathering the critical data needed for informed decision-making.</w:t>
      </w:r>
    </w:p>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the last three years, we have arguably made a decade-worth of progress. This was possible because we have chosen to partner with some of the world’s best organizations. Last month we welcomed two new partners who share our belief in the potential of the nodule resource to transform the energy transition metals industry and whose deep expertise will be instrumental in processing and permitting. PAMCO brings decades of experience smelting nickel laterites at their existing facilities in Japan (now considered a free trade agreement country for the purpose of U.S. IRA legislation) that could be used to process nodules from the NORI-D Project to exacting environmental standards and without additional capital investment. Bechtel, one of the world's most respected engineering, construction, and project management companies, is now on board to help compile the techno-economic studies that will underpin NORI’s exploitation application to the ISA.</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expect NORI's exploitation application to the ISA to be the world's first application of its kind. Delivering a high-quality application involves working closely with dozens of parties and interpreting over 200 terabytes of data we gathered over 17 offshore resource definition and environmental baseline campaigns. It's our main focus in 2023.</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Finally, I would like to thank our dedicated partners and team members for their extraordinary efforts in helping us advance this important mission.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1203325" cy="37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1203325" cy="37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16510</wp:posOffset>
                </wp:positionV>
                <wp:extent cx="75184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1840" cy="4763"/>
                        </a:xfrm>
                        <a:prstGeom prst="line">
                          <a:avLst/>
                        </a:prstGeom>
                        <a:solidFill>
                          <a:srgbClr val="FFFFFF"/>
                        </a:solidFill>
                        <a:ln w="12700">
                          <a:solidFill>
                            <a:srgbClr val="F3D304"/>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3pt" to="58.9pt,1.3pt" o:allowincell="f" strokecolor="#F3D304" strokeweight="1pt"/>
            </w:pict>
          </mc:Fallback>
        </mc:AlternateConten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20, 2023</w:t>
      </w:r>
    </w:p>
    <w:p>
      <w:pPr>
        <w:sectPr>
          <w:pgSz w:w="12240" w:h="15840" w:orient="portrait"/>
          <w:cols w:equalWidth="0" w:num="2">
            <w:col w:w="3880" w:space="720"/>
            <w:col w:w="5500"/>
          </w:cols>
          <w:pgMar w:left="1440" w:top="737" w:right="700" w:bottom="1440" w:gutter="0" w:footer="0" w:header="0"/>
        </w:sectPr>
      </w:pPr>
    </w:p>
    <w:bookmarkStart w:id="2" w:name="page3"/>
    <w:bookmarkEnd w:id="2"/>
    <w:p>
      <w:pPr>
        <w:ind w:left="8280"/>
        <w:spacing w:after="0"/>
        <w:tabs>
          <w:tab w:leader="none" w:pos="9980" w:val="left"/>
        </w:tabs>
        <w:rPr>
          <w:sz w:val="20"/>
          <w:szCs w:val="20"/>
          <w:color w:val="auto"/>
        </w:rPr>
      </w:pPr>
      <w:r>
        <w:rPr>
          <w:rFonts w:ascii="Arial" w:cs="Arial" w:eastAsia="Arial" w:hAnsi="Arial"/>
          <w:sz w:val="16"/>
          <w:szCs w:val="16"/>
          <w:color w:val="A29E9D"/>
        </w:rPr>
        <w:drawing>
          <wp:anchor simplePos="0" relativeHeight="251657728" behindDoc="1" locked="0" layoutInCell="0" allowOverlap="1">
            <wp:simplePos x="0" y="0"/>
            <wp:positionH relativeFrom="page">
              <wp:posOffset>3175</wp:posOffset>
            </wp:positionH>
            <wp:positionV relativeFrom="page">
              <wp:posOffset>0</wp:posOffset>
            </wp:positionV>
            <wp:extent cx="7766050" cy="10058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7766050" cy="10058400"/>
                    </a:xfrm>
                    <a:prstGeom prst="rect">
                      <a:avLst/>
                    </a:prstGeom>
                    <a:noFill/>
                  </pic:spPr>
                </pic:pic>
              </a:graphicData>
            </a:graphic>
          </wp:anchor>
        </w:drawing>
        <w:t>TMC Annual Report</w:t>
      </w:r>
      <w:r>
        <w:rPr>
          <w:sz w:val="20"/>
          <w:szCs w:val="20"/>
          <w:color w:val="auto"/>
        </w:rPr>
        <w:tab/>
      </w:r>
      <w:r>
        <w:rPr>
          <w:rFonts w:ascii="Arial" w:cs="Arial" w:eastAsia="Arial" w:hAnsi="Arial"/>
          <w:sz w:val="16"/>
          <w:szCs w:val="16"/>
          <w:color w:val="auto"/>
        </w:rPr>
        <w:t>3</w:t>
      </w:r>
    </w:p>
    <w:p>
      <w:pPr>
        <w:sectPr>
          <w:pgSz w:w="12240" w:h="15840" w:orient="portrait"/>
          <w:cols w:equalWidth="0" w:num="1">
            <w:col w:w="10100"/>
          </w:cols>
          <w:pgMar w:left="1440" w:top="737" w:right="700" w:bottom="7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40"/>
          <w:szCs w:val="40"/>
          <w:color w:val="F3D304"/>
        </w:rPr>
        <w:t>Company Highlights</w:t>
      </w:r>
    </w:p>
    <w:p>
      <w:pPr>
        <w:spacing w:after="0" w:line="122" w:lineRule="exact"/>
        <w:rPr>
          <w:sz w:val="20"/>
          <w:szCs w:val="20"/>
          <w:color w:val="auto"/>
        </w:rPr>
      </w:pPr>
    </w:p>
    <w:p>
      <w:pPr>
        <w:ind w:left="580" w:right="260"/>
        <w:spacing w:after="0" w:line="306" w:lineRule="auto"/>
        <w:rPr>
          <w:sz w:val="20"/>
          <w:szCs w:val="20"/>
          <w:color w:val="auto"/>
        </w:rPr>
      </w:pPr>
      <w:r>
        <w:rPr>
          <w:rFonts w:ascii="Arial" w:cs="Arial" w:eastAsia="Arial" w:hAnsi="Arial"/>
          <w:sz w:val="18"/>
          <w:szCs w:val="18"/>
          <w:color w:val="auto"/>
        </w:rPr>
        <w:t>TMC Enters into MOU with Leading Nickel Processor PAMCO to Evaluate the Processing of Polymetallic Nodules into Battery Metal Feedstocks</w:t>
      </w:r>
    </w:p>
    <w:p>
      <w:pPr>
        <w:spacing w:after="0" w:line="168" w:lineRule="exact"/>
        <w:rPr>
          <w:sz w:val="20"/>
          <w:szCs w:val="20"/>
          <w:color w:val="auto"/>
        </w:rPr>
      </w:pPr>
    </w:p>
    <w:p>
      <w:pPr>
        <w:ind w:left="580" w:right="160"/>
        <w:spacing w:after="0" w:line="303" w:lineRule="auto"/>
        <w:rPr>
          <w:sz w:val="20"/>
          <w:szCs w:val="20"/>
          <w:color w:val="auto"/>
        </w:rPr>
      </w:pPr>
      <w:r>
        <w:rPr>
          <w:rFonts w:ascii="Arial" w:cs="Arial" w:eastAsia="Arial" w:hAnsi="Arial"/>
          <w:sz w:val="18"/>
          <w:szCs w:val="18"/>
          <w:color w:val="auto"/>
        </w:rPr>
        <w:t>In December, we entered into a non-binding MoU with Pacific Metals Co Ltd (PAMCO) of Japan, to evaluate the toll treatment of an initial quantity of 1.3 million tonnes of wet polymetallic nodules per year at PAMCO’s Hachinohe smelting facility starting in 2025.</w:t>
      </w:r>
    </w:p>
    <w:p>
      <w:pPr>
        <w:spacing w:after="0" w:line="126" w:lineRule="exact"/>
        <w:rPr>
          <w:sz w:val="20"/>
          <w:szCs w:val="20"/>
          <w:color w:val="auto"/>
        </w:rPr>
      </w:pPr>
    </w:p>
    <w:p>
      <w:pPr>
        <w:ind w:left="580" w:right="40"/>
        <w:spacing w:after="0" w:line="319" w:lineRule="auto"/>
        <w:rPr>
          <w:sz w:val="20"/>
          <w:szCs w:val="20"/>
          <w:color w:val="auto"/>
        </w:rPr>
      </w:pPr>
      <w:r>
        <w:rPr>
          <w:rFonts w:ascii="Arial" w:cs="Arial" w:eastAsia="Arial" w:hAnsi="Arial"/>
          <w:sz w:val="17"/>
          <w:szCs w:val="17"/>
          <w:color w:val="auto"/>
        </w:rPr>
        <w:t>NORI and Allseas Lift Over 3,000 Tonnes of Polymetallic Nodules to Surface from Planet’s Largest Deposit</w:t>
      </w:r>
    </w:p>
    <w:p>
      <w:pPr>
        <w:ind w:left="580" w:right="400"/>
        <w:spacing w:after="0" w:line="311" w:lineRule="auto"/>
        <w:rPr>
          <w:sz w:val="20"/>
          <w:szCs w:val="20"/>
          <w:color w:val="auto"/>
        </w:rPr>
      </w:pPr>
      <w:r>
        <w:rPr>
          <w:rFonts w:ascii="Arial" w:cs="Arial" w:eastAsia="Arial" w:hAnsi="Arial"/>
          <w:sz w:val="18"/>
          <w:szCs w:val="18"/>
          <w:color w:val="auto"/>
        </w:rPr>
        <w:t>of Battery Metals, as Leading Scientists and Marine Experts Continue Gathering Environmental Data</w:t>
      </w:r>
    </w:p>
    <w:p>
      <w:pPr>
        <w:spacing w:after="0" w:line="163" w:lineRule="exact"/>
        <w:rPr>
          <w:sz w:val="20"/>
          <w:szCs w:val="20"/>
          <w:color w:val="auto"/>
        </w:rPr>
      </w:pPr>
    </w:p>
    <w:p>
      <w:pPr>
        <w:ind w:left="580"/>
        <w:spacing w:after="0" w:line="321" w:lineRule="auto"/>
        <w:rPr>
          <w:sz w:val="20"/>
          <w:szCs w:val="20"/>
          <w:color w:val="auto"/>
        </w:rPr>
      </w:pPr>
      <w:r>
        <w:rPr>
          <w:rFonts w:ascii="Arial" w:cs="Arial" w:eastAsia="Arial" w:hAnsi="Arial"/>
          <w:sz w:val="17"/>
          <w:szCs w:val="17"/>
          <w:color w:val="auto"/>
        </w:rPr>
        <w:t>In November, we announced the conclusion of NORI’s integrated system trial in the NORI-D area in the CCZ. The pilot collector vehicle drove a distance of over 80 km on the seafloor, collecting approximately 4,500 tonnes of seafloor polymetallic nodules and lifting over 3,000 tonnes of nodules up a 4.3-km riser system to the surface production vessel, Hidden Gem. The Allseas-designed-and-tested pilot nodule collection system – which we expect to be scaled to include additional collector heads and a wider diameter riser pipe in preparation for NORI’s Project Zero – achieved a maximum sustained production rate of 86.4 tons per hour.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60"/>
        <w:spacing w:after="0" w:line="311" w:lineRule="auto"/>
        <w:rPr>
          <w:sz w:val="20"/>
          <w:szCs w:val="20"/>
          <w:color w:val="auto"/>
        </w:rPr>
      </w:pPr>
      <w:r>
        <w:rPr>
          <w:rFonts w:ascii="Arial" w:cs="Arial" w:eastAsia="Arial" w:hAnsi="Arial"/>
          <w:sz w:val="18"/>
          <w:szCs w:val="18"/>
          <w:color w:val="auto"/>
        </w:rPr>
        <w:t>TMC Secures $30M Investment on Path to Commercial Seafloor Nodule Production</w:t>
      </w:r>
    </w:p>
    <w:p>
      <w:pPr>
        <w:spacing w:after="0" w:line="163"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auto"/>
        </w:rPr>
        <w:t>In August, we announced a committed PIPE financing, which resulted in US$30.4 million of gross proceeds through the issuance of approximately 38 million common shares. A majority of the funds came from existing TMC shareholders and insiders.</w:t>
      </w:r>
    </w:p>
    <w:p>
      <w:pPr>
        <w:spacing w:after="0" w:line="126" w:lineRule="exact"/>
        <w:rPr>
          <w:sz w:val="20"/>
          <w:szCs w:val="20"/>
          <w:color w:val="auto"/>
        </w:rPr>
      </w:pPr>
    </w:p>
    <w:p>
      <w:pPr>
        <w:ind w:right="320"/>
        <w:spacing w:after="0" w:line="306" w:lineRule="auto"/>
        <w:rPr>
          <w:sz w:val="20"/>
          <w:szCs w:val="20"/>
          <w:color w:val="auto"/>
        </w:rPr>
      </w:pPr>
      <w:r>
        <w:rPr>
          <w:rFonts w:ascii="Arial" w:cs="Arial" w:eastAsia="Arial" w:hAnsi="Arial"/>
          <w:sz w:val="18"/>
          <w:szCs w:val="18"/>
          <w:color w:val="auto"/>
        </w:rPr>
        <w:t>TMC Subsidiary NORI Commences Monitoring of the Environmental Impacts of Pilot Nodule Collection System Trials in the Clarion-Clipperton Zone</w:t>
      </w:r>
    </w:p>
    <w:p>
      <w:pPr>
        <w:spacing w:after="0" w:line="168" w:lineRule="exact"/>
        <w:rPr>
          <w:sz w:val="20"/>
          <w:szCs w:val="20"/>
          <w:color w:val="auto"/>
        </w:rPr>
      </w:pPr>
    </w:p>
    <w:p>
      <w:pPr>
        <w:ind w:right="40"/>
        <w:spacing w:after="0" w:line="315" w:lineRule="auto"/>
        <w:rPr>
          <w:sz w:val="20"/>
          <w:szCs w:val="20"/>
          <w:color w:val="auto"/>
        </w:rPr>
      </w:pPr>
      <w:r>
        <w:rPr>
          <w:rFonts w:ascii="Arial" w:cs="Arial" w:eastAsia="Arial" w:hAnsi="Arial"/>
          <w:sz w:val="17"/>
          <w:szCs w:val="17"/>
          <w:color w:val="auto"/>
        </w:rPr>
        <w:t>In October, we announced that a multidisciplinary team of independent scientists and industry-leading contractors had commenced the next phase of an extensive environmental baseline and impact monitoring campaign in preparation for NORI’s ongoing pilot nodule collection system trials</w:t>
      </w:r>
    </w:p>
    <w:p>
      <w:pPr>
        <w:ind w:right="40"/>
        <w:spacing w:after="0" w:line="322" w:lineRule="auto"/>
        <w:rPr>
          <w:sz w:val="20"/>
          <w:szCs w:val="20"/>
          <w:color w:val="auto"/>
        </w:rPr>
      </w:pPr>
      <w:r>
        <w:rPr>
          <w:rFonts w:ascii="Arial" w:cs="Arial" w:eastAsia="Arial" w:hAnsi="Arial"/>
          <w:sz w:val="17"/>
          <w:szCs w:val="17"/>
          <w:color w:val="auto"/>
        </w:rPr>
        <w:t>in the NORI-D area of the CCZ. Scientists aboard a dedicated 103-meter-long monitoring vessel conducted pre-disturbance monitoring studies on a sub-section of the NORI-D exploration area to establish an environmental baseline before NORI’s offshore strategic partner, Allseas, began testing a system consisting of a prototype nodule collector at the seafloor connected to a riser system to bring nodules to the surface production vessel, Hidden Gem.</w:t>
      </w:r>
    </w:p>
    <w:p>
      <w:pPr>
        <w:sectPr>
          <w:pgSz w:w="12240" w:h="15840" w:orient="portrait"/>
          <w:cols w:equalWidth="0" w:num="2">
            <w:col w:w="5120" w:space="400"/>
            <w:col w:w="4580"/>
          </w:cols>
          <w:pgMar w:left="1440" w:top="737" w:right="700" w:bottom="744" w:gutter="0" w:footer="0" w:header="0"/>
          <w:type w:val="continuous"/>
        </w:sectPr>
      </w:pPr>
    </w:p>
    <w:bookmarkStart w:id="3" w:name="page4"/>
    <w:bookmarkEnd w:id="3"/>
    <w:p>
      <w:pPr>
        <w:ind w:left="8280"/>
        <w:spacing w:after="0"/>
        <w:tabs>
          <w:tab w:leader="none" w:pos="9980" w:val="left"/>
        </w:tabs>
        <w:rPr>
          <w:sz w:val="20"/>
          <w:szCs w:val="20"/>
          <w:color w:val="auto"/>
        </w:rPr>
      </w:pPr>
      <w:r>
        <w:rPr>
          <w:rFonts w:ascii="Arial" w:cs="Arial" w:eastAsia="Arial" w:hAnsi="Arial"/>
          <w:sz w:val="16"/>
          <w:szCs w:val="16"/>
          <w:color w:val="A29E9D"/>
        </w:rPr>
        <w:drawing>
          <wp:anchor simplePos="0" relativeHeight="251657728" behindDoc="1" locked="0" layoutInCell="0" allowOverlap="1">
            <wp:simplePos x="0" y="0"/>
            <wp:positionH relativeFrom="page">
              <wp:posOffset>1009015</wp:posOffset>
            </wp:positionH>
            <wp:positionV relativeFrom="page">
              <wp:posOffset>0</wp:posOffset>
            </wp:positionV>
            <wp:extent cx="12700" cy="10058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extLst>
                    </a:blip>
                    <a:srcRect/>
                    <a:stretch>
                      <a:fillRect/>
                    </a:stretch>
                  </pic:blipFill>
                  <pic:spPr bwMode="auto">
                    <a:xfrm>
                      <a:off x="0" y="0"/>
                      <a:ext cx="12700" cy="10058400"/>
                    </a:xfrm>
                    <a:prstGeom prst="rect">
                      <a:avLst/>
                    </a:prstGeom>
                    <a:noFill/>
                  </pic:spPr>
                </pic:pic>
              </a:graphicData>
            </a:graphic>
          </wp:anchor>
        </w:drawing>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Annual Report</w:t>
      </w:r>
      <w:r>
        <w:rPr>
          <w:sz w:val="20"/>
          <w:szCs w:val="20"/>
          <w:color w:val="auto"/>
        </w:rPr>
        <w:tab/>
      </w:r>
      <w:r>
        <w:rPr>
          <w:rFonts w:ascii="Arial" w:cs="Arial" w:eastAsia="Arial" w:hAnsi="Arial"/>
          <w:sz w:val="16"/>
          <w:szCs w:val="16"/>
          <w:color w:val="auto"/>
        </w:rPr>
        <w:t>4</w:t>
      </w:r>
    </w:p>
    <w:p>
      <w:pPr>
        <w:sectPr>
          <w:pgSz w:w="12240" w:h="15840" w:orient="portrait"/>
          <w:cols w:equalWidth="0" w:num="1">
            <w:col w:w="10100"/>
          </w:cols>
          <w:pgMar w:left="1440" w:top="737" w:right="7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580"/>
        <w:spacing w:after="0" w:line="306" w:lineRule="auto"/>
        <w:rPr>
          <w:sz w:val="20"/>
          <w:szCs w:val="20"/>
          <w:color w:val="auto"/>
        </w:rPr>
      </w:pPr>
      <w:r>
        <w:rPr>
          <w:rFonts w:ascii="Arial" w:cs="Arial" w:eastAsia="Arial" w:hAnsi="Arial"/>
          <w:sz w:val="18"/>
          <w:szCs w:val="18"/>
          <w:color w:val="auto"/>
        </w:rPr>
        <w:t>The Metals Company Publishes Inaugural Impact Report Detailing Future Operations and Strategy for Net-positive Planetary Impact</w:t>
      </w:r>
    </w:p>
    <w:p>
      <w:pPr>
        <w:spacing w:after="0" w:line="168" w:lineRule="exact"/>
        <w:rPr>
          <w:sz w:val="20"/>
          <w:szCs w:val="20"/>
          <w:color w:val="auto"/>
        </w:rPr>
      </w:pPr>
    </w:p>
    <w:p>
      <w:pPr>
        <w:ind w:left="580" w:right="140"/>
        <w:spacing w:after="0" w:line="319" w:lineRule="auto"/>
        <w:rPr>
          <w:sz w:val="20"/>
          <w:szCs w:val="20"/>
          <w:color w:val="auto"/>
        </w:rPr>
      </w:pPr>
      <w:r>
        <w:rPr>
          <w:rFonts w:ascii="Arial" w:cs="Arial" w:eastAsia="Arial" w:hAnsi="Arial"/>
          <w:sz w:val="17"/>
          <w:szCs w:val="17"/>
          <w:color w:val="auto"/>
        </w:rPr>
        <w:t>In May, we published our inaugural Impact Report, setting out our motivations for collecting nodules and providing a forward-looking view of the impacts of our expected operations and the efforts underway to eliminate or reduce them. The report outlines the case for polymetallic nodules</w:t>
      </w:r>
    </w:p>
    <w:p>
      <w:pPr>
        <w:spacing w:after="0" w:line="1" w:lineRule="exact"/>
        <w:rPr>
          <w:sz w:val="20"/>
          <w:szCs w:val="20"/>
          <w:color w:val="auto"/>
        </w:rPr>
      </w:pPr>
    </w:p>
    <w:p>
      <w:pPr>
        <w:ind w:left="580"/>
        <w:spacing w:after="0" w:line="319" w:lineRule="auto"/>
        <w:rPr>
          <w:sz w:val="20"/>
          <w:szCs w:val="20"/>
          <w:color w:val="auto"/>
        </w:rPr>
      </w:pPr>
      <w:r>
        <w:rPr>
          <w:rFonts w:ascii="Arial" w:cs="Arial" w:eastAsia="Arial" w:hAnsi="Arial"/>
          <w:sz w:val="17"/>
          <w:szCs w:val="17"/>
          <w:color w:val="auto"/>
        </w:rPr>
        <w:t>in the CCZ as an alternative, large-scale supply of potentially lower-impact nickel, cobalt, copper and manganese, as compared with terrestrial sources, and how we plan to</w:t>
      </w:r>
    </w:p>
    <w:p>
      <w:pPr>
        <w:ind w:left="580" w:right="220"/>
        <w:spacing w:after="0" w:line="306" w:lineRule="auto"/>
        <w:rPr>
          <w:sz w:val="20"/>
          <w:szCs w:val="20"/>
          <w:color w:val="auto"/>
        </w:rPr>
      </w:pPr>
      <w:r>
        <w:rPr>
          <w:rFonts w:ascii="Arial" w:cs="Arial" w:eastAsia="Arial" w:hAnsi="Arial"/>
          <w:sz w:val="18"/>
          <w:szCs w:val="18"/>
          <w:color w:val="auto"/>
        </w:rPr>
        <w:t>use nodule-derived metals to build up recyclable stocks of battery materials as the basis of a future circular metals economy.</w:t>
      </w:r>
    </w:p>
    <w:p>
      <w:pPr>
        <w:spacing w:after="0" w:line="121" w:lineRule="exact"/>
        <w:rPr>
          <w:sz w:val="20"/>
          <w:szCs w:val="20"/>
          <w:color w:val="auto"/>
        </w:rPr>
      </w:pPr>
    </w:p>
    <w:p>
      <w:pPr>
        <w:ind w:left="580" w:right="60"/>
        <w:spacing w:after="0" w:line="296" w:lineRule="auto"/>
        <w:rPr>
          <w:sz w:val="20"/>
          <w:szCs w:val="20"/>
          <w:color w:val="auto"/>
        </w:rPr>
      </w:pPr>
      <w:r>
        <w:rPr>
          <w:rFonts w:ascii="Arial" w:cs="Arial" w:eastAsia="Arial" w:hAnsi="Arial"/>
          <w:sz w:val="18"/>
          <w:szCs w:val="18"/>
          <w:color w:val="auto"/>
        </w:rPr>
        <w:t>TMC’s Manganese Silicate Product from Deep-sea Nodules Has High Value-in-Use and Potential to Lower Cost and CO</w:t>
      </w:r>
      <w:r>
        <w:rPr>
          <w:rFonts w:ascii="Arial" w:cs="Arial" w:eastAsia="Arial" w:hAnsi="Arial"/>
          <w:sz w:val="20"/>
          <w:szCs w:val="20"/>
          <w:color w:val="auto"/>
          <w:vertAlign w:val="subscript"/>
        </w:rPr>
        <w:t>2</w:t>
      </w:r>
      <w:r>
        <w:rPr>
          <w:rFonts w:ascii="Arial" w:cs="Arial" w:eastAsia="Arial" w:hAnsi="Arial"/>
          <w:sz w:val="18"/>
          <w:szCs w:val="18"/>
          <w:color w:val="auto"/>
        </w:rPr>
        <w:t xml:space="preserve"> Emissions Compared to Conventional Mn Sources</w:t>
      </w:r>
    </w:p>
    <w:p>
      <w:pPr>
        <w:spacing w:after="0" w:line="172" w:lineRule="exact"/>
        <w:rPr>
          <w:sz w:val="20"/>
          <w:szCs w:val="20"/>
          <w:color w:val="auto"/>
        </w:rPr>
      </w:pPr>
    </w:p>
    <w:p>
      <w:pPr>
        <w:ind w:left="580" w:right="80"/>
        <w:spacing w:after="0" w:line="317" w:lineRule="auto"/>
        <w:rPr>
          <w:sz w:val="20"/>
          <w:szCs w:val="20"/>
          <w:color w:val="auto"/>
        </w:rPr>
      </w:pPr>
      <w:r>
        <w:rPr>
          <w:rFonts w:ascii="Arial" w:cs="Arial" w:eastAsia="Arial" w:hAnsi="Arial"/>
          <w:sz w:val="17"/>
          <w:szCs w:val="17"/>
          <w:color w:val="auto"/>
        </w:rPr>
        <w:t>In May, we announced that SINTEF, one of Europe’s largest independent research institutions, was retained by us to analyze our manganese silicate product that can be used to produce silicomanganese alloy for steelmaking and found that it behaves similarly to traditional manganese sources. Our high-grade nodule-derived manganese silicate, which we estimate could account for almost 30% of future revenues, appears to have significant advantages over conventional manganese ores on cost and CO</w:t>
      </w:r>
      <w:r>
        <w:rPr>
          <w:rFonts w:ascii="Arial" w:cs="Arial" w:eastAsia="Arial" w:hAnsi="Arial"/>
          <w:sz w:val="19"/>
          <w:szCs w:val="19"/>
          <w:color w:val="auto"/>
          <w:vertAlign w:val="subscript"/>
        </w:rPr>
        <w:t>2</w:t>
      </w:r>
      <w:r>
        <w:rPr>
          <w:rFonts w:ascii="Arial" w:cs="Arial" w:eastAsia="Arial" w:hAnsi="Arial"/>
          <w:sz w:val="17"/>
          <w:szCs w:val="17"/>
          <w:color w:val="auto"/>
        </w:rPr>
        <w:t xml:space="preserve"> footprint, with the potential for 7 to 17% higher value-in-use, depending on carbon tax regimes.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120"/>
        <w:spacing w:after="0" w:line="306" w:lineRule="auto"/>
        <w:rPr>
          <w:sz w:val="20"/>
          <w:szCs w:val="20"/>
          <w:color w:val="auto"/>
        </w:rPr>
      </w:pPr>
      <w:r>
        <w:rPr>
          <w:rFonts w:ascii="Arial" w:cs="Arial" w:eastAsia="Arial" w:hAnsi="Arial"/>
          <w:sz w:val="18"/>
          <w:szCs w:val="18"/>
          <w:color w:val="auto"/>
        </w:rPr>
        <w:t>The Metals Company Contracts CSIRO-led Consortium to Pioneer Ecosystem-based Environmental Monitoring and Management Plan for Deep-sea Nodule Collection</w:t>
      </w:r>
    </w:p>
    <w:p>
      <w:pPr>
        <w:spacing w:after="0" w:line="168" w:lineRule="exact"/>
        <w:rPr>
          <w:sz w:val="20"/>
          <w:szCs w:val="20"/>
          <w:color w:val="auto"/>
        </w:rPr>
      </w:pPr>
    </w:p>
    <w:p>
      <w:pPr>
        <w:spacing w:after="0" w:line="321" w:lineRule="auto"/>
        <w:rPr>
          <w:sz w:val="20"/>
          <w:szCs w:val="20"/>
          <w:color w:val="auto"/>
        </w:rPr>
      </w:pPr>
      <w:r>
        <w:rPr>
          <w:rFonts w:ascii="Arial" w:cs="Arial" w:eastAsia="Arial" w:hAnsi="Arial"/>
          <w:sz w:val="17"/>
          <w:szCs w:val="17"/>
          <w:color w:val="auto"/>
        </w:rPr>
        <w:t>In July, we announced that our Australian subsidiary, The Metals Company Australia Pty Ltd., had entered into a research funding agreement with a consortium of institutions led by Australia’s Commonwealth Scientific Industrial Research Organization (CSIRO) to create a framework for the development of an ecosystem-based Environmental Monitoring and Management Plan (EMMP) for our proposed deep-sea polymetallic nodule collection operations in the CCZ. The work will form the scientific foundation of TMC’s future Adaptive Management System (AMS), a state-of-the-art predictive system that will use environmental and operational data to enable us to mitigate operational impacts in the deep-sea environment as much as possible.</w:t>
      </w:r>
    </w:p>
    <w:p>
      <w:pPr>
        <w:spacing w:after="0" w:line="373"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color w:val="auto"/>
        </w:rPr>
        <w:t>The Metals Company and Allseas Announce Proposed Economic Terms for Developing and Operating the World’s First Commercial System to Collect Deep-sea Polymetallic Nodules to Meet Surging Demand for Critical Battery Metals</w:t>
      </w:r>
    </w:p>
    <w:p>
      <w:pPr>
        <w:spacing w:after="0" w:line="173" w:lineRule="exact"/>
        <w:rPr>
          <w:sz w:val="20"/>
          <w:szCs w:val="20"/>
          <w:color w:val="auto"/>
        </w:rPr>
      </w:pPr>
    </w:p>
    <w:p>
      <w:pPr>
        <w:ind w:right="40"/>
        <w:spacing w:after="0" w:line="323" w:lineRule="auto"/>
        <w:rPr>
          <w:sz w:val="20"/>
          <w:szCs w:val="20"/>
          <w:color w:val="auto"/>
        </w:rPr>
      </w:pPr>
      <w:r>
        <w:rPr>
          <w:rFonts w:ascii="Arial" w:cs="Arial" w:eastAsia="Arial" w:hAnsi="Arial"/>
          <w:sz w:val="17"/>
          <w:szCs w:val="17"/>
          <w:color w:val="auto"/>
        </w:rPr>
        <w:t>In March, our subsidiary NORI and Allseas entered into a non-binding term sheet for the development and operation of a commercial nodule collection system. The pilot nodule collection system developed and successfully tested by Allseas is expected to be upgraded to a commercial system with a targeted production capacity of 1.3 Mpta of wet nodules and expected production readiness by Q4 2024.</w:t>
      </w:r>
    </w:p>
    <w:p>
      <w:pPr>
        <w:sectPr>
          <w:pgSz w:w="12240" w:h="15840" w:orient="portrait"/>
          <w:cols w:equalWidth="0" w:num="2">
            <w:col w:w="5160" w:space="360"/>
            <w:col w:w="4580"/>
          </w:cols>
          <w:pgMar w:left="1440" w:top="737" w:right="700" w:bottom="1440" w:gutter="0" w:footer="0" w:header="0"/>
          <w:type w:val="continuous"/>
        </w:sectPr>
      </w:pPr>
    </w:p>
    <w:bookmarkStart w:id="4" w:name="page5"/>
    <w:bookmarkEnd w:id="4"/>
    <w:p>
      <w:pPr>
        <w:ind w:left="8280"/>
        <w:spacing w:after="0"/>
        <w:tabs>
          <w:tab w:leader="none" w:pos="9980" w:val="left"/>
        </w:tabs>
        <w:rPr>
          <w:sz w:val="20"/>
          <w:szCs w:val="20"/>
          <w:color w:val="auto"/>
        </w:rPr>
      </w:pPr>
      <w:r>
        <w:rPr>
          <w:rFonts w:ascii="Arial" w:cs="Arial" w:eastAsia="Arial" w:hAnsi="Arial"/>
          <w:sz w:val="16"/>
          <w:szCs w:val="16"/>
          <w:color w:val="A29E9D"/>
        </w:rPr>
        <w:drawing>
          <wp:anchor simplePos="0" relativeHeight="251657728" behindDoc="1" locked="0" layoutInCell="0" allowOverlap="1">
            <wp:simplePos x="0" y="0"/>
            <wp:positionH relativeFrom="page">
              <wp:posOffset>3175</wp:posOffset>
            </wp:positionH>
            <wp:positionV relativeFrom="page">
              <wp:posOffset>0</wp:posOffset>
            </wp:positionV>
            <wp:extent cx="7766050" cy="10058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7766050" cy="10058400"/>
                    </a:xfrm>
                    <a:prstGeom prst="rect">
                      <a:avLst/>
                    </a:prstGeom>
                    <a:noFill/>
                  </pic:spPr>
                </pic:pic>
              </a:graphicData>
            </a:graphic>
          </wp:anchor>
        </w:drawing>
        <w:t>TMC Annual Report</w:t>
      </w:r>
      <w:r>
        <w:rPr>
          <w:sz w:val="20"/>
          <w:szCs w:val="20"/>
          <w:color w:val="auto"/>
        </w:rPr>
        <w:tab/>
      </w:r>
      <w:r>
        <w:rPr>
          <w:rFonts w:ascii="Arial" w:cs="Arial" w:eastAsia="Arial" w:hAnsi="Arial"/>
          <w:sz w:val="16"/>
          <w:szCs w:val="16"/>
          <w:color w:val="auto"/>
        </w:rPr>
        <w:t>5</w:t>
      </w:r>
    </w:p>
    <w:p>
      <w:pPr>
        <w:sectPr>
          <w:pgSz w:w="12240" w:h="15840" w:orient="portrait"/>
          <w:cols w:equalWidth="0" w:num="1">
            <w:col w:w="10100"/>
          </w:cols>
          <w:pgMar w:left="1440" w:top="737" w:right="7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40"/>
          <w:szCs w:val="40"/>
          <w:color w:val="F3D304"/>
        </w:rPr>
        <w:t>Research</w:t>
      </w:r>
    </w:p>
    <w:p>
      <w:pPr>
        <w:spacing w:after="0" w:line="122" w:lineRule="exact"/>
        <w:rPr>
          <w:sz w:val="20"/>
          <w:szCs w:val="20"/>
          <w:color w:val="auto"/>
        </w:rPr>
      </w:pPr>
    </w:p>
    <w:p>
      <w:pPr>
        <w:ind w:left="580"/>
        <w:spacing w:after="0" w:line="306" w:lineRule="auto"/>
        <w:rPr>
          <w:sz w:val="20"/>
          <w:szCs w:val="20"/>
          <w:color w:val="auto"/>
        </w:rPr>
      </w:pPr>
      <w:r>
        <w:rPr>
          <w:rFonts w:ascii="Arial" w:cs="Arial" w:eastAsia="Arial" w:hAnsi="Arial"/>
          <w:sz w:val="18"/>
          <w:szCs w:val="18"/>
          <w:color w:val="auto"/>
        </w:rPr>
        <w:t>The Metals Company Engaged Benchmark Mineral Intelligence to Produce Lifecycle Assessment of NORI-D Polymetallic Nodule Project</w:t>
      </w:r>
    </w:p>
    <w:p>
      <w:pPr>
        <w:spacing w:after="0" w:line="121" w:lineRule="exact"/>
        <w:rPr>
          <w:sz w:val="20"/>
          <w:szCs w:val="20"/>
          <w:color w:val="auto"/>
        </w:rPr>
      </w:pPr>
    </w:p>
    <w:p>
      <w:pPr>
        <w:ind w:left="580" w:right="120"/>
        <w:spacing w:after="0" w:line="321" w:lineRule="auto"/>
        <w:rPr>
          <w:sz w:val="20"/>
          <w:szCs w:val="20"/>
          <w:color w:val="auto"/>
        </w:rPr>
      </w:pPr>
      <w:r>
        <w:rPr>
          <w:rFonts w:ascii="Arial" w:cs="Arial" w:eastAsia="Arial" w:hAnsi="Arial"/>
          <w:sz w:val="17"/>
          <w:szCs w:val="17"/>
          <w:color w:val="auto"/>
        </w:rPr>
        <w:t>In April, we announced that we had chosen the leading lithium-ion battery supply chain research firm, Benchmark Mineral Intelligence (“Benchmark”), to conduct an independent lifecycle assessment of the environmental impacts of TMC’s planned NORI-D Polymetallic Nodule Project and to compare these impacts to producing the same metals from commonly used production pathways using conventional land ores. Results show the NORI-D project as having the lowest footprint of all processing routes in terms of global warming potential per kilogram of nickel in nickel sulfate, as well as the lowest impact value across compared processing routes for ozone depletion, acidification, water consumption and almost every other impact category measured in the study.</w:t>
      </w:r>
    </w:p>
    <w:p>
      <w:pPr>
        <w:spacing w:after="0" w:line="112" w:lineRule="exact"/>
        <w:rPr>
          <w:sz w:val="20"/>
          <w:szCs w:val="20"/>
          <w:color w:val="auto"/>
        </w:rPr>
      </w:pPr>
    </w:p>
    <w:p>
      <w:pPr>
        <w:ind w:left="580" w:right="180"/>
        <w:spacing w:after="0" w:line="304" w:lineRule="auto"/>
        <w:rPr>
          <w:sz w:val="20"/>
          <w:szCs w:val="20"/>
          <w:color w:val="auto"/>
        </w:rPr>
      </w:pPr>
      <w:r>
        <w:rPr>
          <w:rFonts w:ascii="Arial" w:cs="Arial" w:eastAsia="Arial" w:hAnsi="Arial"/>
          <w:sz w:val="18"/>
          <w:szCs w:val="18"/>
          <w:color w:val="auto"/>
        </w:rPr>
        <w:t>Peer-reviewed Lifecycle Analysis Shows Conventional Production of EV Battery Metals Will Generate Significant Waste Streams but Could Be Reduced by Using Deep-sea Nodules</w:t>
      </w:r>
    </w:p>
    <w:p>
      <w:pPr>
        <w:spacing w:after="0" w:line="99" w:lineRule="exact"/>
        <w:rPr>
          <w:sz w:val="20"/>
          <w:szCs w:val="20"/>
          <w:color w:val="auto"/>
        </w:rPr>
      </w:pPr>
    </w:p>
    <w:p>
      <w:pPr>
        <w:ind w:left="580" w:right="100"/>
        <w:spacing w:after="0" w:line="359" w:lineRule="auto"/>
        <w:rPr>
          <w:sz w:val="20"/>
          <w:szCs w:val="20"/>
          <w:color w:val="auto"/>
        </w:rPr>
      </w:pPr>
      <w:r>
        <w:rPr>
          <w:rFonts w:ascii="Arial" w:cs="Arial" w:eastAsia="Arial" w:hAnsi="Arial"/>
          <w:sz w:val="16"/>
          <w:szCs w:val="16"/>
          <w:color w:val="auto"/>
        </w:rPr>
        <w:t>In January, the Yale Journal of Industrial Ecology published a peer-reviewed study that shows seafloor polymetallic nodules could help meet massive new demand for EV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319" w:lineRule="auto"/>
        <w:rPr>
          <w:sz w:val="20"/>
          <w:szCs w:val="20"/>
          <w:color w:val="auto"/>
        </w:rPr>
      </w:pPr>
      <w:r>
        <w:rPr>
          <w:rFonts w:ascii="Arial" w:cs="Arial" w:eastAsia="Arial" w:hAnsi="Arial"/>
          <w:sz w:val="17"/>
          <w:szCs w:val="17"/>
          <w:color w:val="auto"/>
        </w:rPr>
        <w:t>battery metals like nickel while significantly reducing – and in some scenarios eliminating – the solid waste streams typically generated by metal production from land ores. The study finds that producing four key battery metals (nickel, copper, cobalt, manganese) from seafloor polymetallic nodules could reduce lifecycle solid waste by 59 to 93% compared to land ores, including a 79 to 96% reduction in tailings. The researchers noted that every kilogram of Class I nickel mined and produced today can result in between</w:t>
      </w:r>
    </w:p>
    <w:p>
      <w:pPr>
        <w:spacing w:after="0" w:line="1"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color w:val="auto"/>
        </w:rPr>
        <w:t>50 to 160 kg of potentially toxic tailings that must be managed indefinitely. Production of nickel, cobalt, copper and manganese for a single EV with a 75 kWh battery creates 40 to 61 metric tons of waste, around 50% of which is tailings.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40"/>
          <w:szCs w:val="40"/>
          <w:color w:val="F3D304"/>
        </w:rPr>
        <w:t>Industry Updates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ISA Council Concludes Part III of Its 27th Session</w:t>
      </w:r>
    </w:p>
    <w:p>
      <w:pPr>
        <w:spacing w:after="0" w:line="186"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The International Seabed Authority (ISA) concluded the third part of its 27th Council session in November in Kingston, Jamaica, where the regulatory body’s 167 members</w:t>
      </w:r>
    </w:p>
    <w:p>
      <w:pPr>
        <w:ind w:right="20"/>
        <w:spacing w:after="0" w:line="325" w:lineRule="auto"/>
        <w:rPr>
          <w:sz w:val="20"/>
          <w:szCs w:val="20"/>
          <w:color w:val="auto"/>
        </w:rPr>
      </w:pPr>
      <w:r>
        <w:rPr>
          <w:rFonts w:ascii="Arial" w:cs="Arial" w:eastAsia="Arial" w:hAnsi="Arial"/>
          <w:sz w:val="17"/>
          <w:szCs w:val="17"/>
          <w:color w:val="auto"/>
        </w:rPr>
        <w:t>(+ the European Union) continued their work towards a final exploitation code. The Council met again in March 2023 and is scheduled to meet again in July. Members will continue work inter-sessionally and they have also tentatively scheduled a meeting in October-November if required.</w:t>
      </w:r>
    </w:p>
    <w:p>
      <w:pPr>
        <w:sectPr>
          <w:pgSz w:w="12240" w:h="15840" w:orient="portrait"/>
          <w:cols w:equalWidth="0" w:num="2">
            <w:col w:w="5120" w:space="400"/>
            <w:col w:w="4580"/>
          </w:cols>
          <w:pgMar w:left="1440" w:top="737" w:right="700" w:bottom="1440" w:gutter="0" w:footer="0" w:header="0"/>
          <w:type w:val="continuous"/>
        </w:sectPr>
      </w:pPr>
    </w:p>
    <w:bookmarkStart w:id="5" w:name="page6"/>
    <w:bookmarkEnd w:id="5"/>
    <w:p>
      <w:pPr>
        <w:jc w:val="right"/>
        <w:spacing w:after="0"/>
        <w:tabs>
          <w:tab w:leader="none" w:pos="80" w:val="left"/>
        </w:tabs>
        <w:rPr>
          <w:sz w:val="20"/>
          <w:szCs w:val="20"/>
          <w:color w:val="auto"/>
        </w:rPr>
      </w:pPr>
      <w:r>
        <w:rPr>
          <w:rFonts w:ascii="Arial" w:cs="Arial" w:eastAsia="Arial" w:hAnsi="Arial"/>
          <w:sz w:val="16"/>
          <w:szCs w:val="16"/>
          <w:color w:val="A29E9D"/>
        </w:rPr>
        <w:drawing>
          <wp:anchor simplePos="0" relativeHeight="251657728" behindDoc="1" locked="0" layoutInCell="0" allowOverlap="1">
            <wp:simplePos x="0" y="0"/>
            <wp:positionH relativeFrom="page">
              <wp:posOffset>1009015</wp:posOffset>
            </wp:positionH>
            <wp:positionV relativeFrom="page">
              <wp:posOffset>0</wp:posOffset>
            </wp:positionV>
            <wp:extent cx="12700" cy="10058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extLst>
                    </a:blip>
                    <a:srcRect/>
                    <a:stretch>
                      <a:fillRect/>
                    </a:stretch>
                  </pic:blipFill>
                  <pic:spPr bwMode="auto">
                    <a:xfrm>
                      <a:off x="0" y="0"/>
                      <a:ext cx="12700" cy="10058400"/>
                    </a:xfrm>
                    <a:prstGeom prst="rect">
                      <a:avLst/>
                    </a:prstGeom>
                    <a:noFill/>
                  </pic:spPr>
                </pic:pic>
              </a:graphicData>
            </a:graphic>
          </wp:anchor>
        </w:drawing>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Annual Report</w:t>
      </w:r>
      <w:r>
        <w:rPr>
          <w:sz w:val="20"/>
          <w:szCs w:val="20"/>
          <w:color w:val="auto"/>
        </w:rPr>
        <w:tab/>
      </w:r>
      <w:r>
        <w:rPr>
          <w:rFonts w:ascii="Arial" w:cs="Arial" w:eastAsia="Arial" w:hAnsi="Arial"/>
          <w:sz w:val="16"/>
          <w:szCs w:val="16"/>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40"/>
          <w:szCs w:val="40"/>
          <w:color w:val="F3D304"/>
        </w:rPr>
        <w:t>Sponsoring States</w:t>
      </w:r>
    </w:p>
    <w:p>
      <w:pPr>
        <w:spacing w:after="0" w:line="122" w:lineRule="exact"/>
        <w:rPr>
          <w:sz w:val="20"/>
          <w:szCs w:val="20"/>
          <w:color w:val="auto"/>
        </w:rPr>
      </w:pPr>
    </w:p>
    <w:p>
      <w:pPr>
        <w:ind w:left="580" w:right="640"/>
        <w:spacing w:after="0" w:line="311" w:lineRule="auto"/>
        <w:rPr>
          <w:sz w:val="20"/>
          <w:szCs w:val="20"/>
          <w:color w:val="auto"/>
        </w:rPr>
      </w:pPr>
      <w:r>
        <w:rPr>
          <w:rFonts w:ascii="Arial" w:cs="Arial" w:eastAsia="Arial" w:hAnsi="Arial"/>
          <w:sz w:val="18"/>
          <w:szCs w:val="18"/>
          <w:color w:val="auto"/>
        </w:rPr>
        <w:t>TMC and its subsidiaries, NORI and TOML, are supporting a range of educational and community-led initiatives in the Republic of Nauru and the Kingdom of Tonga. Some of the highlights from 2022 are shared below.</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Educational Programs</w:t>
      </w:r>
    </w:p>
    <w:p>
      <w:pPr>
        <w:spacing w:after="0" w:line="186" w:lineRule="exact"/>
        <w:rPr>
          <w:sz w:val="20"/>
          <w:szCs w:val="20"/>
          <w:color w:val="auto"/>
        </w:rPr>
      </w:pPr>
    </w:p>
    <w:p>
      <w:pPr>
        <w:ind w:left="580" w:right="4920"/>
        <w:spacing w:after="0" w:line="321" w:lineRule="auto"/>
        <w:rPr>
          <w:sz w:val="20"/>
          <w:szCs w:val="20"/>
          <w:color w:val="auto"/>
        </w:rPr>
      </w:pPr>
      <w:r>
        <w:rPr>
          <w:rFonts w:ascii="Arial" w:cs="Arial" w:eastAsia="Arial" w:hAnsi="Arial"/>
          <w:sz w:val="17"/>
          <w:szCs w:val="17"/>
          <w:color w:val="auto"/>
        </w:rPr>
        <w:t>In 2022, NORI supported the studies of Ana Rose Ribauw and LCK Aroi through two scholarships at the University of the South Pacific’s (USP) Laucala Campus in Suva, Fiji. As part of its ISA contractor obligations, NORI supported Ometa Tauro (BSc in Marine Science, Kiribati) and Sera Lewanuya (Master’s in Marine Management, Fiji) in their studies at USP, and also provided two offshore traineeships, with both Jameal Magno (Philippines) and Bhine Amatari (Nigeria) taking part in the recent integrated nodule collection system trials in the Pacific.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-1635125</wp:posOffset>
            </wp:positionV>
            <wp:extent cx="2898775" cy="1545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2898775" cy="1545590"/>
                    </a:xfrm>
                    <a:prstGeom prst="rect">
                      <a:avLst/>
                    </a:prstGeom>
                    <a:noFill/>
                  </pic:spPr>
                </pic:pic>
              </a:graphicData>
            </a:graphic>
          </wp:anchor>
        </w:drawing>
      </w:r>
    </w:p>
    <w:p>
      <w:pPr>
        <w:spacing w:after="0" w:line="98" w:lineRule="exact"/>
        <w:rPr>
          <w:sz w:val="20"/>
          <w:szCs w:val="20"/>
          <w:color w:val="auto"/>
        </w:rPr>
      </w:pPr>
    </w:p>
    <w:p>
      <w:pPr>
        <w:ind w:left="580"/>
        <w:spacing w:after="0" w:line="325" w:lineRule="auto"/>
        <w:rPr>
          <w:sz w:val="20"/>
          <w:szCs w:val="20"/>
          <w:color w:val="auto"/>
        </w:rPr>
      </w:pPr>
      <w:r>
        <w:rPr>
          <w:rFonts w:ascii="Arial" w:cs="Arial" w:eastAsia="Arial" w:hAnsi="Arial"/>
          <w:sz w:val="17"/>
          <w:szCs w:val="17"/>
          <w:color w:val="auto"/>
        </w:rPr>
        <w:t>In Tonga, TOML supported Sione Manu Taumoepeau, Penisimani Vete and Ana B Louis Vi with scholarships to pursue undergraduate degrees at USP’s Fiji Campus. TOML also supported Olivia Tupou Ta’anea Tu’i’onetoa, Leona Funganitao, Ou-John Kamisese, Falesia Mahe and Akesa Vaka’uta through post-secondary scholarships with a focus on science. As part of its ISA contractor obligations, TOML also provided two offshore training opportunities for Paola Andrea Quintero (Colombia) and Mostafa Monwar, who joined the recent campaign to monitor the environmental impacts of the integrated system trials.</w:t>
      </w:r>
    </w:p>
    <w:p>
      <w:pPr>
        <w:spacing w:after="0" w:line="109" w:lineRule="exact"/>
        <w:rPr>
          <w:sz w:val="20"/>
          <w:szCs w:val="20"/>
          <w:color w:val="auto"/>
        </w:rPr>
      </w:pPr>
    </w:p>
    <w:p>
      <w:pPr>
        <w:ind w:left="580" w:right="200"/>
        <w:spacing w:after="0" w:line="311" w:lineRule="auto"/>
        <w:rPr>
          <w:sz w:val="20"/>
          <w:szCs w:val="20"/>
          <w:color w:val="auto"/>
        </w:rPr>
      </w:pPr>
      <w:r>
        <w:rPr>
          <w:rFonts w:ascii="Arial" w:cs="Arial" w:eastAsia="Arial" w:hAnsi="Arial"/>
          <w:sz w:val="18"/>
          <w:szCs w:val="18"/>
          <w:color w:val="auto"/>
        </w:rPr>
        <w:t>In addition, as the engaged contractor for Marawa, we were pleased to support Lineth Kimolo of the Solomon Islands in her pursuit of a BA in Marine Management at USP.</w:t>
      </w:r>
    </w:p>
    <w:p>
      <w:pPr>
        <w:sectPr>
          <w:pgSz w:w="12240" w:h="15840" w:orient="portrait"/>
          <w:cols w:equalWidth="0" w:num="1">
            <w:col w:w="10100"/>
          </w:cols>
          <w:pgMar w:left="1440" w:top="737" w:right="700" w:bottom="123" w:gutter="0" w:footer="0" w:header="0"/>
        </w:sectPr>
      </w:pP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F3D304"/>
        </w:rPr>
        <w:t>TOML Fish Market Project</w:t>
      </w:r>
    </w:p>
    <w:p>
      <w:pPr>
        <w:spacing w:after="0" w:line="186" w:lineRule="exact"/>
        <w:rPr>
          <w:sz w:val="20"/>
          <w:szCs w:val="20"/>
          <w:color w:val="auto"/>
        </w:rPr>
      </w:pPr>
    </w:p>
    <w:p>
      <w:pPr>
        <w:ind w:left="580"/>
        <w:spacing w:after="0" w:line="323" w:lineRule="auto"/>
        <w:rPr>
          <w:sz w:val="20"/>
          <w:szCs w:val="20"/>
          <w:color w:val="auto"/>
        </w:rPr>
      </w:pPr>
      <w:r>
        <w:rPr>
          <w:rFonts w:ascii="Arial" w:cs="Arial" w:eastAsia="Arial" w:hAnsi="Arial"/>
          <w:sz w:val="17"/>
          <w:szCs w:val="17"/>
          <w:color w:val="auto"/>
        </w:rPr>
        <w:t>The community along the waterfront in Kolomotuá and Sopu ó Taufaáhau in Tonga is heavily reliant upon fishing for its income and livelihoods but the volcanic eruption and tsunami in January devastated the coastline and destroyed its only fish market. As part of our 2022 Community Assistance Program, TOML was pleased to support its reconstruction so that families can sell their catch.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81915</wp:posOffset>
            </wp:positionV>
            <wp:extent cx="2907665" cy="1370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2907665" cy="1370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F3D304"/>
        </w:rPr>
        <w:t>NORI Breadfruit project</w:t>
      </w:r>
    </w:p>
    <w:p>
      <w:pPr>
        <w:spacing w:after="0" w:line="186" w:lineRule="exact"/>
        <w:rPr>
          <w:sz w:val="20"/>
          <w:szCs w:val="20"/>
          <w:color w:val="auto"/>
        </w:rPr>
      </w:pPr>
    </w:p>
    <w:p>
      <w:pPr>
        <w:ind w:left="580" w:right="260"/>
        <w:spacing w:after="0" w:line="343" w:lineRule="auto"/>
        <w:rPr>
          <w:sz w:val="20"/>
          <w:szCs w:val="20"/>
          <w:color w:val="auto"/>
        </w:rPr>
      </w:pPr>
      <w:r>
        <w:rPr>
          <w:rFonts w:ascii="Arial" w:cs="Arial" w:eastAsia="Arial" w:hAnsi="Arial"/>
          <w:sz w:val="17"/>
          <w:szCs w:val="17"/>
          <w:color w:val="auto"/>
        </w:rPr>
        <w:t>In September, 150 breadfruit saplings arrived at the port of Nauru aboard the Micronesian Pride from Suva, Fiji.</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302" w:lineRule="auto"/>
        <w:rPr>
          <w:sz w:val="20"/>
          <w:szCs w:val="20"/>
          <w:color w:val="auto"/>
        </w:rPr>
      </w:pPr>
      <w:r>
        <w:rPr>
          <w:rFonts w:ascii="Arial" w:cs="Arial" w:eastAsia="Arial" w:hAnsi="Arial"/>
          <w:sz w:val="18"/>
          <w:szCs w:val="18"/>
          <w:color w:val="auto"/>
        </w:rPr>
        <w:t>The saplings were provided by the Pacific Community Secretariat’s (SPC) Centre for Pacific Crops and Trees (CePaCT), which cultivated the saplings. NORI has engaged SPC to provide a total of 1,000 saplings as part of its efforts to strengthen food security on Nauru and is partnering with the Nauru Farmers and Growers Association to implement the project. Many thanks to Nauru Shipping Line, Nauru Port and Nauru Quarantine for their support in bringing the plants to Nauru.</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F3D304"/>
        </w:rPr>
        <w:t>Farewell, Cadinia – Welcome, Fuka</w:t>
      </w:r>
    </w:p>
    <w:p>
      <w:pPr>
        <w:spacing w:after="0" w:line="186" w:lineRule="exact"/>
        <w:rPr>
          <w:sz w:val="20"/>
          <w:szCs w:val="20"/>
          <w:color w:val="auto"/>
        </w:rPr>
      </w:pPr>
    </w:p>
    <w:p>
      <w:pPr>
        <w:ind w:right="20"/>
        <w:spacing w:after="0" w:line="321" w:lineRule="auto"/>
        <w:rPr>
          <w:sz w:val="20"/>
          <w:szCs w:val="20"/>
          <w:color w:val="auto"/>
        </w:rPr>
      </w:pPr>
      <w:r>
        <w:rPr>
          <w:rFonts w:ascii="Arial" w:cs="Arial" w:eastAsia="Arial" w:hAnsi="Arial"/>
          <w:sz w:val="17"/>
          <w:szCs w:val="17"/>
          <w:color w:val="auto"/>
        </w:rPr>
        <w:t>In July, we announced that TOML Country Manager Cadinia Funganitao had been accepted into the University of Melbourne to pursue a Master’s in Environmental Law. Cadinia had an incredible impact upon the direction and implementation of the diverse community and educational initiatives that TOML supports. In her place, we were pleased to welcome Fuka Kitekei’aho as TOML’s new Country Manager. Fuka brings extensive experience working in both the public and private sectors in the Kingdom of Tonga and the Pacific and has participated in prior offshore survey campaigns for polymetallic nodules.</w:t>
      </w:r>
    </w:p>
    <w:p>
      <w:pPr>
        <w:sectPr>
          <w:pgSz w:w="12240" w:h="15840" w:orient="portrait"/>
          <w:cols w:equalWidth="0" w:num="2">
            <w:col w:w="5060" w:space="460"/>
            <w:col w:w="4580"/>
          </w:cols>
          <w:pgMar w:left="1440" w:top="737" w:right="700" w:bottom="123"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7766050" cy="10058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extLst>
                    </a:blip>
                    <a:srcRect/>
                    <a:stretch>
                      <a:fillRect/>
                    </a:stretch>
                  </pic:blipFill>
                  <pic:spPr bwMode="auto">
                    <a:xfrm>
                      <a:off x="0" y="0"/>
                      <a:ext cx="776605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40"/>
          <w:szCs w:val="40"/>
          <w:color w:val="F3D304"/>
        </w:rPr>
        <w:t>News &amp; Reports</w:t>
      </w:r>
    </w:p>
    <w:p>
      <w:pPr>
        <w:spacing w:after="0" w:line="122" w:lineRule="exact"/>
        <w:rPr>
          <w:sz w:val="20"/>
          <w:szCs w:val="20"/>
          <w:color w:val="auto"/>
        </w:rPr>
      </w:pPr>
    </w:p>
    <w:p>
      <w:pPr>
        <w:ind w:left="600" w:right="20"/>
        <w:spacing w:after="0" w:line="311" w:lineRule="auto"/>
        <w:rPr>
          <w:sz w:val="20"/>
          <w:szCs w:val="20"/>
          <w:color w:val="auto"/>
        </w:rPr>
      </w:pPr>
      <w:r>
        <w:rPr>
          <w:rFonts w:ascii="Arial" w:cs="Arial" w:eastAsia="Arial" w:hAnsi="Arial"/>
          <w:sz w:val="18"/>
          <w:szCs w:val="18"/>
          <w:color w:val="auto"/>
        </w:rPr>
        <w:t>Nauru Ambassador to UN/ISA on Nauru’s Sponsorship of Nodule Exploration</w:t>
      </w:r>
    </w:p>
    <w:p>
      <w:pPr>
        <w:spacing w:after="0" w:line="117" w:lineRule="exact"/>
        <w:rPr>
          <w:sz w:val="20"/>
          <w:szCs w:val="20"/>
          <w:color w:val="auto"/>
        </w:rPr>
      </w:pPr>
    </w:p>
    <w:p>
      <w:pPr>
        <w:ind w:left="600" w:right="140"/>
        <w:spacing w:after="0" w:line="324" w:lineRule="auto"/>
        <w:rPr>
          <w:sz w:val="20"/>
          <w:szCs w:val="20"/>
          <w:color w:val="auto"/>
        </w:rPr>
      </w:pPr>
      <w:r>
        <w:rPr>
          <w:rFonts w:ascii="Arial" w:cs="Arial" w:eastAsia="Arial" w:hAnsi="Arial"/>
          <w:sz w:val="17"/>
          <w:szCs w:val="17"/>
          <w:color w:val="auto"/>
        </w:rPr>
        <w:t>Writing in a December op-ed in the Independent, Nauru’s Permanent Representative to the United Nations and the International Seabed Authority, Ambassador Margo Deiye spoke to the opportunities presented by the development of responsible regulations to govern mineral exploitation in the high seas.</w:t>
      </w:r>
    </w:p>
    <w:p>
      <w:pPr>
        <w:spacing w:after="0" w:line="109" w:lineRule="exact"/>
        <w:rPr>
          <w:sz w:val="20"/>
          <w:szCs w:val="20"/>
          <w:color w:val="auto"/>
        </w:rPr>
      </w:pPr>
    </w:p>
    <w:p>
      <w:pPr>
        <w:ind w:left="600"/>
        <w:spacing w:after="0" w:line="325" w:lineRule="auto"/>
        <w:rPr>
          <w:sz w:val="20"/>
          <w:szCs w:val="20"/>
          <w:color w:val="auto"/>
        </w:rPr>
      </w:pPr>
      <w:r>
        <w:rPr>
          <w:rFonts w:ascii="Arial" w:cs="Arial" w:eastAsia="Arial" w:hAnsi="Arial"/>
          <w:sz w:val="17"/>
          <w:szCs w:val="17"/>
          <w:color w:val="auto"/>
        </w:rPr>
        <w:t>“For a century, Nauru was targeted as a rich source of phosphate. Thanks to heavy mining by the colonial powers, 80% of our land has been rendered uninhabitable. As a result, we don’t have access to resources and to territory that could support our own socio-economic development.</w:t>
      </w:r>
    </w:p>
    <w:p>
      <w:pPr>
        <w:spacing w:after="0" w:line="109" w:lineRule="exact"/>
        <w:rPr>
          <w:sz w:val="20"/>
          <w:szCs w:val="20"/>
          <w:color w:val="auto"/>
        </w:rPr>
      </w:pPr>
    </w:p>
    <w:p>
      <w:pPr>
        <w:ind w:left="600" w:right="300"/>
        <w:spacing w:after="0" w:line="303" w:lineRule="auto"/>
        <w:rPr>
          <w:sz w:val="20"/>
          <w:szCs w:val="20"/>
          <w:color w:val="auto"/>
        </w:rPr>
      </w:pPr>
      <w:r>
        <w:rPr>
          <w:rFonts w:ascii="Arial" w:cs="Arial" w:eastAsia="Arial" w:hAnsi="Arial"/>
          <w:sz w:val="18"/>
          <w:szCs w:val="18"/>
          <w:color w:val="auto"/>
        </w:rPr>
        <w:t>We’re not sitting back, waiting for the rich world to fix what they created. Nauru is an active member of the global community, believing strongly that global solutions can be found to global problems such as climate change, fully committed to delivery of the United Nations’ Sustainable Development Goals.”</w:t>
      </w:r>
    </w:p>
    <w:p>
      <w:pPr>
        <w:spacing w:after="0" w:line="125" w:lineRule="exact"/>
        <w:rPr>
          <w:sz w:val="20"/>
          <w:szCs w:val="20"/>
          <w:color w:val="auto"/>
        </w:rPr>
      </w:pPr>
    </w:p>
    <w:p>
      <w:pPr>
        <w:ind w:left="600" w:right="20"/>
        <w:spacing w:after="0" w:line="327" w:lineRule="auto"/>
        <w:rPr>
          <w:sz w:val="20"/>
          <w:szCs w:val="20"/>
          <w:color w:val="auto"/>
        </w:rPr>
      </w:pPr>
      <w:r>
        <w:rPr>
          <w:rFonts w:ascii="Arial" w:cs="Arial" w:eastAsia="Arial" w:hAnsi="Arial"/>
          <w:sz w:val="17"/>
          <w:szCs w:val="17"/>
          <w:color w:val="auto"/>
        </w:rPr>
        <w:t>Ambassador Deiye added, “Polymetallic nodules can provide the alternative energy source we require for an abundant, scalable alternative that could prevent a low-carbon future being held to ransom by a handful of actors.”</w:t>
      </w:r>
    </w:p>
    <w:p>
      <w:pPr>
        <w:spacing w:after="0" w:line="20" w:lineRule="exact"/>
        <w:rPr>
          <w:sz w:val="20"/>
          <w:szCs w:val="20"/>
          <w:color w:val="auto"/>
        </w:rPr>
      </w:pPr>
      <w:r>
        <w:rPr>
          <w:sz w:val="20"/>
          <w:szCs w:val="20"/>
          <w:color w:val="auto"/>
        </w:rPr>
        <w:br w:type="column"/>
      </w:r>
    </w:p>
    <w:p>
      <w:pPr>
        <w:jc w:val="right"/>
        <w:spacing w:after="0"/>
        <w:tabs>
          <w:tab w:leader="none" w:pos="80" w:val="left"/>
        </w:tabs>
        <w:rPr>
          <w:sz w:val="20"/>
          <w:szCs w:val="20"/>
          <w:color w:val="auto"/>
        </w:rPr>
      </w:pPr>
      <w:r>
        <w:rPr>
          <w:rFonts w:ascii="Arial" w:cs="Arial" w:eastAsia="Arial" w:hAnsi="Arial"/>
          <w:sz w:val="16"/>
          <w:szCs w:val="16"/>
          <w:color w:val="A29E9D"/>
        </w:rPr>
        <w:t>TMC Annual Report</w:t>
      </w:r>
      <w:r>
        <w:rPr>
          <w:sz w:val="20"/>
          <w:szCs w:val="20"/>
          <w:color w:val="auto"/>
        </w:rPr>
        <w:tab/>
      </w:r>
      <w:r>
        <w:rPr>
          <w:rFonts w:ascii="Arial" w:cs="Arial" w:eastAsia="Arial" w:hAnsi="Arial"/>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420"/>
        <w:spacing w:after="0" w:line="311" w:lineRule="auto"/>
        <w:rPr>
          <w:sz w:val="20"/>
          <w:szCs w:val="20"/>
          <w:color w:val="auto"/>
        </w:rPr>
      </w:pPr>
      <w:r>
        <w:rPr>
          <w:rFonts w:ascii="Arial" w:cs="Arial" w:eastAsia="Arial" w:hAnsi="Arial"/>
          <w:sz w:val="18"/>
          <w:szCs w:val="18"/>
          <w:color w:val="auto"/>
        </w:rPr>
        <w:t>Letter from Sen. Lisa Murkowski to Energy Secretary Granholm on Nodules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a letter to the U.S. Department of Energy (DOE), Senator Lisa Murkowski (R – AK), a thought leader on energy and critical minerals issues in the U.S. Senate, urged Energy Secretary Jennifer Granholm to focus on securing access to battery raw materials and explore the potential of polymetallic nodules in the CCZ. In response to the letter, Secretary Granholm stated that the impact of collecting nodules should be compared on a level playing field to metal from onshore extraction ... something we have been advocating for some time. Secretary Granholm also noted that the DOE is working with interagency partners to consider ALL potential sources of critical minerals, including polymetallic nodules.</w:t>
      </w:r>
    </w:p>
    <w:p>
      <w:pPr>
        <w:spacing w:after="0" w:line="106" w:lineRule="exact"/>
        <w:rPr>
          <w:sz w:val="20"/>
          <w:szCs w:val="20"/>
          <w:color w:val="auto"/>
        </w:rPr>
      </w:pPr>
    </w:p>
    <w:p>
      <w:pPr>
        <w:ind w:right="40"/>
        <w:spacing w:after="0" w:line="304" w:lineRule="auto"/>
        <w:rPr>
          <w:sz w:val="20"/>
          <w:szCs w:val="20"/>
          <w:color w:val="auto"/>
        </w:rPr>
      </w:pPr>
      <w:r>
        <w:rPr>
          <w:rFonts w:ascii="Arial" w:cs="Arial" w:eastAsia="Arial" w:hAnsi="Arial"/>
          <w:sz w:val="18"/>
          <w:szCs w:val="18"/>
          <w:color w:val="auto"/>
        </w:rPr>
        <w:t>The Metals Company Welcomes Growing Recognition from Military Leaders of Deep-sea Nodules’ Potential to Strengthen National Security and Reshore Supply Chains for the Clean Energy Transition</w:t>
      </w:r>
    </w:p>
    <w:p>
      <w:pPr>
        <w:spacing w:after="0" w:line="124" w:lineRule="exact"/>
        <w:rPr>
          <w:sz w:val="20"/>
          <w:szCs w:val="20"/>
          <w:color w:val="auto"/>
        </w:rPr>
      </w:pPr>
    </w:p>
    <w:p>
      <w:pPr>
        <w:ind w:right="40"/>
        <w:spacing w:after="0" w:line="302" w:lineRule="auto"/>
        <w:rPr>
          <w:sz w:val="20"/>
          <w:szCs w:val="20"/>
          <w:color w:val="auto"/>
        </w:rPr>
      </w:pPr>
      <w:r>
        <w:rPr>
          <w:rFonts w:ascii="Arial" w:cs="Arial" w:eastAsia="Arial" w:hAnsi="Arial"/>
          <w:sz w:val="18"/>
          <w:szCs w:val="18"/>
          <w:color w:val="auto"/>
        </w:rPr>
        <w:t>In a letter delivered to the U.S. Department of Defense (DoD), 17 retired generals, admirals and officers across four U.S. military branches warned in February that decades of failure to address domestic critical mineral reserves and processing capacity leave the U.S. extremely vulnerable to supply chain shocks, and called upon the DoD to consider the responsible development of the vast polymetallic nodule resource in the CCZ.</w:t>
      </w:r>
    </w:p>
    <w:p>
      <w:pPr>
        <w:sectPr>
          <w:pgSz w:w="12240" w:h="15840" w:orient="portrait"/>
          <w:cols w:equalWidth="0" w:num="2">
            <w:col w:w="5160" w:space="360"/>
            <w:col w:w="4580"/>
          </w:cols>
          <w:pgMar w:left="1440" w:top="737" w:right="700" w:bottom="693" w:gutter="0" w:footer="0" w:header="0"/>
        </w:sectPr>
      </w:pPr>
    </w:p>
    <w:bookmarkStart w:id="7" w:name="page8"/>
    <w:bookmarkEnd w:id="7"/>
    <w:p>
      <w:pPr>
        <w:ind w:left="8280"/>
        <w:spacing w:after="0"/>
        <w:tabs>
          <w:tab w:leader="none" w:pos="9980" w:val="left"/>
        </w:tabs>
        <w:rPr>
          <w:sz w:val="20"/>
          <w:szCs w:val="20"/>
          <w:color w:val="auto"/>
        </w:rPr>
      </w:pPr>
      <w:r>
        <w:rPr>
          <w:rFonts w:ascii="Arial" w:cs="Arial" w:eastAsia="Arial" w:hAnsi="Arial"/>
          <w:sz w:val="16"/>
          <w:szCs w:val="16"/>
          <w:color w:val="A29E9D"/>
        </w:rPr>
        <w:drawing>
          <wp:anchor simplePos="0" relativeHeight="251657728" behindDoc="1" locked="0" layoutInCell="0" allowOverlap="1">
            <wp:simplePos x="0" y="0"/>
            <wp:positionH relativeFrom="page">
              <wp:posOffset>3175</wp:posOffset>
            </wp:positionH>
            <wp:positionV relativeFrom="page">
              <wp:posOffset>0</wp:posOffset>
            </wp:positionV>
            <wp:extent cx="7766050" cy="10058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extLst>
                    </a:blip>
                    <a:srcRect/>
                    <a:stretch>
                      <a:fillRect/>
                    </a:stretch>
                  </pic:blipFill>
                  <pic:spPr bwMode="auto">
                    <a:xfrm>
                      <a:off x="0" y="0"/>
                      <a:ext cx="7766050" cy="10058400"/>
                    </a:xfrm>
                    <a:prstGeom prst="rect">
                      <a:avLst/>
                    </a:prstGeom>
                    <a:noFill/>
                  </pic:spPr>
                </pic:pic>
              </a:graphicData>
            </a:graphic>
          </wp:anchor>
        </w:drawing>
        <w:t>TMC Annual Report</w:t>
      </w:r>
      <w:r>
        <w:rPr>
          <w:sz w:val="20"/>
          <w:szCs w:val="20"/>
          <w:color w:val="auto"/>
        </w:rPr>
        <w:tab/>
      </w:r>
      <w:r>
        <w:rPr>
          <w:rFonts w:ascii="Arial" w:cs="Arial" w:eastAsia="Arial" w:hAnsi="Arial"/>
          <w:sz w:val="16"/>
          <w:szCs w:val="16"/>
          <w:color w:val="auto"/>
        </w:rPr>
        <w:t>8</w:t>
      </w:r>
    </w:p>
    <w:p>
      <w:pPr>
        <w:sectPr>
          <w:pgSz w:w="12240" w:h="15840" w:orient="portrait"/>
          <w:cols w:equalWidth="0" w:num="1">
            <w:col w:w="10100"/>
          </w:cols>
          <w:pgMar w:left="1440" w:top="737" w:right="7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0" w:right="380"/>
        <w:spacing w:after="0" w:line="311" w:lineRule="auto"/>
        <w:rPr>
          <w:sz w:val="20"/>
          <w:szCs w:val="20"/>
          <w:color w:val="auto"/>
        </w:rPr>
      </w:pPr>
      <w:r>
        <w:rPr>
          <w:rFonts w:ascii="Arial" w:cs="Arial" w:eastAsia="Arial" w:hAnsi="Arial"/>
          <w:sz w:val="18"/>
          <w:szCs w:val="18"/>
          <w:color w:val="auto"/>
        </w:rPr>
        <w:t>NORI and TOML Ranked as the World’s Two Largest Nickel Projects</w:t>
      </w:r>
    </w:p>
    <w:p>
      <w:pPr>
        <w:spacing w:after="0" w:line="117" w:lineRule="exact"/>
        <w:rPr>
          <w:sz w:val="20"/>
          <w:szCs w:val="20"/>
          <w:color w:val="auto"/>
        </w:rPr>
      </w:pPr>
    </w:p>
    <w:p>
      <w:pPr>
        <w:ind w:left="580" w:right="80"/>
        <w:spacing w:after="0" w:line="304" w:lineRule="auto"/>
        <w:rPr>
          <w:sz w:val="20"/>
          <w:szCs w:val="20"/>
          <w:color w:val="auto"/>
        </w:rPr>
      </w:pPr>
      <w:r>
        <w:rPr>
          <w:rFonts w:ascii="Arial" w:cs="Arial" w:eastAsia="Arial" w:hAnsi="Arial"/>
          <w:sz w:val="18"/>
          <w:szCs w:val="18"/>
          <w:color w:val="auto"/>
        </w:rPr>
        <w:t>In March 2022, Mining.com ranked the NORI and TOML projects as the world’s two largest nickel projects, with more contained nickel than any other nickel development project on the planet.</w:t>
      </w:r>
    </w:p>
    <w:p>
      <w:pPr>
        <w:spacing w:after="0" w:line="124" w:lineRule="exact"/>
        <w:rPr>
          <w:sz w:val="20"/>
          <w:szCs w:val="20"/>
          <w:color w:val="auto"/>
        </w:rPr>
      </w:pPr>
    </w:p>
    <w:p>
      <w:pPr>
        <w:ind w:left="580" w:right="80"/>
        <w:spacing w:after="0" w:line="343" w:lineRule="auto"/>
        <w:rPr>
          <w:sz w:val="20"/>
          <w:szCs w:val="20"/>
          <w:color w:val="auto"/>
        </w:rPr>
      </w:pPr>
      <w:r>
        <w:rPr>
          <w:rFonts w:ascii="Arial" w:cs="Arial" w:eastAsia="Arial" w:hAnsi="Arial"/>
          <w:sz w:val="17"/>
          <w:szCs w:val="17"/>
          <w:color w:val="auto"/>
        </w:rPr>
        <w:t>New MIT/Scripps Plume Study Finds 92-98% of Seafloor Plume Remains Less Than 2 m Above Seafloor</w:t>
      </w:r>
    </w:p>
    <w:p>
      <w:pPr>
        <w:spacing w:after="0" w:line="94" w:lineRule="exact"/>
        <w:rPr>
          <w:sz w:val="20"/>
          <w:szCs w:val="20"/>
          <w:color w:val="auto"/>
        </w:rPr>
      </w:pPr>
    </w:p>
    <w:p>
      <w:pPr>
        <w:ind w:left="580"/>
        <w:spacing w:after="0" w:line="343" w:lineRule="auto"/>
        <w:rPr>
          <w:sz w:val="20"/>
          <w:szCs w:val="20"/>
          <w:color w:val="auto"/>
        </w:rPr>
      </w:pPr>
      <w:r>
        <w:rPr>
          <w:rFonts w:ascii="Arial" w:cs="Arial" w:eastAsia="Arial" w:hAnsi="Arial"/>
          <w:sz w:val="16"/>
          <w:szCs w:val="16"/>
          <w:color w:val="auto"/>
        </w:rPr>
        <w:t>Managing the impacts of sediment plumes is a key concern for contractors looking to collect polymetallic nodules from the seafloor at depths of 4 km. This month saw the publication of a new peer-reviewed study by researchers at MIT and Scripps Institute of Oceanography, based upon actual field trials by fellow contractor GSR. The study found that, on flat terrain, 92 to 98% of sediment was deposited locally and remained in suspension below 2 m. As stated by the study’s co-author, Tom Peacock, professor of mechanical engineering at MIT, “It’s quite a different picture of what these plumes look like, compared to some of the conjecture.”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720"/>
        <w:spacing w:after="0" w:line="311" w:lineRule="auto"/>
        <w:rPr>
          <w:sz w:val="20"/>
          <w:szCs w:val="20"/>
          <w:color w:val="auto"/>
        </w:rPr>
      </w:pPr>
      <w:r>
        <w:rPr>
          <w:rFonts w:ascii="Arial" w:cs="Arial" w:eastAsia="Arial" w:hAnsi="Arial"/>
          <w:sz w:val="18"/>
          <w:szCs w:val="18"/>
          <w:color w:val="auto"/>
        </w:rPr>
        <w:t>Could Deep-sea Mining Rescue the Future of the Renewable Transition?</w:t>
      </w:r>
    </w:p>
    <w:p>
      <w:pPr>
        <w:spacing w:after="0" w:line="117"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In an article in Forbes, Decio Nascimento noted how seafloor nodules could offer an interesting alternative source of metals that could materially change the supply outlook for critical battery metals in light of the growing headwinds facing the expansion of mining on land.</w:t>
      </w:r>
    </w:p>
    <w:p>
      <w:pPr>
        <w:spacing w:after="0" w:line="126"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color w:val="auto"/>
        </w:rPr>
        <w:t>“The unprecedented demand for green-transition minerals meets a supply picture that is very constrained and will generate prohibitive costs to the energy transition ... Deep-sea mining offers a very interesting alternative to this problem.”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TMC Gets Approval for Pilot Deep-sea Mining Project</w:t>
      </w:r>
    </w:p>
    <w:p>
      <w:pPr>
        <w:spacing w:after="0" w:line="186" w:lineRule="exact"/>
        <w:rPr>
          <w:sz w:val="20"/>
          <w:szCs w:val="20"/>
          <w:color w:val="auto"/>
        </w:rPr>
      </w:pPr>
    </w:p>
    <w:p>
      <w:pPr>
        <w:ind w:right="60"/>
        <w:spacing w:after="0" w:line="327" w:lineRule="auto"/>
        <w:rPr>
          <w:sz w:val="20"/>
          <w:szCs w:val="20"/>
          <w:color w:val="auto"/>
        </w:rPr>
      </w:pPr>
      <w:r>
        <w:rPr>
          <w:rFonts w:ascii="Arial" w:cs="Arial" w:eastAsia="Arial" w:hAnsi="Arial"/>
          <w:sz w:val="17"/>
          <w:szCs w:val="17"/>
          <w:color w:val="auto"/>
        </w:rPr>
        <w:t>Writing in the Wall Street Journal in September, Yusuf Khan noted that our subsidiary NORI had received permission from the International Seabed Authority to commence its pilot nodule collection system trials in the CCZ.</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ABC – Lit: America’s Future</w:t>
      </w:r>
    </w:p>
    <w:p>
      <w:pPr>
        <w:spacing w:after="0" w:line="186" w:lineRule="exact"/>
        <w:rPr>
          <w:sz w:val="20"/>
          <w:szCs w:val="20"/>
          <w:color w:val="auto"/>
        </w:rPr>
      </w:pPr>
    </w:p>
    <w:p>
      <w:pPr>
        <w:ind w:right="60"/>
        <w:spacing w:after="0" w:line="349" w:lineRule="auto"/>
        <w:rPr>
          <w:sz w:val="20"/>
          <w:szCs w:val="20"/>
          <w:color w:val="auto"/>
        </w:rPr>
      </w:pPr>
      <w:r>
        <w:rPr>
          <w:rFonts w:ascii="Arial" w:cs="Arial" w:eastAsia="Arial" w:hAnsi="Arial"/>
          <w:sz w:val="16"/>
          <w:szCs w:val="16"/>
          <w:color w:val="auto"/>
        </w:rPr>
        <w:t>In a 2022 documentary, ABC Chief Meteorologist Ginger Zee investigated some of the projects underway that are aiming to help establish a domestic battery metal supply chain in the United States, devoting the largest segment to TMC’s efforts to responsible source metals from seafloor nodules.</w:t>
      </w:r>
    </w:p>
    <w:p>
      <w:pPr>
        <w:sectPr>
          <w:pgSz w:w="12240" w:h="15840" w:orient="portrait"/>
          <w:cols w:equalWidth="0" w:num="2">
            <w:col w:w="5100" w:space="420"/>
            <w:col w:w="4580"/>
          </w:cols>
          <w:pgMar w:left="1440" w:top="737" w:right="700"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840105</wp:posOffset>
                </wp:positionH>
                <wp:positionV relativeFrom="page">
                  <wp:posOffset>1169035</wp:posOffset>
                </wp:positionV>
                <wp:extent cx="611060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32931">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6.15pt,92.05pt" to="547.3pt,92.05pt" o:allowincell="f" strokecolor="#000000" strokeweight="2.593pt">
                <w10:wrap anchorx="page" anchory="page"/>
              </v:line>
            </w:pict>
          </mc:Fallback>
        </mc:AlternateContent>
        <mc:AlternateContent>
          <mc:Choice Requires="wps">
            <w:drawing>
              <wp:anchor simplePos="0" relativeHeight="251657728" behindDoc="1" locked="0" layoutInCell="0" allowOverlap="1">
                <wp:simplePos x="0" y="0"/>
                <wp:positionH relativeFrom="page">
                  <wp:posOffset>840105</wp:posOffset>
                </wp:positionH>
                <wp:positionV relativeFrom="page">
                  <wp:posOffset>1222375</wp:posOffset>
                </wp:positionV>
                <wp:extent cx="611060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6.15pt,96.25pt" to="547.3pt,96.25pt" o:allowincell="f" strokecolor="#000000" strokeweight="0.648pt">
                <w10:wrap anchorx="page" anchory="page"/>
              </v:line>
            </w:pict>
          </mc:Fallback>
        </mc:AlternateContent>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extLst>
                    </a:blip>
                    <a:srcRect/>
                    <a:stretch>
                      <a:fillRect/>
                    </a:stretch>
                  </pic:blipFill>
                  <pic:spPr bwMode="auto">
                    <a:xfrm>
                      <a:off x="0" y="0"/>
                      <a:ext cx="5080" cy="13970"/>
                    </a:xfrm>
                    <a:prstGeom prst="rect">
                      <a:avLst/>
                    </a:prstGeom>
                    <a:noFill/>
                  </pic:spPr>
                </pic:pic>
              </a:graphicData>
            </a:graphic>
          </wp:anchor>
        </w:drawing>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61" w:lineRule="exact"/>
        <w:rPr>
          <w:sz w:val="20"/>
          <w:szCs w:val="20"/>
          <w:color w:val="auto"/>
        </w:rPr>
      </w:pPr>
    </w:p>
    <w:p>
      <w:pPr>
        <w:ind w:left="3720" w:right="2560" w:hanging="3711"/>
        <w:spacing w:after="0" w:line="306" w:lineRule="auto"/>
        <w:tabs>
          <w:tab w:leader="none" w:pos="312" w:val="left"/>
        </w:tabs>
        <w:numPr>
          <w:ilvl w:val="0"/>
          <w:numId w:val="1"/>
        </w:numPr>
        <w:rPr>
          <w:rFonts w:ascii="Segoe UI Symbol" w:cs="Segoe UI Symbol" w:eastAsia="Segoe UI Symbol" w:hAnsi="Segoe UI Symbol"/>
          <w:sz w:val="14"/>
          <w:szCs w:val="14"/>
          <w:color w:val="auto"/>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w:t>
      </w:r>
      <w:r>
        <w:rPr>
          <w:rFonts w:ascii="Times New Roman" w:cs="Times New Roman" w:eastAsia="Times New Roman" w:hAnsi="Times New Roman"/>
          <w:sz w:val="14"/>
          <w:szCs w:val="14"/>
          <w:color w:val="auto"/>
        </w:rPr>
        <w:t>For the fiscal year ended December 31, 2022</w:t>
      </w:r>
    </w:p>
    <w:p>
      <w:pPr>
        <w:ind w:left="4760"/>
        <w:spacing w:after="0"/>
        <w:rPr>
          <w:rFonts w:ascii="Segoe UI Symbol" w:cs="Segoe UI Symbol" w:eastAsia="Segoe UI Symbol" w:hAnsi="Segoe UI Symbol"/>
          <w:sz w:val="14"/>
          <w:szCs w:val="14"/>
          <w:color w:val="auto"/>
        </w:rPr>
      </w:pPr>
      <w:r>
        <w:rPr>
          <w:rFonts w:ascii="Times New Roman" w:cs="Times New Roman" w:eastAsia="Times New Roman" w:hAnsi="Times New Roman"/>
          <w:sz w:val="14"/>
          <w:szCs w:val="14"/>
          <w:color w:val="auto"/>
        </w:rPr>
        <w:t>or</w:t>
      </w:r>
    </w:p>
    <w:p>
      <w:pPr>
        <w:spacing w:after="0" w:line="83" w:lineRule="exact"/>
        <w:rPr>
          <w:sz w:val="20"/>
          <w:szCs w:val="20"/>
          <w:color w:val="auto"/>
        </w:rPr>
      </w:pPr>
    </w:p>
    <w:p>
      <w:pPr>
        <w:ind w:left="320" w:hanging="311"/>
        <w:spacing w:after="0"/>
        <w:tabs>
          <w:tab w:leader="none" w:pos="320" w:val="left"/>
        </w:tabs>
        <w:numPr>
          <w:ilvl w:val="0"/>
          <w:numId w:val="2"/>
        </w:numPr>
        <w:rPr>
          <w:rFonts w:ascii="Segoe UI Symbol" w:cs="Segoe UI Symbol" w:eastAsia="Segoe UI Symbol" w:hAnsi="Segoe UI Symbo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2" w:lineRule="exact"/>
        <w:rPr>
          <w:sz w:val="20"/>
          <w:szCs w:val="20"/>
          <w:color w:val="auto"/>
        </w:rPr>
      </w:pPr>
    </w:p>
    <w:tbl>
      <w:tblPr>
        <w:tblLayout w:type="fixed"/>
        <w:tblInd w:w="380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the transition period from</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w w:val="72"/>
              </w:rPr>
              <w:t>to</w:t>
            </w:r>
          </w:p>
        </w:tc>
      </w:tr>
      <w:tr>
        <w:trPr>
          <w:trHeight w:val="20"/>
        </w:trPr>
        <w:tc>
          <w:tcPr>
            <w:tcW w:w="16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99"/>
              </w:rPr>
              <w:t>Commission file number: 001-39281</w:t>
            </w:r>
          </w:p>
        </w:tc>
        <w:tc>
          <w:tcPr>
            <w:tcW w:w="100" w:type="dxa"/>
            <w:vAlign w:val="bottom"/>
          </w:tcPr>
          <w:p>
            <w:pPr>
              <w:spacing w:after="0"/>
              <w:rPr>
                <w:sz w:val="21"/>
                <w:szCs w:val="21"/>
                <w:color w:val="auto"/>
              </w:rPr>
            </w:pPr>
          </w:p>
        </w:tc>
      </w:tr>
    </w:tbl>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TMC THE METALS COMPANY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5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600" w:type="dxa"/>
            <w:vAlign w:val="bottom"/>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w w:val="97"/>
              </w:rPr>
              <w:t>British Columbia, Canada</w:t>
            </w:r>
          </w:p>
        </w:tc>
        <w:tc>
          <w:tcPr>
            <w:tcW w:w="4260" w:type="dxa"/>
            <w:vAlign w:val="bottom"/>
          </w:tcPr>
          <w:p>
            <w:pPr>
              <w:jc w:val="center"/>
              <w:ind w:left="2231"/>
              <w:spacing w:after="0"/>
              <w:rPr>
                <w:sz w:val="20"/>
                <w:szCs w:val="20"/>
                <w:color w:val="auto"/>
              </w:rPr>
            </w:pPr>
            <w:r>
              <w:rPr>
                <w:rFonts w:ascii="Times New Roman" w:cs="Times New Roman" w:eastAsia="Times New Roman" w:hAnsi="Times New Roman"/>
                <w:sz w:val="14"/>
                <w:szCs w:val="14"/>
                <w:b w:val="1"/>
                <w:bCs w:val="1"/>
                <w:color w:val="auto"/>
                <w:w w:val="97"/>
              </w:rPr>
              <w:t>Not Applicable</w:t>
            </w:r>
          </w:p>
        </w:tc>
        <w:tc>
          <w:tcPr>
            <w:tcW w:w="0" w:type="dxa"/>
            <w:vAlign w:val="bottom"/>
          </w:tcPr>
          <w:p>
            <w:pPr>
              <w:spacing w:after="0"/>
              <w:rPr>
                <w:sz w:val="1"/>
                <w:szCs w:val="1"/>
                <w:color w:val="auto"/>
              </w:rPr>
            </w:pPr>
          </w:p>
        </w:tc>
      </w:tr>
      <w:tr>
        <w:trPr>
          <w:trHeight w:val="143"/>
        </w:trPr>
        <w:tc>
          <w:tcPr>
            <w:tcW w:w="2600" w:type="dxa"/>
            <w:vAlign w:val="bottom"/>
          </w:tcPr>
          <w:p>
            <w:pPr>
              <w:jc w:val="center"/>
              <w:ind w:right="391"/>
              <w:spacing w:after="0" w:line="143" w:lineRule="exact"/>
              <w:rPr>
                <w:sz w:val="20"/>
                <w:szCs w:val="20"/>
                <w:color w:val="auto"/>
              </w:rPr>
            </w:pPr>
            <w:r>
              <w:rPr>
                <w:rFonts w:ascii="Times New Roman" w:cs="Times New Roman" w:eastAsia="Times New Roman" w:hAnsi="Times New Roman"/>
                <w:sz w:val="14"/>
                <w:szCs w:val="14"/>
                <w:i w:val="1"/>
                <w:iCs w:val="1"/>
                <w:color w:val="auto"/>
                <w:w w:val="97"/>
              </w:rPr>
              <w:t>(State or other jurisdiction</w:t>
            </w:r>
          </w:p>
        </w:tc>
        <w:tc>
          <w:tcPr>
            <w:tcW w:w="4260" w:type="dxa"/>
            <w:vAlign w:val="bottom"/>
          </w:tcPr>
          <w:p>
            <w:pPr>
              <w:jc w:val="center"/>
              <w:ind w:left="2211"/>
              <w:spacing w:after="0" w:line="143" w:lineRule="exact"/>
              <w:rPr>
                <w:sz w:val="20"/>
                <w:szCs w:val="20"/>
                <w:color w:val="auto"/>
              </w:rPr>
            </w:pPr>
            <w:r>
              <w:rPr>
                <w:rFonts w:ascii="Times New Roman" w:cs="Times New Roman" w:eastAsia="Times New Roman" w:hAnsi="Times New Roman"/>
                <w:sz w:val="14"/>
                <w:szCs w:val="14"/>
                <w:i w:val="1"/>
                <w:iCs w:val="1"/>
                <w:color w:val="auto"/>
                <w:w w:val="98"/>
              </w:rPr>
              <w:t>(I.R.S. Employer Identification No.)</w:t>
            </w:r>
          </w:p>
        </w:tc>
        <w:tc>
          <w:tcPr>
            <w:tcW w:w="0" w:type="dxa"/>
            <w:vAlign w:val="bottom"/>
          </w:tcPr>
          <w:p>
            <w:pPr>
              <w:spacing w:after="0"/>
              <w:rPr>
                <w:sz w:val="1"/>
                <w:szCs w:val="1"/>
                <w:color w:val="auto"/>
              </w:rPr>
            </w:pPr>
          </w:p>
        </w:tc>
      </w:tr>
      <w:tr>
        <w:trPr>
          <w:trHeight w:val="183"/>
        </w:trPr>
        <w:tc>
          <w:tcPr>
            <w:tcW w:w="2600" w:type="dxa"/>
            <w:vAlign w:val="bottom"/>
          </w:tcPr>
          <w:p>
            <w:pPr>
              <w:jc w:val="center"/>
              <w:ind w:right="391"/>
              <w:spacing w:after="0"/>
              <w:rPr>
                <w:sz w:val="20"/>
                <w:szCs w:val="20"/>
                <w:color w:val="auto"/>
              </w:rPr>
            </w:pPr>
            <w:r>
              <w:rPr>
                <w:rFonts w:ascii="Times New Roman" w:cs="Times New Roman" w:eastAsia="Times New Roman" w:hAnsi="Times New Roman"/>
                <w:sz w:val="14"/>
                <w:szCs w:val="14"/>
                <w:i w:val="1"/>
                <w:iCs w:val="1"/>
                <w:color w:val="auto"/>
                <w:w w:val="98"/>
              </w:rPr>
              <w:t>of incorporation or organization)</w:t>
            </w:r>
          </w:p>
        </w:tc>
        <w:tc>
          <w:tcPr>
            <w:tcW w:w="4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0" w:type="dxa"/>
            <w:vAlign w:val="bottom"/>
          </w:tcPr>
          <w:p>
            <w:pPr>
              <w:jc w:val="center"/>
              <w:ind w:right="391"/>
              <w:spacing w:after="0"/>
              <w:rPr>
                <w:sz w:val="20"/>
                <w:szCs w:val="20"/>
                <w:color w:val="auto"/>
              </w:rPr>
            </w:pPr>
            <w:r>
              <w:rPr>
                <w:rFonts w:ascii="Times New Roman" w:cs="Times New Roman" w:eastAsia="Times New Roman" w:hAnsi="Times New Roman"/>
                <w:sz w:val="14"/>
                <w:szCs w:val="14"/>
                <w:b w:val="1"/>
                <w:bCs w:val="1"/>
                <w:color w:val="auto"/>
                <w:w w:val="99"/>
              </w:rPr>
              <w:t>595 Howe Street, 10th Floor</w:t>
            </w:r>
          </w:p>
        </w:tc>
        <w:tc>
          <w:tcPr>
            <w:tcW w:w="4260" w:type="dxa"/>
            <w:vAlign w:val="bottom"/>
            <w:vMerge w:val="restart"/>
          </w:tcPr>
          <w:p>
            <w:pPr>
              <w:jc w:val="center"/>
              <w:ind w:left="2231"/>
              <w:spacing w:after="0"/>
              <w:rPr>
                <w:sz w:val="20"/>
                <w:szCs w:val="20"/>
                <w:color w:val="auto"/>
              </w:rPr>
            </w:pPr>
            <w:r>
              <w:rPr>
                <w:rFonts w:ascii="Times New Roman" w:cs="Times New Roman" w:eastAsia="Times New Roman" w:hAnsi="Times New Roman"/>
                <w:sz w:val="14"/>
                <w:szCs w:val="14"/>
                <w:b w:val="1"/>
                <w:bCs w:val="1"/>
                <w:color w:val="auto"/>
                <w:w w:val="96"/>
              </w:rPr>
              <w:t>V6C 2T5</w:t>
            </w:r>
          </w:p>
        </w:tc>
        <w:tc>
          <w:tcPr>
            <w:tcW w:w="0" w:type="dxa"/>
            <w:vAlign w:val="bottom"/>
          </w:tcPr>
          <w:p>
            <w:pPr>
              <w:spacing w:after="0"/>
              <w:rPr>
                <w:sz w:val="1"/>
                <w:szCs w:val="1"/>
                <w:color w:val="auto"/>
              </w:rPr>
            </w:pPr>
          </w:p>
        </w:tc>
      </w:tr>
      <w:tr>
        <w:trPr>
          <w:trHeight w:val="144"/>
        </w:trPr>
        <w:tc>
          <w:tcPr>
            <w:tcW w:w="2600" w:type="dxa"/>
            <w:vAlign w:val="bottom"/>
          </w:tcPr>
          <w:p>
            <w:pPr>
              <w:jc w:val="center"/>
              <w:ind w:right="391"/>
              <w:spacing w:after="0" w:line="144" w:lineRule="exact"/>
              <w:rPr>
                <w:sz w:val="20"/>
                <w:szCs w:val="20"/>
                <w:color w:val="auto"/>
              </w:rPr>
            </w:pPr>
            <w:r>
              <w:rPr>
                <w:rFonts w:ascii="Times New Roman" w:cs="Times New Roman" w:eastAsia="Times New Roman" w:hAnsi="Times New Roman"/>
                <w:sz w:val="14"/>
                <w:szCs w:val="14"/>
                <w:b w:val="1"/>
                <w:bCs w:val="1"/>
                <w:color w:val="auto"/>
                <w:w w:val="96"/>
              </w:rPr>
              <w:t>Vancouver, British Columbia</w:t>
            </w:r>
          </w:p>
        </w:tc>
        <w:tc>
          <w:tcPr>
            <w:tcW w:w="4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00" w:type="dxa"/>
            <w:vAlign w:val="bottom"/>
          </w:tcPr>
          <w:p>
            <w:pPr>
              <w:jc w:val="center"/>
              <w:ind w:right="371"/>
              <w:spacing w:after="0" w:line="141" w:lineRule="exact"/>
              <w:rPr>
                <w:sz w:val="20"/>
                <w:szCs w:val="20"/>
                <w:color w:val="auto"/>
              </w:rPr>
            </w:pPr>
            <w:r>
              <w:rPr>
                <w:rFonts w:ascii="Times New Roman" w:cs="Times New Roman" w:eastAsia="Times New Roman" w:hAnsi="Times New Roman"/>
                <w:sz w:val="14"/>
                <w:szCs w:val="14"/>
                <w:i w:val="1"/>
                <w:iCs w:val="1"/>
                <w:color w:val="auto"/>
                <w:w w:val="98"/>
              </w:rPr>
              <w:t>(Address of principal executive offices)</w:t>
            </w:r>
          </w:p>
        </w:tc>
        <w:tc>
          <w:tcPr>
            <w:tcW w:w="4260" w:type="dxa"/>
            <w:vAlign w:val="bottom"/>
          </w:tcPr>
          <w:p>
            <w:pPr>
              <w:jc w:val="center"/>
              <w:ind w:left="2231"/>
              <w:spacing w:after="0" w:line="141" w:lineRule="exact"/>
              <w:rPr>
                <w:sz w:val="20"/>
                <w:szCs w:val="20"/>
                <w:color w:val="auto"/>
              </w:rPr>
            </w:pPr>
            <w:r>
              <w:rPr>
                <w:rFonts w:ascii="Times New Roman" w:cs="Times New Roman" w:eastAsia="Times New Roman" w:hAnsi="Times New Roman"/>
                <w:sz w:val="14"/>
                <w:szCs w:val="14"/>
                <w:i w:val="1"/>
                <w:iCs w:val="1"/>
                <w:color w:val="auto"/>
                <w:w w:val="98"/>
              </w:rPr>
              <w:t>(Zip Code)</w:t>
            </w:r>
          </w:p>
        </w:tc>
        <w:tc>
          <w:tcPr>
            <w:tcW w:w="0" w:type="dxa"/>
            <w:vAlign w:val="bottom"/>
          </w:tcPr>
          <w:p>
            <w:pPr>
              <w:spacing w:after="0"/>
              <w:rPr>
                <w:sz w:val="1"/>
                <w:szCs w:val="1"/>
                <w:color w:val="auto"/>
              </w:rPr>
            </w:pPr>
          </w:p>
        </w:tc>
      </w:tr>
      <w:tr>
        <w:trPr>
          <w:trHeight w:val="141"/>
        </w:trPr>
        <w:tc>
          <w:tcPr>
            <w:tcW w:w="2600" w:type="dxa"/>
            <w:vAlign w:val="bottom"/>
          </w:tcPr>
          <w:p>
            <w:pPr>
              <w:spacing w:after="0"/>
              <w:rPr>
                <w:sz w:val="12"/>
                <w:szCs w:val="12"/>
                <w:color w:val="auto"/>
              </w:rPr>
            </w:pPr>
          </w:p>
        </w:tc>
        <w:tc>
          <w:tcPr>
            <w:tcW w:w="4260" w:type="dxa"/>
            <w:vAlign w:val="bottom"/>
          </w:tcPr>
          <w:p>
            <w:pPr>
              <w:jc w:val="right"/>
              <w:ind w:right="2891"/>
              <w:spacing w:after="0" w:line="141" w:lineRule="exact"/>
              <w:rPr>
                <w:sz w:val="20"/>
                <w:szCs w:val="20"/>
                <w:color w:val="auto"/>
              </w:rPr>
            </w:pPr>
            <w:r>
              <w:rPr>
                <w:rFonts w:ascii="Times New Roman" w:cs="Times New Roman" w:eastAsia="Times New Roman" w:hAnsi="Times New Roman"/>
                <w:sz w:val="14"/>
                <w:szCs w:val="14"/>
                <w:b w:val="1"/>
                <w:bCs w:val="1"/>
                <w:color w:val="auto"/>
              </w:rPr>
              <w:t>(574) 252-9333</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Exchange Act:</w:t>
      </w:r>
    </w:p>
    <w:p>
      <w:pPr>
        <w:spacing w:after="0" w:line="4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820" w:type="dxa"/>
            <w:vAlign w:val="bottom"/>
          </w:tcPr>
          <w:p>
            <w:pPr>
              <w:jc w:val="center"/>
              <w:ind w:right="311"/>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00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3060" w:type="dxa"/>
            <w:vAlign w:val="bottom"/>
          </w:tcPr>
          <w:p>
            <w:pPr>
              <w:jc w:val="center"/>
              <w:ind w:left="43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43"/>
        </w:trPr>
        <w:tc>
          <w:tcPr>
            <w:tcW w:w="3820" w:type="dxa"/>
            <w:vAlign w:val="bottom"/>
          </w:tcPr>
          <w:p>
            <w:pPr>
              <w:jc w:val="center"/>
              <w:ind w:right="311"/>
              <w:spacing w:after="0" w:line="143" w:lineRule="exact"/>
              <w:rPr>
                <w:sz w:val="20"/>
                <w:szCs w:val="20"/>
                <w:color w:val="auto"/>
              </w:rPr>
            </w:pPr>
            <w:r>
              <w:rPr>
                <w:rFonts w:ascii="Times New Roman" w:cs="Times New Roman" w:eastAsia="Times New Roman" w:hAnsi="Times New Roman"/>
                <w:sz w:val="14"/>
                <w:szCs w:val="14"/>
                <w:color w:val="auto"/>
                <w:w w:val="98"/>
              </w:rPr>
              <w:t>Common Shares, without par value</w:t>
            </w:r>
          </w:p>
        </w:tc>
        <w:tc>
          <w:tcPr>
            <w:tcW w:w="2000" w:type="dxa"/>
            <w:vAlign w:val="bottom"/>
          </w:tcPr>
          <w:p>
            <w:pPr>
              <w:jc w:val="center"/>
              <w:ind w:right="31"/>
              <w:spacing w:after="0" w:line="143" w:lineRule="exact"/>
              <w:rPr>
                <w:sz w:val="20"/>
                <w:szCs w:val="20"/>
                <w:color w:val="auto"/>
              </w:rPr>
            </w:pPr>
            <w:r>
              <w:rPr>
                <w:rFonts w:ascii="Times New Roman" w:cs="Times New Roman" w:eastAsia="Times New Roman" w:hAnsi="Times New Roman"/>
                <w:sz w:val="14"/>
                <w:szCs w:val="14"/>
                <w:color w:val="auto"/>
                <w:w w:val="98"/>
              </w:rPr>
              <w:t>TMC</w:t>
            </w:r>
          </w:p>
        </w:tc>
        <w:tc>
          <w:tcPr>
            <w:tcW w:w="3060" w:type="dxa"/>
            <w:vAlign w:val="bottom"/>
          </w:tcPr>
          <w:p>
            <w:pPr>
              <w:jc w:val="center"/>
              <w:ind w:left="411"/>
              <w:spacing w:after="0" w:line="143" w:lineRule="exact"/>
              <w:rPr>
                <w:sz w:val="20"/>
                <w:szCs w:val="20"/>
                <w:color w:val="auto"/>
              </w:rPr>
            </w:pPr>
            <w:r>
              <w:rPr>
                <w:rFonts w:ascii="Times New Roman" w:cs="Times New Roman" w:eastAsia="Times New Roman" w:hAnsi="Times New Roman"/>
                <w:sz w:val="14"/>
                <w:szCs w:val="14"/>
                <w:color w:val="auto"/>
                <w:w w:val="98"/>
              </w:rPr>
              <w:t>The Nasdaq Stock Market LLC</w:t>
            </w:r>
          </w:p>
        </w:tc>
      </w:tr>
      <w:tr>
        <w:trPr>
          <w:trHeight w:val="143"/>
        </w:trPr>
        <w:tc>
          <w:tcPr>
            <w:tcW w:w="3820" w:type="dxa"/>
            <w:vAlign w:val="bottom"/>
          </w:tcPr>
          <w:p>
            <w:pPr>
              <w:jc w:val="center"/>
              <w:ind w:right="311"/>
              <w:spacing w:after="0" w:line="143" w:lineRule="exact"/>
              <w:rPr>
                <w:sz w:val="20"/>
                <w:szCs w:val="20"/>
                <w:color w:val="auto"/>
              </w:rPr>
            </w:pPr>
            <w:r>
              <w:rPr>
                <w:rFonts w:ascii="Times New Roman" w:cs="Times New Roman" w:eastAsia="Times New Roman" w:hAnsi="Times New Roman"/>
                <w:sz w:val="14"/>
                <w:szCs w:val="14"/>
                <w:color w:val="auto"/>
                <w:w w:val="98"/>
              </w:rPr>
              <w:t>Redeemable warrants, each whole warrant exercisable for one</w:t>
            </w:r>
          </w:p>
        </w:tc>
        <w:tc>
          <w:tcPr>
            <w:tcW w:w="2000" w:type="dxa"/>
            <w:vAlign w:val="bottom"/>
          </w:tcPr>
          <w:p>
            <w:pPr>
              <w:jc w:val="center"/>
              <w:ind w:right="51"/>
              <w:spacing w:after="0" w:line="143" w:lineRule="exact"/>
              <w:rPr>
                <w:sz w:val="20"/>
                <w:szCs w:val="20"/>
                <w:color w:val="auto"/>
              </w:rPr>
            </w:pPr>
            <w:r>
              <w:rPr>
                <w:rFonts w:ascii="Times New Roman" w:cs="Times New Roman" w:eastAsia="Times New Roman" w:hAnsi="Times New Roman"/>
                <w:sz w:val="14"/>
                <w:szCs w:val="14"/>
                <w:color w:val="auto"/>
                <w:w w:val="98"/>
              </w:rPr>
              <w:t>TMCWW</w:t>
            </w:r>
          </w:p>
        </w:tc>
        <w:tc>
          <w:tcPr>
            <w:tcW w:w="3060" w:type="dxa"/>
            <w:vAlign w:val="bottom"/>
          </w:tcPr>
          <w:p>
            <w:pPr>
              <w:jc w:val="center"/>
              <w:ind w:left="411"/>
              <w:spacing w:after="0" w:line="143" w:lineRule="exact"/>
              <w:rPr>
                <w:sz w:val="20"/>
                <w:szCs w:val="20"/>
                <w:color w:val="auto"/>
              </w:rPr>
            </w:pPr>
            <w:r>
              <w:rPr>
                <w:rFonts w:ascii="Times New Roman" w:cs="Times New Roman" w:eastAsia="Times New Roman" w:hAnsi="Times New Roman"/>
                <w:sz w:val="14"/>
                <w:szCs w:val="14"/>
                <w:color w:val="auto"/>
                <w:w w:val="98"/>
              </w:rPr>
              <w:t>The Nasdaq Stock Market LLC</w:t>
            </w:r>
          </w:p>
        </w:tc>
      </w:tr>
      <w:tr>
        <w:trPr>
          <w:trHeight w:val="186"/>
        </w:trPr>
        <w:tc>
          <w:tcPr>
            <w:tcW w:w="3820" w:type="dxa"/>
            <w:vAlign w:val="bottom"/>
          </w:tcPr>
          <w:p>
            <w:pPr>
              <w:jc w:val="center"/>
              <w:ind w:right="311"/>
              <w:spacing w:after="0"/>
              <w:rPr>
                <w:sz w:val="20"/>
                <w:szCs w:val="20"/>
                <w:color w:val="auto"/>
              </w:rPr>
            </w:pPr>
            <w:r>
              <w:rPr>
                <w:rFonts w:ascii="Times New Roman" w:cs="Times New Roman" w:eastAsia="Times New Roman" w:hAnsi="Times New Roman"/>
                <w:sz w:val="14"/>
                <w:szCs w:val="14"/>
                <w:color w:val="auto"/>
                <w:w w:val="97"/>
              </w:rPr>
              <w:t>Common Share, each at an exercise price of $11.50 per share</w:t>
            </w:r>
          </w:p>
        </w:tc>
        <w:tc>
          <w:tcPr>
            <w:tcW w:w="2000" w:type="dxa"/>
            <w:vAlign w:val="bottom"/>
          </w:tcPr>
          <w:p>
            <w:pPr>
              <w:spacing w:after="0"/>
              <w:rPr>
                <w:sz w:val="16"/>
                <w:szCs w:val="16"/>
                <w:color w:val="auto"/>
              </w:rPr>
            </w:pPr>
          </w:p>
        </w:tc>
        <w:tc>
          <w:tcPr>
            <w:tcW w:w="3060" w:type="dxa"/>
            <w:vAlign w:val="bottom"/>
          </w:tcPr>
          <w:p>
            <w:pPr>
              <w:spacing w:after="0"/>
              <w:rPr>
                <w:sz w:val="16"/>
                <w:szCs w:val="16"/>
                <w:color w:val="auto"/>
              </w:rPr>
            </w:pPr>
          </w:p>
        </w:tc>
      </w:tr>
    </w:tbl>
    <w:p>
      <w:pPr>
        <w:spacing w:after="0" w:line="20"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4"/>
          <w:szCs w:val="14"/>
          <w:color w:val="auto"/>
        </w:rPr>
        <w:t>Securities registered pursuant to Section 12(g) of the Exchange Act: None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85" w:lineRule="exact"/>
        <w:rPr>
          <w:sz w:val="20"/>
          <w:szCs w:val="20"/>
          <w:color w:val="auto"/>
        </w:rPr>
      </w:pPr>
    </w:p>
    <w:p>
      <w:pPr>
        <w:jc w:val="both"/>
        <w:ind w:firstLine="311"/>
        <w:spacing w:after="0" w:line="229"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59" w:lineRule="exact"/>
        <w:rPr>
          <w:sz w:val="20"/>
          <w:szCs w:val="20"/>
          <w:color w:val="auto"/>
        </w:rPr>
      </w:pPr>
    </w:p>
    <w:p>
      <w:pPr>
        <w:jc w:val="both"/>
        <w:ind w:right="20" w:firstLine="310"/>
        <w:spacing w:after="0" w:line="268"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jc w:val="both"/>
        <w:ind w:firstLine="312"/>
        <w:spacing w:after="0" w:line="23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620"/>
          </w:cols>
          <w:pgMar w:left="1320" w:top="1440" w:right="1300" w:bottom="1440" w:gutter="0" w:footer="0" w:header="0"/>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Large accelerated filer </w:t>
      </w:r>
      <w:r>
        <w:rPr>
          <w:rFonts w:ascii="Segoe UI Symbol" w:cs="Segoe UI Symbol" w:eastAsia="Segoe UI Symbol" w:hAnsi="Segoe UI Symbol"/>
          <w:sz w:val="13"/>
          <w:szCs w:val="13"/>
          <w:color w:val="auto"/>
        </w:rPr>
        <w: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Non-accelerated filer </w:t>
      </w:r>
      <w:r>
        <w:rPr>
          <w:rFonts w:ascii="Segoe UI Symbol" w:cs="Segoe UI Symbol" w:eastAsia="Segoe UI Symbol" w:hAnsi="Segoe UI Symbo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xml:space="preserve">Accelerated filer </w:t>
      </w:r>
      <w:r>
        <w:rPr>
          <w:rFonts w:ascii="Segoe UI Symbol" w:cs="Segoe UI Symbol" w:eastAsia="Segoe UI Symbol" w:hAnsi="Segoe UI Symbol"/>
          <w:sz w:val="14"/>
          <w:szCs w:val="14"/>
          <w:color w:val="auto"/>
        </w:rPr>
        <w: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Smaller reporting company </w:t>
      </w:r>
      <w:r>
        <w:rPr>
          <w:rFonts w:ascii="Segoe UI Symbol" w:cs="Segoe UI Symbol" w:eastAsia="Segoe UI Symbol" w:hAnsi="Segoe UI Symbol"/>
          <w:sz w:val="13"/>
          <w:szCs w:val="13"/>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Emerging growth company </w:t>
      </w:r>
      <w:r>
        <w:rPr>
          <w:rFonts w:ascii="Segoe UI Symbol" w:cs="Segoe UI Symbol" w:eastAsia="Segoe UI Symbol" w:hAnsi="Segoe UI Symbol"/>
          <w:sz w:val="13"/>
          <w:szCs w:val="13"/>
          <w:color w:val="auto"/>
        </w:rPr>
        <w:t>☒</w:t>
      </w:r>
    </w:p>
    <w:p>
      <w:pPr>
        <w:spacing w:after="0" w:line="79" w:lineRule="exact"/>
        <w:rPr>
          <w:sz w:val="20"/>
          <w:szCs w:val="20"/>
          <w:color w:val="auto"/>
        </w:rPr>
      </w:pPr>
    </w:p>
    <w:p>
      <w:pPr>
        <w:sectPr>
          <w:pgSz w:w="12240" w:h="15840" w:orient="portrait"/>
          <w:cols w:equalWidth="0" w:num="2">
            <w:col w:w="4100" w:space="720"/>
            <w:col w:w="4800"/>
          </w:cols>
          <w:pgMar w:left="1320" w:top="1440" w:right="1300" w:bottom="1440" w:gutter="0" w:footer="0" w:header="0"/>
          <w:type w:val="continuous"/>
        </w:sectPr>
      </w:pPr>
    </w:p>
    <w:p>
      <w:pPr>
        <w:jc w:val="both"/>
        <w:ind w:firstLine="311"/>
        <w:spacing w:after="0" w:line="24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4"/>
          <w:szCs w:val="14"/>
          <w:color w:val="auto"/>
        </w:rPr>
        <w:t>☐</w:t>
      </w:r>
    </w:p>
    <w:p>
      <w:pPr>
        <w:jc w:val="both"/>
        <w:ind w:firstLine="310"/>
        <w:spacing w:after="0" w:line="286"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jc w:val="both"/>
        <w:ind w:firstLine="311"/>
        <w:spacing w:after="0" w:line="268"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 ling reflect the correction of an error to previously issued financial statements.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jc w:val="both"/>
        <w:ind w:firstLine="311"/>
        <w:spacing w:after="0" w:line="251"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4"/>
          <w:szCs w:val="14"/>
          <w:color w:val="auto"/>
        </w:rPr>
        <w:t>☐</w:t>
      </w:r>
    </w:p>
    <w:p>
      <w:pPr>
        <w:spacing w:after="0" w:line="1" w:lineRule="exact"/>
        <w:rPr>
          <w:sz w:val="20"/>
          <w:szCs w:val="20"/>
          <w:color w:val="auto"/>
        </w:rPr>
      </w:pPr>
    </w:p>
    <w:p>
      <w:pPr>
        <w:ind w:left="320"/>
        <w:spacing w:after="0"/>
        <w:tabs>
          <w:tab w:leader="none" w:pos="67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Segoe UI Symbol" w:cs="Segoe UI Symbol" w:eastAsia="Segoe UI Symbol" w:hAnsi="Segoe UI Symbol"/>
          <w:sz w:val="14"/>
          <w:szCs w:val="14"/>
          <w:color w:val="auto"/>
        </w:rPr>
        <w:t>☐</w:t>
      </w:r>
      <w:r>
        <w:rPr>
          <w:rFonts w:ascii="Times New Roman" w:cs="Times New Roman" w:eastAsia="Times New Roman" w:hAnsi="Times New Roman"/>
          <w:sz w:val="14"/>
          <w:szCs w:val="14"/>
          <w:color w:val="auto"/>
        </w:rPr>
        <w:t xml:space="preserve"> No </w:t>
      </w:r>
      <w:r>
        <w:rPr>
          <w:rFonts w:ascii="Segoe UI Symbol" w:cs="Segoe UI Symbol" w:eastAsia="Segoe UI Symbol" w:hAnsi="Segoe UI Symbol"/>
          <w:sz w:val="14"/>
          <w:szCs w:val="14"/>
          <w:color w:val="auto"/>
        </w:rPr>
        <w:t>☒</w:t>
      </w:r>
    </w:p>
    <w:p>
      <w:pPr>
        <w:spacing w:after="0" w:line="85" w:lineRule="exact"/>
        <w:rPr>
          <w:sz w:val="20"/>
          <w:szCs w:val="20"/>
          <w:color w:val="auto"/>
        </w:rPr>
      </w:pPr>
    </w:p>
    <w:p>
      <w:pPr>
        <w:jc w:val="both"/>
        <w:ind w:firstLine="311"/>
        <w:spacing w:after="0" w:line="234" w:lineRule="auto"/>
        <w:rPr>
          <w:sz w:val="20"/>
          <w:szCs w:val="20"/>
          <w:color w:val="auto"/>
        </w:rPr>
      </w:pPr>
      <w:r>
        <w:rPr>
          <w:rFonts w:ascii="Times New Roman" w:cs="Times New Roman" w:eastAsia="Times New Roman" w:hAnsi="Times New Roman"/>
          <w:sz w:val="14"/>
          <w:szCs w:val="14"/>
          <w:color w:val="auto"/>
        </w:rPr>
        <w:t>The aggregate market value of the registrant’s voting and non-voting common stock held by non-affiliates of the registrant (without admitting that any person whose shares are not included in such calculation is an affiliate) computed by reference to the price at which the common shares were last sold as of the last business day of the registrant’s most recently completed second fiscal quarter was $169,803,422.</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24, 2023, the registrant had 277,878,995 common shares outstanding.</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474345</wp:posOffset>
                </wp:positionV>
                <wp:extent cx="6110605"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37.35pt" to="481.3pt,37.35pt" o:allowincell="f" strokecolor="#000000" strokeweight="1.296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58420</wp:posOffset>
                </wp:positionV>
                <wp:extent cx="611060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4.6pt" to="481.3pt,4.6pt" o:allowincell="f" strokecolor="#000000" strokeweight="0.648pt"/>
            </w:pict>
          </mc:Fallback>
        </mc:AlternateContent>
        <mc:AlternateContent>
          <mc:Choice Requires="wps">
            <w:drawing>
              <wp:anchor simplePos="0" relativeHeight="251657728" behindDoc="1" locked="0" layoutInCell="0" allowOverlap="1">
                <wp:simplePos x="0" y="0"/>
                <wp:positionH relativeFrom="column">
                  <wp:posOffset>1905</wp:posOffset>
                </wp:positionH>
                <wp:positionV relativeFrom="paragraph">
                  <wp:posOffset>112395</wp:posOffset>
                </wp:positionV>
                <wp:extent cx="611060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32918">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8.85pt" to="481.3pt,8.85pt" o:allowincell="f" strokecolor="#000000" strokeweight="2.592pt"/>
            </w:pict>
          </mc:Fallback>
        </mc:AlternateContent>
      </w:r>
    </w:p>
    <w:p>
      <w:pPr>
        <w:sectPr>
          <w:pgSz w:w="12240" w:h="15840" w:orient="portrait"/>
          <w:cols w:equalWidth="0" w:num="1">
            <w:col w:w="9620"/>
          </w:cols>
          <w:pgMar w:left="1320" w:top="1440" w:right="1300"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(This page has been left blank intentionally.)</w:t>
      </w:r>
    </w:p>
    <w:p>
      <w:pPr>
        <w:sectPr>
          <w:pgSz w:w="12240" w:h="15840" w:orient="portrait"/>
          <w:cols w:equalWidth="0" w:num="1">
            <w:col w:w="9360"/>
          </w:cols>
          <w:pgMar w:left="1440" w:top="144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40" w:type="dxa"/>
            <w:vAlign w:val="bottom"/>
            <w:gridSpan w:val="2"/>
          </w:tcPr>
          <w:p>
            <w:pPr>
              <w:ind w:left="8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10101"/>
              </w:rPr>
              <w:t>PART 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48"/>
        </w:trPr>
        <w:tc>
          <w:tcPr>
            <w:tcW w:w="6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6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10101"/>
          </w:tcPr>
          <w:p>
            <w:pPr>
              <w:spacing w:after="0" w:line="20" w:lineRule="exact"/>
              <w:rPr>
                <w:sz w:val="1"/>
                <w:szCs w:val="1"/>
                <w:color w:val="auto"/>
              </w:rPr>
            </w:pPr>
          </w:p>
        </w:tc>
        <w:tc>
          <w:tcPr>
            <w:tcW w:w="200" w:type="dxa"/>
            <w:vAlign w:val="bottom"/>
            <w:shd w:val="clear" w:color="auto" w:fill="01010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0" w:type="dxa"/>
            <w:vAlign w:val="bottom"/>
          </w:tcPr>
          <w:p>
            <w:pPr>
              <w:spacing w:after="0"/>
              <w:rPr>
                <w:sz w:val="17"/>
                <w:szCs w:val="17"/>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10101"/>
                <w:w w:val="96"/>
              </w:rPr>
              <w:t>Item</w:t>
            </w:r>
          </w:p>
        </w:tc>
        <w:tc>
          <w:tcPr>
            <w:tcW w:w="160" w:type="dxa"/>
            <w:vAlign w:val="bottom"/>
          </w:tcPr>
          <w:p>
            <w:pPr>
              <w:ind w:left="40"/>
              <w:spacing w:after="0"/>
              <w:rPr>
                <w:sz w:val="20"/>
                <w:szCs w:val="20"/>
                <w:color w:val="auto"/>
              </w:rPr>
            </w:pPr>
            <w:r>
              <w:rPr>
                <w:rFonts w:ascii="Times New Roman" w:cs="Times New Roman" w:eastAsia="Times New Roman" w:hAnsi="Times New Roman"/>
                <w:sz w:val="17"/>
                <w:szCs w:val="17"/>
                <w:color w:val="010101"/>
                <w:w w:val="78"/>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60" w:type="dxa"/>
            <w:vAlign w:val="bottom"/>
            <w:gridSpan w:val="9"/>
          </w:tcPr>
          <w:p>
            <w:pPr>
              <w:ind w:left="60"/>
              <w:spacing w:after="0"/>
              <w:rPr>
                <w:sz w:val="20"/>
                <w:szCs w:val="20"/>
                <w:color w:val="auto"/>
              </w:rPr>
            </w:pPr>
            <w:r>
              <w:rPr>
                <w:rFonts w:ascii="Times New Roman" w:cs="Times New Roman" w:eastAsia="Times New Roman" w:hAnsi="Times New Roman"/>
                <w:sz w:val="17"/>
                <w:szCs w:val="17"/>
                <w:color w:val="010101"/>
              </w:rPr>
              <w:t>Business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gridSpan w:val="2"/>
            <w:shd w:val="clear" w:color="auto" w:fill="010101"/>
          </w:tcPr>
          <w:p>
            <w:pPr>
              <w:spacing w:after="0" w:line="20" w:lineRule="exact"/>
              <w:rPr>
                <w:sz w:val="1"/>
                <w:szCs w:val="1"/>
                <w:color w:val="auto"/>
              </w:rPr>
            </w:pPr>
          </w:p>
        </w:tc>
        <w:tc>
          <w:tcPr>
            <w:tcW w:w="60" w:type="dxa"/>
            <w:vAlign w:val="bottom"/>
            <w:shd w:val="clear" w:color="auto" w:fill="010101"/>
          </w:tcPr>
          <w:p>
            <w:pPr>
              <w:spacing w:after="0" w:line="20" w:lineRule="exact"/>
              <w:rPr>
                <w:sz w:val="1"/>
                <w:szCs w:val="1"/>
                <w:color w:val="auto"/>
              </w:rPr>
            </w:pPr>
          </w:p>
        </w:tc>
        <w:tc>
          <w:tcPr>
            <w:tcW w:w="160" w:type="dxa"/>
            <w:vAlign w:val="bottom"/>
            <w:shd w:val="clear" w:color="auto" w:fill="01010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10101"/>
            </w:tcBorders>
          </w:tcPr>
          <w:p>
            <w:pPr>
              <w:spacing w:after="0" w:line="20" w:lineRule="exact"/>
              <w:rPr>
                <w:sz w:val="1"/>
                <w:szCs w:val="1"/>
                <w:color w:val="auto"/>
              </w:rPr>
            </w:pPr>
          </w:p>
        </w:tc>
        <w:tc>
          <w:tcPr>
            <w:tcW w:w="560" w:type="dxa"/>
            <w:vAlign w:val="bottom"/>
            <w:shd w:val="clear" w:color="auto" w:fill="01010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71"/>
              </w:rPr>
              <w:t>1A.</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color w:val="010101"/>
              </w:rPr>
              <w:t>Risk Factors</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gridSpan w:val="2"/>
            <w:shd w:val="clear" w:color="auto" w:fill="010101"/>
          </w:tcPr>
          <w:p>
            <w:pPr>
              <w:spacing w:after="0" w:line="20" w:lineRule="exact"/>
              <w:rPr>
                <w:sz w:val="1"/>
                <w:szCs w:val="1"/>
                <w:color w:val="auto"/>
              </w:rPr>
            </w:pPr>
          </w:p>
        </w:tc>
        <w:tc>
          <w:tcPr>
            <w:tcW w:w="60" w:type="dxa"/>
            <w:vAlign w:val="bottom"/>
            <w:shd w:val="clear" w:color="auto" w:fill="010101"/>
          </w:tcPr>
          <w:p>
            <w:pPr>
              <w:spacing w:after="0" w:line="20" w:lineRule="exact"/>
              <w:rPr>
                <w:sz w:val="1"/>
                <w:szCs w:val="1"/>
                <w:color w:val="auto"/>
              </w:rPr>
            </w:pPr>
          </w:p>
        </w:tc>
        <w:tc>
          <w:tcPr>
            <w:tcW w:w="160" w:type="dxa"/>
            <w:vAlign w:val="bottom"/>
            <w:shd w:val="clear" w:color="auto" w:fill="010101"/>
          </w:tcPr>
          <w:p>
            <w:pPr>
              <w:spacing w:after="0" w:line="20" w:lineRule="exact"/>
              <w:rPr>
                <w:sz w:val="1"/>
                <w:szCs w:val="1"/>
                <w:color w:val="auto"/>
              </w:rPr>
            </w:pPr>
          </w:p>
        </w:tc>
        <w:tc>
          <w:tcPr>
            <w:tcW w:w="80" w:type="dxa"/>
            <w:vAlign w:val="bottom"/>
            <w:shd w:val="clear" w:color="auto" w:fill="010101"/>
          </w:tcPr>
          <w:p>
            <w:pPr>
              <w:spacing w:after="0" w:line="20" w:lineRule="exact"/>
              <w:rPr>
                <w:sz w:val="1"/>
                <w:szCs w:val="1"/>
                <w:color w:val="auto"/>
              </w:rPr>
            </w:pPr>
          </w:p>
        </w:tc>
        <w:tc>
          <w:tcPr>
            <w:tcW w:w="20" w:type="dxa"/>
            <w:vAlign w:val="bottom"/>
            <w:shd w:val="clear" w:color="auto" w:fill="010101"/>
          </w:tcPr>
          <w:p>
            <w:pPr>
              <w:spacing w:after="0" w:line="20" w:lineRule="exact"/>
              <w:rPr>
                <w:sz w:val="1"/>
                <w:szCs w:val="1"/>
                <w:color w:val="auto"/>
              </w:rPr>
            </w:pPr>
          </w:p>
        </w:tc>
        <w:tc>
          <w:tcPr>
            <w:tcW w:w="100" w:type="dxa"/>
            <w:vAlign w:val="bottom"/>
            <w:tcBorders>
              <w:left w:val="single" w:sz="8" w:color="010101"/>
            </w:tcBorders>
          </w:tcPr>
          <w:p>
            <w:pPr>
              <w:spacing w:after="0" w:line="20" w:lineRule="exact"/>
              <w:rPr>
                <w:sz w:val="1"/>
                <w:szCs w:val="1"/>
                <w:color w:val="auto"/>
              </w:rPr>
            </w:pPr>
          </w:p>
        </w:tc>
        <w:tc>
          <w:tcPr>
            <w:tcW w:w="120" w:type="dxa"/>
            <w:vAlign w:val="bottom"/>
            <w:tcBorders>
              <w:right w:val="single" w:sz="8" w:color="010101"/>
            </w:tcBorders>
          </w:tcPr>
          <w:p>
            <w:pPr>
              <w:spacing w:after="0" w:line="20" w:lineRule="exact"/>
              <w:rPr>
                <w:sz w:val="1"/>
                <w:szCs w:val="1"/>
                <w:color w:val="auto"/>
              </w:rPr>
            </w:pPr>
          </w:p>
        </w:tc>
        <w:tc>
          <w:tcPr>
            <w:tcW w:w="620" w:type="dxa"/>
            <w:vAlign w:val="bottom"/>
            <w:gridSpan w:val="2"/>
            <w:shd w:val="clear" w:color="auto" w:fill="010101"/>
          </w:tcPr>
          <w:p>
            <w:pPr>
              <w:spacing w:after="0" w:line="20" w:lineRule="exact"/>
              <w:rPr>
                <w:sz w:val="1"/>
                <w:szCs w:val="1"/>
                <w:color w:val="auto"/>
              </w:rPr>
            </w:pPr>
          </w:p>
        </w:tc>
        <w:tc>
          <w:tcPr>
            <w:tcW w:w="180" w:type="dxa"/>
            <w:vAlign w:val="bottom"/>
            <w:shd w:val="clear" w:color="auto" w:fill="01010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74"/>
              </w:rPr>
              <w:t>1B.</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color w:val="010101"/>
              </w:rPr>
              <w:t>Unresolved Staff Comments</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gridSpan w:val="2"/>
            <w:shd w:val="clear" w:color="auto" w:fill="010101"/>
          </w:tcPr>
          <w:p>
            <w:pPr>
              <w:spacing w:after="0" w:line="20" w:lineRule="exact"/>
              <w:rPr>
                <w:sz w:val="1"/>
                <w:szCs w:val="1"/>
                <w:color w:val="auto"/>
              </w:rPr>
            </w:pPr>
          </w:p>
        </w:tc>
        <w:tc>
          <w:tcPr>
            <w:tcW w:w="60" w:type="dxa"/>
            <w:vAlign w:val="bottom"/>
            <w:shd w:val="clear" w:color="auto" w:fill="010101"/>
          </w:tcPr>
          <w:p>
            <w:pPr>
              <w:spacing w:after="0" w:line="20" w:lineRule="exact"/>
              <w:rPr>
                <w:sz w:val="1"/>
                <w:szCs w:val="1"/>
                <w:color w:val="auto"/>
              </w:rPr>
            </w:pPr>
          </w:p>
        </w:tc>
        <w:tc>
          <w:tcPr>
            <w:tcW w:w="160" w:type="dxa"/>
            <w:vAlign w:val="bottom"/>
            <w:shd w:val="clear" w:color="auto" w:fill="010101"/>
          </w:tcPr>
          <w:p>
            <w:pPr>
              <w:spacing w:after="0" w:line="20" w:lineRule="exact"/>
              <w:rPr>
                <w:sz w:val="1"/>
                <w:szCs w:val="1"/>
                <w:color w:val="auto"/>
              </w:rPr>
            </w:pPr>
          </w:p>
        </w:tc>
        <w:tc>
          <w:tcPr>
            <w:tcW w:w="80" w:type="dxa"/>
            <w:vAlign w:val="bottom"/>
            <w:shd w:val="clear" w:color="auto" w:fill="010101"/>
          </w:tcPr>
          <w:p>
            <w:pPr>
              <w:spacing w:after="0" w:line="20" w:lineRule="exact"/>
              <w:rPr>
                <w:sz w:val="1"/>
                <w:szCs w:val="1"/>
                <w:color w:val="auto"/>
              </w:rPr>
            </w:pPr>
          </w:p>
        </w:tc>
        <w:tc>
          <w:tcPr>
            <w:tcW w:w="20" w:type="dxa"/>
            <w:vAlign w:val="bottom"/>
            <w:shd w:val="clear" w:color="auto" w:fill="01010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10101"/>
            </w:tcBorders>
          </w:tcPr>
          <w:p>
            <w:pPr>
              <w:spacing w:after="0" w:line="20" w:lineRule="exact"/>
              <w:rPr>
                <w:sz w:val="1"/>
                <w:szCs w:val="1"/>
                <w:color w:val="auto"/>
              </w:rPr>
            </w:pPr>
          </w:p>
        </w:tc>
        <w:tc>
          <w:tcPr>
            <w:tcW w:w="620" w:type="dxa"/>
            <w:vAlign w:val="bottom"/>
            <w:gridSpan w:val="2"/>
            <w:shd w:val="clear" w:color="auto" w:fill="010101"/>
          </w:tcPr>
          <w:p>
            <w:pPr>
              <w:spacing w:after="0" w:line="20" w:lineRule="exact"/>
              <w:rPr>
                <w:sz w:val="1"/>
                <w:szCs w:val="1"/>
                <w:color w:val="auto"/>
              </w:rPr>
            </w:pPr>
          </w:p>
        </w:tc>
        <w:tc>
          <w:tcPr>
            <w:tcW w:w="580" w:type="dxa"/>
            <w:vAlign w:val="bottom"/>
            <w:gridSpan w:val="2"/>
            <w:shd w:val="clear" w:color="auto" w:fill="010101"/>
          </w:tcPr>
          <w:p>
            <w:pPr>
              <w:spacing w:after="0" w:line="20" w:lineRule="exact"/>
              <w:rPr>
                <w:sz w:val="1"/>
                <w:szCs w:val="1"/>
                <w:color w:val="auto"/>
              </w:rPr>
            </w:pPr>
          </w:p>
        </w:tc>
        <w:tc>
          <w:tcPr>
            <w:tcW w:w="440" w:type="dxa"/>
            <w:vAlign w:val="bottom"/>
            <w:shd w:val="clear" w:color="auto" w:fill="010101"/>
          </w:tcPr>
          <w:p>
            <w:pPr>
              <w:spacing w:after="0" w:line="20" w:lineRule="exact"/>
              <w:rPr>
                <w:sz w:val="1"/>
                <w:szCs w:val="1"/>
                <w:color w:val="auto"/>
              </w:rPr>
            </w:pPr>
          </w:p>
        </w:tc>
        <w:tc>
          <w:tcPr>
            <w:tcW w:w="260" w:type="dxa"/>
            <w:vAlign w:val="bottom"/>
            <w:shd w:val="clear" w:color="auto" w:fill="01010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160" w:type="dxa"/>
            <w:vAlign w:val="bottom"/>
            <w:tcBorders>
              <w:bottom w:val="single" w:sz="8" w:color="010101"/>
            </w:tcBorders>
          </w:tcPr>
          <w:p>
            <w:pPr>
              <w:ind w:left="40"/>
              <w:spacing w:after="0" w:line="188" w:lineRule="exact"/>
              <w:rPr>
                <w:sz w:val="20"/>
                <w:szCs w:val="20"/>
                <w:color w:val="auto"/>
              </w:rPr>
            </w:pPr>
            <w:r>
              <w:rPr>
                <w:rFonts w:ascii="Times New Roman" w:cs="Times New Roman" w:eastAsia="Times New Roman" w:hAnsi="Times New Roman"/>
                <w:sz w:val="17"/>
                <w:szCs w:val="17"/>
                <w:color w:val="010101"/>
                <w:w w:val="78"/>
              </w:rPr>
              <w:t>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Properties</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160" w:type="dxa"/>
            <w:vAlign w:val="bottom"/>
            <w:tcBorders>
              <w:bottom w:val="single" w:sz="8" w:color="010101"/>
            </w:tcBorders>
          </w:tcPr>
          <w:p>
            <w:pPr>
              <w:ind w:left="40"/>
              <w:spacing w:after="0" w:line="188" w:lineRule="exact"/>
              <w:rPr>
                <w:sz w:val="20"/>
                <w:szCs w:val="20"/>
                <w:color w:val="auto"/>
              </w:rPr>
            </w:pPr>
            <w:r>
              <w:rPr>
                <w:rFonts w:ascii="Times New Roman" w:cs="Times New Roman" w:eastAsia="Times New Roman" w:hAnsi="Times New Roman"/>
                <w:sz w:val="17"/>
                <w:szCs w:val="17"/>
                <w:color w:val="010101"/>
                <w:w w:val="78"/>
              </w:rPr>
              <w:t>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Legal Proceedings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160" w:type="dxa"/>
            <w:vAlign w:val="bottom"/>
            <w:tcBorders>
              <w:bottom w:val="single" w:sz="8" w:color="010101"/>
            </w:tcBorders>
          </w:tcPr>
          <w:p>
            <w:pPr>
              <w:ind w:left="40"/>
              <w:spacing w:after="0" w:line="188" w:lineRule="exact"/>
              <w:rPr>
                <w:sz w:val="20"/>
                <w:szCs w:val="20"/>
                <w:color w:val="auto"/>
              </w:rPr>
            </w:pPr>
            <w:r>
              <w:rPr>
                <w:rFonts w:ascii="Times New Roman" w:cs="Times New Roman" w:eastAsia="Times New Roman" w:hAnsi="Times New Roman"/>
                <w:sz w:val="17"/>
                <w:szCs w:val="17"/>
                <w:color w:val="010101"/>
                <w:w w:val="78"/>
              </w:rPr>
              <w:t>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Mine Safety Disclosures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395"/>
        </w:trPr>
        <w:tc>
          <w:tcPr>
            <w:tcW w:w="640" w:type="dxa"/>
            <w:vAlign w:val="bottom"/>
            <w:gridSpan w:val="4"/>
          </w:tcPr>
          <w:p>
            <w:pPr>
              <w:spacing w:after="0"/>
              <w:rPr>
                <w:sz w:val="20"/>
                <w:szCs w:val="20"/>
                <w:color w:val="auto"/>
              </w:rPr>
            </w:pPr>
            <w:r>
              <w:rPr>
                <w:rFonts w:ascii="Times New Roman" w:cs="Times New Roman" w:eastAsia="Times New Roman" w:hAnsi="Times New Roman"/>
                <w:sz w:val="17"/>
                <w:szCs w:val="17"/>
                <w:color w:val="010101"/>
              </w:rPr>
              <w:t>PART 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
        </w:trPr>
        <w:tc>
          <w:tcPr>
            <w:tcW w:w="320" w:type="dxa"/>
            <w:vAlign w:val="bottom"/>
            <w:shd w:val="clear" w:color="auto" w:fill="010101"/>
          </w:tcPr>
          <w:p>
            <w:pPr>
              <w:spacing w:after="0" w:line="20" w:lineRule="exact"/>
              <w:rPr>
                <w:sz w:val="1"/>
                <w:szCs w:val="1"/>
                <w:color w:val="auto"/>
              </w:rPr>
            </w:pPr>
          </w:p>
        </w:tc>
        <w:tc>
          <w:tcPr>
            <w:tcW w:w="260" w:type="dxa"/>
            <w:vAlign w:val="bottom"/>
            <w:gridSpan w:val="2"/>
            <w:shd w:val="clear" w:color="auto" w:fill="01010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10101"/>
                <w:w w:val="78"/>
              </w:rPr>
              <w:t>5.</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60" w:type="dxa"/>
            <w:vAlign w:val="bottom"/>
            <w:gridSpan w:val="9"/>
            <w:vMerge w:val="restart"/>
          </w:tcPr>
          <w:p>
            <w:pPr>
              <w:ind w:left="60"/>
              <w:spacing w:after="0"/>
              <w:rPr>
                <w:sz w:val="20"/>
                <w:szCs w:val="20"/>
                <w:color w:val="auto"/>
              </w:rPr>
            </w:pPr>
            <w:r>
              <w:rPr>
                <w:rFonts w:ascii="Times New Roman" w:cs="Times New Roman" w:eastAsia="Times New Roman" w:hAnsi="Times New Roman"/>
                <w:sz w:val="17"/>
                <w:szCs w:val="17"/>
                <w:u w:val="single" w:color="auto"/>
                <w:color w:val="010101"/>
              </w:rPr>
              <w:t>Market for Registrant’s Common Equity, Related Stockholder Matters and Issuer Purchases of Equity Securities</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160" w:type="dxa"/>
            <w:vAlign w:val="bottom"/>
            <w:tcBorders>
              <w:bottom w:val="single" w:sz="8" w:color="010101"/>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gridSpan w:val="9"/>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160" w:type="dxa"/>
            <w:vAlign w:val="bottom"/>
          </w:tcPr>
          <w:p>
            <w:pPr>
              <w:ind w:left="40"/>
              <w:spacing w:after="0" w:line="188" w:lineRule="exact"/>
              <w:rPr>
                <w:sz w:val="20"/>
                <w:szCs w:val="20"/>
                <w:color w:val="auto"/>
              </w:rPr>
            </w:pPr>
            <w:r>
              <w:rPr>
                <w:rFonts w:ascii="Times New Roman" w:cs="Times New Roman" w:eastAsia="Times New Roman" w:hAnsi="Times New Roman"/>
                <w:sz w:val="17"/>
                <w:szCs w:val="17"/>
                <w:color w:val="010101"/>
                <w:w w:val="78"/>
              </w:rPr>
              <w:t>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color w:val="010101"/>
              </w:rPr>
              <w:t>[Reserved]</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gridSpan w:val="3"/>
            <w:shd w:val="clear" w:color="auto" w:fill="010101"/>
          </w:tcPr>
          <w:p>
            <w:pPr>
              <w:spacing w:after="0" w:line="20" w:lineRule="exact"/>
              <w:rPr>
                <w:sz w:val="1"/>
                <w:szCs w:val="1"/>
                <w:color w:val="auto"/>
              </w:rPr>
            </w:pPr>
          </w:p>
        </w:tc>
        <w:tc>
          <w:tcPr>
            <w:tcW w:w="160" w:type="dxa"/>
            <w:vAlign w:val="bottom"/>
            <w:shd w:val="clear" w:color="auto" w:fill="01010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shd w:val="clear" w:color="auto" w:fill="010101"/>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160" w:type="dxa"/>
            <w:vAlign w:val="bottom"/>
            <w:tcBorders>
              <w:bottom w:val="single" w:sz="8" w:color="010101"/>
            </w:tcBorders>
          </w:tcPr>
          <w:p>
            <w:pPr>
              <w:ind w:left="40"/>
              <w:spacing w:after="0" w:line="188" w:lineRule="exact"/>
              <w:rPr>
                <w:sz w:val="20"/>
                <w:szCs w:val="20"/>
                <w:color w:val="auto"/>
              </w:rPr>
            </w:pPr>
            <w:r>
              <w:rPr>
                <w:rFonts w:ascii="Times New Roman" w:cs="Times New Roman" w:eastAsia="Times New Roman" w:hAnsi="Times New Roman"/>
                <w:sz w:val="17"/>
                <w:szCs w:val="17"/>
                <w:color w:val="010101"/>
                <w:w w:val="78"/>
              </w:rPr>
              <w:t>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Management’s Discussion and Analysis of Financial Condition and Results of Operations</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36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17"/>
                <w:szCs w:val="17"/>
                <w:color w:val="010101"/>
              </w:rPr>
              <w:t>7A.</w:t>
            </w: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Quantitative and Qualitative Disclosures About Market Risk</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top w:val="single" w:sz="8" w:color="010101"/>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160" w:type="dxa"/>
            <w:vAlign w:val="bottom"/>
            <w:tcBorders>
              <w:top w:val="single" w:sz="8" w:color="010101"/>
              <w:bottom w:val="single" w:sz="8" w:color="010101"/>
            </w:tcBorders>
          </w:tcPr>
          <w:p>
            <w:pPr>
              <w:ind w:left="40"/>
              <w:spacing w:after="0" w:line="188" w:lineRule="exact"/>
              <w:rPr>
                <w:sz w:val="20"/>
                <w:szCs w:val="20"/>
                <w:color w:val="auto"/>
              </w:rPr>
            </w:pPr>
            <w:r>
              <w:rPr>
                <w:rFonts w:ascii="Times New Roman" w:cs="Times New Roman" w:eastAsia="Times New Roman" w:hAnsi="Times New Roman"/>
                <w:sz w:val="17"/>
                <w:szCs w:val="17"/>
                <w:color w:val="010101"/>
                <w:w w:val="78"/>
              </w:rPr>
              <w:t>8.</w:t>
            </w:r>
          </w:p>
        </w:tc>
        <w:tc>
          <w:tcPr>
            <w:tcW w:w="80" w:type="dxa"/>
            <w:vAlign w:val="bottom"/>
            <w:tcBorders>
              <w:top w:val="single" w:sz="8" w:color="010101"/>
            </w:tcBorders>
          </w:tcPr>
          <w:p>
            <w:pPr>
              <w:spacing w:after="0"/>
              <w:rPr>
                <w:sz w:val="16"/>
                <w:szCs w:val="16"/>
                <w:color w:val="auto"/>
              </w:rPr>
            </w:pPr>
          </w:p>
        </w:tc>
        <w:tc>
          <w:tcPr>
            <w:tcW w:w="20" w:type="dxa"/>
            <w:vAlign w:val="bottom"/>
            <w:tcBorders>
              <w:top w:val="single" w:sz="8" w:color="010101"/>
            </w:tcBorders>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Financial Statements and Supplementary Data</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160" w:type="dxa"/>
            <w:vAlign w:val="bottom"/>
            <w:tcBorders>
              <w:bottom w:val="single" w:sz="8" w:color="010101"/>
            </w:tcBorders>
          </w:tcPr>
          <w:p>
            <w:pPr>
              <w:ind w:left="40"/>
              <w:spacing w:after="0" w:line="188" w:lineRule="exact"/>
              <w:rPr>
                <w:sz w:val="20"/>
                <w:szCs w:val="20"/>
                <w:color w:val="auto"/>
              </w:rPr>
            </w:pPr>
            <w:r>
              <w:rPr>
                <w:rFonts w:ascii="Times New Roman" w:cs="Times New Roman" w:eastAsia="Times New Roman" w:hAnsi="Times New Roman"/>
                <w:sz w:val="17"/>
                <w:szCs w:val="17"/>
                <w:color w:val="010101"/>
                <w:w w:val="78"/>
              </w:rPr>
              <w:t>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Changes in and Disagreements With Accountants on Accounting and Financial Disclosure</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71"/>
              </w:rPr>
              <w:t>9A.</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color w:val="010101"/>
              </w:rPr>
              <w:t>Controls and Procedures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gridSpan w:val="3"/>
            <w:shd w:val="clear" w:color="auto" w:fill="010101"/>
          </w:tcPr>
          <w:p>
            <w:pPr>
              <w:spacing w:after="0" w:line="20" w:lineRule="exact"/>
              <w:rPr>
                <w:sz w:val="1"/>
                <w:szCs w:val="1"/>
                <w:color w:val="auto"/>
              </w:rPr>
            </w:pPr>
          </w:p>
        </w:tc>
        <w:tc>
          <w:tcPr>
            <w:tcW w:w="240" w:type="dxa"/>
            <w:vAlign w:val="bottom"/>
            <w:gridSpan w:val="2"/>
            <w:shd w:val="clear" w:color="auto" w:fill="010101"/>
          </w:tcPr>
          <w:p>
            <w:pPr>
              <w:spacing w:after="0" w:line="20" w:lineRule="exact"/>
              <w:rPr>
                <w:sz w:val="1"/>
                <w:szCs w:val="1"/>
                <w:color w:val="auto"/>
              </w:rPr>
            </w:pPr>
          </w:p>
        </w:tc>
        <w:tc>
          <w:tcPr>
            <w:tcW w:w="20" w:type="dxa"/>
            <w:vAlign w:val="bottom"/>
            <w:shd w:val="clear" w:color="auto" w:fill="010101"/>
          </w:tcPr>
          <w:p>
            <w:pPr>
              <w:spacing w:after="0" w:line="20" w:lineRule="exact"/>
              <w:rPr>
                <w:sz w:val="1"/>
                <w:szCs w:val="1"/>
                <w:color w:val="auto"/>
              </w:rPr>
            </w:pPr>
          </w:p>
        </w:tc>
        <w:tc>
          <w:tcPr>
            <w:tcW w:w="100" w:type="dxa"/>
            <w:vAlign w:val="bottom"/>
            <w:tcBorders>
              <w:left w:val="single" w:sz="8" w:color="010101"/>
            </w:tcBorders>
          </w:tcPr>
          <w:p>
            <w:pPr>
              <w:spacing w:after="0" w:line="20" w:lineRule="exact"/>
              <w:rPr>
                <w:sz w:val="1"/>
                <w:szCs w:val="1"/>
                <w:color w:val="auto"/>
              </w:rPr>
            </w:pPr>
          </w:p>
        </w:tc>
        <w:tc>
          <w:tcPr>
            <w:tcW w:w="120" w:type="dxa"/>
            <w:vAlign w:val="bottom"/>
            <w:tcBorders>
              <w:right w:val="single" w:sz="8" w:color="010101"/>
            </w:tcBorders>
          </w:tcPr>
          <w:p>
            <w:pPr>
              <w:spacing w:after="0" w:line="20" w:lineRule="exact"/>
              <w:rPr>
                <w:sz w:val="1"/>
                <w:szCs w:val="1"/>
                <w:color w:val="auto"/>
              </w:rPr>
            </w:pPr>
          </w:p>
        </w:tc>
        <w:tc>
          <w:tcPr>
            <w:tcW w:w="1200" w:type="dxa"/>
            <w:vAlign w:val="bottom"/>
            <w:gridSpan w:val="4"/>
            <w:shd w:val="clear" w:color="auto" w:fill="010101"/>
          </w:tcPr>
          <w:p>
            <w:pPr>
              <w:spacing w:after="0" w:line="20" w:lineRule="exact"/>
              <w:rPr>
                <w:sz w:val="1"/>
                <w:szCs w:val="1"/>
                <w:color w:val="auto"/>
              </w:rPr>
            </w:pPr>
          </w:p>
        </w:tc>
        <w:tc>
          <w:tcPr>
            <w:tcW w:w="440" w:type="dxa"/>
            <w:vAlign w:val="bottom"/>
            <w:shd w:val="clear" w:color="auto" w:fill="010101"/>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74"/>
              </w:rPr>
              <w:t>9B.</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color w:val="010101"/>
              </w:rPr>
              <w:t>Other Information</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gridSpan w:val="3"/>
            <w:shd w:val="clear" w:color="auto" w:fill="010101"/>
          </w:tcPr>
          <w:p>
            <w:pPr>
              <w:spacing w:after="0" w:line="20" w:lineRule="exact"/>
              <w:rPr>
                <w:sz w:val="1"/>
                <w:szCs w:val="1"/>
                <w:color w:val="auto"/>
              </w:rPr>
            </w:pPr>
          </w:p>
        </w:tc>
        <w:tc>
          <w:tcPr>
            <w:tcW w:w="240" w:type="dxa"/>
            <w:vAlign w:val="bottom"/>
            <w:gridSpan w:val="2"/>
            <w:shd w:val="clear" w:color="auto" w:fill="010101"/>
          </w:tcPr>
          <w:p>
            <w:pPr>
              <w:spacing w:after="0" w:line="20" w:lineRule="exact"/>
              <w:rPr>
                <w:sz w:val="1"/>
                <w:szCs w:val="1"/>
                <w:color w:val="auto"/>
              </w:rPr>
            </w:pPr>
          </w:p>
        </w:tc>
        <w:tc>
          <w:tcPr>
            <w:tcW w:w="20" w:type="dxa"/>
            <w:vAlign w:val="bottom"/>
            <w:shd w:val="clear" w:color="auto" w:fill="01010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10101"/>
            </w:tcBorders>
          </w:tcPr>
          <w:p>
            <w:pPr>
              <w:spacing w:after="0" w:line="20" w:lineRule="exact"/>
              <w:rPr>
                <w:sz w:val="1"/>
                <w:szCs w:val="1"/>
                <w:color w:val="auto"/>
              </w:rPr>
            </w:pPr>
          </w:p>
        </w:tc>
        <w:tc>
          <w:tcPr>
            <w:tcW w:w="1200" w:type="dxa"/>
            <w:vAlign w:val="bottom"/>
            <w:gridSpan w:val="4"/>
            <w:shd w:val="clear" w:color="auto" w:fill="010101"/>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36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17"/>
                <w:szCs w:val="17"/>
                <w:color w:val="010101"/>
              </w:rPr>
              <w:t>9C.</w:t>
            </w: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Disclosure Regarding Foreign Jurisdictions that Prevent Inspections</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gridSpan w:val="3"/>
            <w:shd w:val="clear" w:color="auto" w:fill="010101"/>
          </w:tcPr>
          <w:p>
            <w:pPr>
              <w:spacing w:after="0" w:line="20" w:lineRule="exact"/>
              <w:rPr>
                <w:sz w:val="1"/>
                <w:szCs w:val="1"/>
                <w:color w:val="auto"/>
              </w:rPr>
            </w:pPr>
          </w:p>
        </w:tc>
        <w:tc>
          <w:tcPr>
            <w:tcW w:w="160" w:type="dxa"/>
            <w:vAlign w:val="bottom"/>
            <w:shd w:val="clear" w:color="auto" w:fill="010101"/>
          </w:tcPr>
          <w:p>
            <w:pPr>
              <w:spacing w:after="0" w:line="20" w:lineRule="exact"/>
              <w:rPr>
                <w:sz w:val="1"/>
                <w:szCs w:val="1"/>
                <w:color w:val="auto"/>
              </w:rPr>
            </w:pPr>
          </w:p>
        </w:tc>
        <w:tc>
          <w:tcPr>
            <w:tcW w:w="80" w:type="dxa"/>
            <w:vAlign w:val="bottom"/>
            <w:shd w:val="clear" w:color="auto" w:fill="010101"/>
          </w:tcPr>
          <w:p>
            <w:pPr>
              <w:spacing w:after="0" w:line="20" w:lineRule="exact"/>
              <w:rPr>
                <w:sz w:val="1"/>
                <w:szCs w:val="1"/>
                <w:color w:val="auto"/>
              </w:rPr>
            </w:pPr>
          </w:p>
        </w:tc>
        <w:tc>
          <w:tcPr>
            <w:tcW w:w="20" w:type="dxa"/>
            <w:vAlign w:val="bottom"/>
            <w:shd w:val="clear" w:color="auto" w:fill="01010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40" w:type="dxa"/>
            <w:vAlign w:val="bottom"/>
            <w:tcBorders>
              <w:bottom w:val="single" w:sz="8" w:color="010101"/>
            </w:tcBorders>
            <w:gridSpan w:val="4"/>
          </w:tcPr>
          <w:p>
            <w:pPr>
              <w:jc w:val="right"/>
              <w:spacing w:after="0"/>
              <w:rPr>
                <w:sz w:val="20"/>
                <w:szCs w:val="20"/>
                <w:color w:val="auto"/>
              </w:rPr>
            </w:pPr>
            <w:r>
              <w:rPr>
                <w:rFonts w:ascii="Times New Roman" w:cs="Times New Roman" w:eastAsia="Times New Roman" w:hAnsi="Times New Roman"/>
                <w:sz w:val="17"/>
                <w:szCs w:val="17"/>
                <w:color w:val="010101"/>
                <w:w w:val="95"/>
              </w:rPr>
              <w:t>PART III</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tcBorders>
              <w:bottom w:val="single" w:sz="8" w:color="010101"/>
            </w:tcBorders>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84"/>
              </w:rPr>
              <w:t>10.</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Directors, Executive Officers and Corporate Governance</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40" w:type="dxa"/>
            <w:vAlign w:val="bottom"/>
            <w:tcBorders>
              <w:bottom w:val="single" w:sz="8" w:color="010101"/>
            </w:tcBorders>
            <w:gridSpan w:val="2"/>
          </w:tcPr>
          <w:p>
            <w:pPr>
              <w:ind w:left="40"/>
              <w:spacing w:after="0" w:line="188" w:lineRule="exact"/>
              <w:rPr>
                <w:sz w:val="20"/>
                <w:szCs w:val="20"/>
                <w:color w:val="auto"/>
              </w:rPr>
            </w:pPr>
            <w:r>
              <w:rPr>
                <w:rFonts w:ascii="Times New Roman" w:cs="Times New Roman" w:eastAsia="Times New Roman" w:hAnsi="Times New Roman"/>
                <w:sz w:val="17"/>
                <w:szCs w:val="17"/>
                <w:color w:val="010101"/>
                <w:w w:val="84"/>
              </w:rPr>
              <w:t>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Executive Compensation</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tcBorders>
              <w:bottom w:val="single" w:sz="8" w:color="010101"/>
            </w:tcBorders>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84"/>
              </w:rPr>
              <w:t>12.</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Security Ownership of Certain Beneficial Owners and Management and Related Stockholder Matters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170</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tcBorders>
              <w:bottom w:val="single" w:sz="8" w:color="010101"/>
            </w:tcBorders>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84"/>
              </w:rPr>
              <w:t>13.</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Certain Relationships and Related Transactions, and Director Independence</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tcBorders>
              <w:bottom w:val="single" w:sz="8" w:color="010101"/>
            </w:tcBorders>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84"/>
              </w:rPr>
              <w:t>14.</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Principal Accounting Fees and Services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395"/>
        </w:trPr>
        <w:tc>
          <w:tcPr>
            <w:tcW w:w="640" w:type="dxa"/>
            <w:vAlign w:val="bottom"/>
            <w:tcBorders>
              <w:bottom w:val="single" w:sz="8" w:color="010101"/>
            </w:tcBorders>
            <w:gridSpan w:val="4"/>
          </w:tcPr>
          <w:p>
            <w:pPr>
              <w:jc w:val="right"/>
              <w:spacing w:after="0"/>
              <w:rPr>
                <w:sz w:val="20"/>
                <w:szCs w:val="20"/>
                <w:color w:val="auto"/>
              </w:rPr>
            </w:pPr>
            <w:r>
              <w:rPr>
                <w:rFonts w:ascii="Times New Roman" w:cs="Times New Roman" w:eastAsia="Times New Roman" w:hAnsi="Times New Roman"/>
                <w:sz w:val="17"/>
                <w:szCs w:val="17"/>
                <w:color w:val="010101"/>
                <w:w w:val="94"/>
              </w:rPr>
              <w:t>PART IV</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84"/>
              </w:rPr>
              <w:t>15.</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color w:val="010101"/>
              </w:rPr>
              <w:t>Exhibits and Financial Statement Schedules</w:t>
            </w:r>
          </w:p>
        </w:tc>
        <w:tc>
          <w:tcPr>
            <w:tcW w:w="580" w:type="dxa"/>
            <w:vAlign w:val="bottom"/>
            <w:gridSpan w:val="2"/>
          </w:tcPr>
          <w:p>
            <w:pPr>
              <w:jc w:val="right"/>
              <w:ind w:right="20"/>
              <w:spacing w:after="0" w:line="188" w:lineRule="exact"/>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gridSpan w:val="3"/>
            <w:shd w:val="clear" w:color="auto" w:fill="010101"/>
          </w:tcPr>
          <w:p>
            <w:pPr>
              <w:spacing w:after="0" w:line="20" w:lineRule="exact"/>
              <w:rPr>
                <w:sz w:val="1"/>
                <w:szCs w:val="1"/>
                <w:color w:val="auto"/>
              </w:rPr>
            </w:pPr>
          </w:p>
        </w:tc>
        <w:tc>
          <w:tcPr>
            <w:tcW w:w="260" w:type="dxa"/>
            <w:vAlign w:val="bottom"/>
            <w:gridSpan w:val="3"/>
            <w:shd w:val="clear" w:color="auto" w:fill="01010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010101"/>
            </w:tcBorders>
          </w:tcPr>
          <w:p>
            <w:pPr>
              <w:spacing w:after="0" w:line="20" w:lineRule="exact"/>
              <w:rPr>
                <w:sz w:val="1"/>
                <w:szCs w:val="1"/>
                <w:color w:val="auto"/>
              </w:rPr>
            </w:pPr>
          </w:p>
        </w:tc>
        <w:tc>
          <w:tcPr>
            <w:tcW w:w="2960" w:type="dxa"/>
            <w:vAlign w:val="bottom"/>
            <w:gridSpan w:val="7"/>
            <w:shd w:val="clear" w:color="auto" w:fill="010101"/>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line="20" w:lineRule="exact"/>
              <w:rPr>
                <w:sz w:val="1"/>
                <w:szCs w:val="1"/>
                <w:color w:val="auto"/>
              </w:rPr>
            </w:pPr>
          </w:p>
        </w:tc>
      </w:tr>
      <w:tr>
        <w:trPr>
          <w:trHeight w:val="187"/>
        </w:trPr>
        <w:tc>
          <w:tcPr>
            <w:tcW w:w="320" w:type="dxa"/>
            <w:vAlign w:val="bottom"/>
          </w:tcPr>
          <w:p>
            <w:pPr>
              <w:spacing w:after="0"/>
              <w:rPr>
                <w:sz w:val="16"/>
                <w:szCs w:val="16"/>
                <w:color w:val="auto"/>
              </w:rPr>
            </w:pPr>
          </w:p>
        </w:tc>
        <w:tc>
          <w:tcPr>
            <w:tcW w:w="320" w:type="dxa"/>
            <w:vAlign w:val="bottom"/>
            <w:tcBorders>
              <w:bottom w:val="single" w:sz="8" w:color="010101"/>
            </w:tcBorders>
            <w:gridSpan w:val="3"/>
          </w:tcPr>
          <w:p>
            <w:pPr>
              <w:jc w:val="right"/>
              <w:spacing w:after="0" w:line="188" w:lineRule="exact"/>
              <w:rPr>
                <w:sz w:val="20"/>
                <w:szCs w:val="20"/>
                <w:color w:val="auto"/>
              </w:rPr>
            </w:pPr>
            <w:r>
              <w:rPr>
                <w:rFonts w:ascii="Times New Roman" w:cs="Times New Roman" w:eastAsia="Times New Roman" w:hAnsi="Times New Roman"/>
                <w:sz w:val="17"/>
                <w:szCs w:val="17"/>
                <w:color w:val="010101"/>
                <w:w w:val="96"/>
              </w:rPr>
              <w:t>Item</w:t>
            </w:r>
          </w:p>
        </w:tc>
        <w:tc>
          <w:tcPr>
            <w:tcW w:w="260" w:type="dxa"/>
            <w:vAlign w:val="bottom"/>
            <w:tcBorders>
              <w:bottom w:val="single" w:sz="8" w:color="010101"/>
            </w:tcBorders>
            <w:gridSpan w:val="3"/>
          </w:tcPr>
          <w:p>
            <w:pPr>
              <w:ind w:left="40"/>
              <w:spacing w:after="0" w:line="188" w:lineRule="exact"/>
              <w:rPr>
                <w:sz w:val="20"/>
                <w:szCs w:val="20"/>
                <w:color w:val="auto"/>
              </w:rPr>
            </w:pPr>
            <w:r>
              <w:rPr>
                <w:rFonts w:ascii="Times New Roman" w:cs="Times New Roman" w:eastAsia="Times New Roman" w:hAnsi="Times New Roman"/>
                <w:sz w:val="17"/>
                <w:szCs w:val="17"/>
                <w:color w:val="010101"/>
                <w:w w:val="84"/>
              </w:rPr>
              <w:t>16.</w:t>
            </w:r>
          </w:p>
        </w:tc>
        <w:tc>
          <w:tcPr>
            <w:tcW w:w="100" w:type="dxa"/>
            <w:vAlign w:val="bottom"/>
          </w:tcPr>
          <w:p>
            <w:pPr>
              <w:spacing w:after="0"/>
              <w:rPr>
                <w:sz w:val="16"/>
                <w:szCs w:val="16"/>
                <w:color w:val="auto"/>
              </w:rPr>
            </w:pPr>
          </w:p>
        </w:tc>
        <w:tc>
          <w:tcPr>
            <w:tcW w:w="8060" w:type="dxa"/>
            <w:vAlign w:val="bottom"/>
            <w:gridSpan w:val="9"/>
          </w:tcPr>
          <w:p>
            <w:pPr>
              <w:ind w:left="60"/>
              <w:spacing w:after="0" w:line="188" w:lineRule="exact"/>
              <w:rPr>
                <w:sz w:val="20"/>
                <w:szCs w:val="20"/>
                <w:color w:val="auto"/>
              </w:rPr>
            </w:pPr>
            <w:r>
              <w:rPr>
                <w:rFonts w:ascii="Times New Roman" w:cs="Times New Roman" w:eastAsia="Times New Roman" w:hAnsi="Times New Roman"/>
                <w:sz w:val="17"/>
                <w:szCs w:val="17"/>
                <w:u w:val="single" w:color="auto"/>
                <w:color w:val="010101"/>
              </w:rPr>
              <w:t>Form 10-K Summary</w:t>
            </w:r>
          </w:p>
        </w:tc>
        <w:tc>
          <w:tcPr>
            <w:tcW w:w="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60" w:type="dxa"/>
            <w:vAlign w:val="bottom"/>
            <w:gridSpan w:val="9"/>
          </w:tcPr>
          <w:p>
            <w:pPr>
              <w:ind w:left="60"/>
              <w:spacing w:after="0"/>
              <w:rPr>
                <w:sz w:val="20"/>
                <w:szCs w:val="20"/>
                <w:color w:val="auto"/>
              </w:rPr>
            </w:pPr>
            <w:r>
              <w:rPr>
                <w:rFonts w:ascii="Times New Roman" w:cs="Times New Roman" w:eastAsia="Times New Roman" w:hAnsi="Times New Roman"/>
                <w:sz w:val="17"/>
                <w:szCs w:val="17"/>
                <w:u w:val="single" w:color="auto"/>
                <w:color w:val="010101"/>
              </w:rPr>
              <w:t>Signatures</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508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1" w:name="page12"/>
    <w:bookmarkEnd w:id="11"/>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extLst>
                    </a:blip>
                    <a:srcRect/>
                    <a:stretch>
                      <a:fillRect/>
                    </a:stretch>
                  </pic:blipFill>
                  <pic:spPr bwMode="auto">
                    <a:xfrm>
                      <a:off x="0" y="0"/>
                      <a:ext cx="5080" cy="13970"/>
                    </a:xfrm>
                    <a:prstGeom prst="rect">
                      <a:avLst/>
                    </a:prstGeom>
                    <a:noFill/>
                  </pic:spPr>
                </pic:pic>
              </a:graphicData>
            </a:graphic>
          </wp:anchor>
        </w:drawing>
        <w:t>In this Annual Report on Form 10-K, the terms “we,” “us,” “our,” the “Company” and “TMC” mean TMC the metals company Inc. (formerly Sustainable Opportunities Acquisition Corp.) and our subsidiaries. On September 9, 2021 (the “Closing Date”), Sustainable Opportunities Acquisition Corp. (“SOAC” and after the Business Combination described herein, the “Company”)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 under which SOAC acquired DeepGreen and its business. In connection with the Business Combination, SOAC changed its name to “TMC the metals company Inc.” (“TMC”). The combined company’s common shares and warrants to purchase common shares commenced trading on the Nasdaq Global Select Market (“Nasdaq”) on September 10, 2021, under the symbols “TMC” and “TMCWW,” respectively.</w:t>
      </w:r>
    </w:p>
    <w:p>
      <w:pPr>
        <w:spacing w:after="0" w:line="172" w:lineRule="exact"/>
        <w:rPr>
          <w:sz w:val="20"/>
          <w:szCs w:val="20"/>
          <w:color w:val="auto"/>
        </w:rPr>
      </w:pPr>
    </w:p>
    <w:p>
      <w:pPr>
        <w:jc w:val="both"/>
        <w:ind w:firstLine="311"/>
        <w:spacing w:after="0" w:line="299" w:lineRule="auto"/>
        <w:rPr>
          <w:sz w:val="20"/>
          <w:szCs w:val="20"/>
          <w:color w:val="auto"/>
        </w:rPr>
      </w:pPr>
      <w:r>
        <w:rPr>
          <w:rFonts w:ascii="Times New Roman" w:cs="Times New Roman" w:eastAsia="Times New Roman" w:hAnsi="Times New Roman"/>
          <w:sz w:val="17"/>
          <w:szCs w:val="17"/>
          <w:color w:val="auto"/>
        </w:rPr>
        <w:t>As used in this Annual Report on Form 10-K, “Mtpa” refers to millions of tonnes per year, “ktpa” refers to thousands of tonnes per year, “dmtu” refers to dry metric tonne unit and “w/w” refers to weight for weight.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22"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This Annual Report on Form 10-K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Annual Report on Form 10-K include, but are not limited to, statements about:</w:t>
      </w:r>
    </w:p>
    <w:p>
      <w:pPr>
        <w:spacing w:after="0" w:line="174" w:lineRule="exact"/>
        <w:rPr>
          <w:sz w:val="20"/>
          <w:szCs w:val="20"/>
          <w:color w:val="auto"/>
        </w:rPr>
      </w:pPr>
    </w:p>
    <w:p>
      <w:pPr>
        <w:ind w:left="660" w:hanging="314"/>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and technical feasibility of seafloor polymetallic nodule collection and processing;</w:t>
      </w:r>
    </w:p>
    <w:p>
      <w:pPr>
        <w:spacing w:after="0" w:line="219" w:lineRule="exact"/>
        <w:rPr>
          <w:rFonts w:ascii="Times New Roman" w:cs="Times New Roman" w:eastAsia="Times New Roman" w:hAnsi="Times New Roman"/>
          <w:sz w:val="17"/>
          <w:szCs w:val="17"/>
          <w:color w:val="auto"/>
        </w:rPr>
      </w:pPr>
    </w:p>
    <w:p>
      <w:pPr>
        <w:jc w:val="both"/>
        <w:ind w:left="660" w:hanging="314"/>
        <w:spacing w:after="0" w:line="269" w:lineRule="auto"/>
        <w:tabs>
          <w:tab w:leader="none" w:pos="66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60"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supply and demand for battery metals and battery cathode feedstocks, copper cathode and manganese ores;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prices of battery metals and battery cathode feedstocks, copper cathode and manganese ores;</w:t>
      </w:r>
    </w:p>
    <w:p>
      <w:pPr>
        <w:spacing w:after="0" w:line="219" w:lineRule="exact"/>
        <w:rPr>
          <w:rFonts w:ascii="Times New Roman" w:cs="Times New Roman" w:eastAsia="Times New Roman" w:hAnsi="Times New Roman"/>
          <w:sz w:val="17"/>
          <w:szCs w:val="17"/>
          <w:color w:val="auto"/>
        </w:rPr>
      </w:pPr>
    </w:p>
    <w:p>
      <w:pPr>
        <w:ind w:left="660" w:right="20" w:hanging="315"/>
        <w:spacing w:after="0" w:line="298"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spacing w:after="0" w:line="13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regulation of mineral extraction from the deep seafloor and changes in mining laws and regulations;</w:t>
      </w:r>
    </w:p>
    <w:p>
      <w:pPr>
        <w:spacing w:after="0" w:line="219" w:lineRule="exact"/>
        <w:rPr>
          <w:rFonts w:ascii="Times New Roman" w:cs="Times New Roman" w:eastAsia="Times New Roman" w:hAnsi="Times New Roman"/>
          <w:sz w:val="17"/>
          <w:szCs w:val="17"/>
          <w:color w:val="auto"/>
        </w:rPr>
      </w:pPr>
    </w:p>
    <w:p>
      <w:pPr>
        <w:ind w:left="660" w:hanging="315"/>
        <w:spacing w:after="0" w:line="298"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operational, environmental, social and governance risks of developing and deploying equipment to collect and ship polymetallic nodules at sea, and to process such nodules on land;</w:t>
      </w:r>
    </w:p>
    <w:p>
      <w:pPr>
        <w:spacing w:after="0" w:line="136" w:lineRule="exact"/>
        <w:rPr>
          <w:rFonts w:ascii="Times New Roman" w:cs="Times New Roman" w:eastAsia="Times New Roman" w:hAnsi="Times New Roman"/>
          <w:sz w:val="17"/>
          <w:szCs w:val="17"/>
          <w:color w:val="auto"/>
        </w:rPr>
      </w:pPr>
    </w:p>
    <w:p>
      <w:pPr>
        <w:ind w:left="660" w:hanging="315"/>
        <w:spacing w:after="0" w:line="298"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sources and timing of potential revenue as well as the timing and amount of estimated future production, costs of production, other expenses, capital expenditures and requirements for additional capital;</w:t>
      </w:r>
    </w:p>
    <w:p>
      <w:pPr>
        <w:spacing w:after="0" w:line="13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flow provided by operating activities;</w:t>
      </w:r>
    </w:p>
    <w:p>
      <w:pPr>
        <w:sectPr>
          <w:pgSz w:w="12240" w:h="15840" w:orient="portrait"/>
          <w:cols w:equalWidth="0" w:num="1">
            <w:col w:w="9620"/>
          </w:cols>
          <w:pgMar w:left="1320" w:top="1337" w:right="130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367030</wp:posOffset>
                </wp:positionV>
                <wp:extent cx="611060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9pt" to="481.3pt,28.9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12" w:name="page13"/>
    <w:bookmarkEnd w:id="12"/>
    <w:p>
      <w:pPr>
        <w:ind w:left="660" w:hanging="314"/>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expected activities of our partners under our key strategic relationships;</w:t>
      </w:r>
    </w:p>
    <w:p>
      <w:pPr>
        <w:spacing w:after="0" w:line="219" w:lineRule="exact"/>
        <w:rPr>
          <w:rFonts w:ascii="Times New Roman" w:cs="Times New Roman" w:eastAsia="Times New Roman" w:hAnsi="Times New Roman"/>
          <w:sz w:val="17"/>
          <w:szCs w:val="17"/>
          <w:color w:val="auto"/>
        </w:rPr>
      </w:pPr>
    </w:p>
    <w:p>
      <w:pPr>
        <w:ind w:left="660" w:hanging="314"/>
        <w:spacing w:after="0" w:line="298" w:lineRule="auto"/>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on hand to meet our working capital and capital expenditure requirements, the need for additional financing and our ability to continue as a going concern;</w:t>
      </w:r>
    </w:p>
    <w:p>
      <w:pPr>
        <w:spacing w:after="0" w:line="13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financing in the future, the nature of any such financing and our plans with respect thereto;</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litigation to which we are a party;</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and limitations on insurance coverage;</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mitigate our material weaknesses in our internal control over financial reporting;</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restatement of our financial statements;</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geological, metallurgical and geotechnical studies and opinions;</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mineral resource estimates;</w:t>
      </w:r>
    </w:p>
    <w:p>
      <w:pPr>
        <w:spacing w:after="0" w:line="218"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status as an emerging growth company, non-reporting Canadian issuer and passive foreign investment company (“PFIC”);</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infrastructure risks;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key management personnel and executive officers;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market conditions beyond our control;</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pandemics (including from COVID-19) on our business; and</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performance.</w:t>
      </w:r>
    </w:p>
    <w:p>
      <w:pPr>
        <w:spacing w:after="0" w:line="219"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These forward-looking statements are based on information available as of the date of this Annual Report on Form 10-K,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this Annual Report on Form 10-K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4">
                      <a:extLst>
                        <a:ext uri="{28A0092B-C50C-407E-A947-70E740481C1C}"/>
                      </a:extLst>
                    </a:blip>
                    <a:srcRect/>
                    <a:stretch>
                      <a:fillRect/>
                    </a:stretch>
                  </pic:blipFill>
                  <pic:spPr bwMode="auto">
                    <a:xfrm>
                      <a:off x="0" y="0"/>
                      <a:ext cx="5080" cy="13970"/>
                    </a:xfrm>
                    <a:prstGeom prst="rect">
                      <a:avLst/>
                    </a:prstGeom>
                    <a:noFill/>
                  </pic:spPr>
                </pic:pic>
              </a:graphicData>
            </a:graphic>
          </wp:anchor>
        </w:drawing>
        <w:t>PART I</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are a deep-sea minerals exploration company focused on the collection, processing and refining of polymetallic nodules found on the seafloor in international waters of the Clarion Clipperton Zone (“CCZ”), about 1,300 nautical miles (1,500 miles or 2,400 kilometers)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6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for electric vehicles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72" w:lineRule="exact"/>
        <w:rPr>
          <w:sz w:val="20"/>
          <w:szCs w:val="20"/>
          <w:color w:val="auto"/>
        </w:rPr>
      </w:pPr>
    </w:p>
    <w:p>
      <w:pPr>
        <w:jc w:val="both"/>
        <w:ind w:firstLine="311"/>
        <w:spacing w:after="0" w:line="247" w:lineRule="auto"/>
        <w:rPr>
          <w:sz w:val="20"/>
          <w:szCs w:val="20"/>
          <w:color w:val="auto"/>
        </w:rPr>
      </w:pPr>
      <w:r>
        <w:rPr>
          <w:rFonts w:ascii="Times New Roman" w:cs="Times New Roman" w:eastAsia="Times New Roman" w:hAnsi="Times New Roman"/>
          <w:sz w:val="17"/>
          <w:szCs w:val="17"/>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obtain and maintain sponsorship by a host nation that is a member of the ISA and signatory to UNCLOS, and such nation maintains effective supervision and regulatory control over such sponsored contractor. The ISA has issued a total of 19 polymetallic nodule exploration contracts covering approximately 1.28 million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or 0.4% of the global seafloor, 17 of which are in the CCZ. We hold exclusive exploration and commercial rights to three of the 17 polymetallic nodule contract areas in the CCZ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w:t>
      </w:r>
    </w:p>
    <w:p>
      <w:pPr>
        <w:spacing w:after="0" w:line="181"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are still in the exploration phase and have not yet obtained any exploitation contracts from the ISA, which will only be available after exploitation regulations have been established, to commence commercial scale polymetallic nodule collection in the CCZ nor do we have the applicable environmental and other permits required to build and operate commercial-scale polymetallic nodule processing and refining plants on land.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extLst>
                    </a:blip>
                    <a:srcRect/>
                    <a:stretch>
                      <a:fillRect/>
                    </a:stretch>
                  </pic:blipFill>
                  <pic:spPr bwMode="auto">
                    <a:xfrm>
                      <a:off x="0" y="0"/>
                      <a:ext cx="5080" cy="13970"/>
                    </a:xfrm>
                    <a:prstGeom prst="rect">
                      <a:avLst/>
                    </a:prstGeom>
                    <a:noFill/>
                  </pic:spPr>
                </pic:pic>
              </a:graphicData>
            </a:graphic>
          </wp:anchor>
        </w:drawing>
        <w:t>Polymetallic Nodules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Deep-sea polymetallic nodules form on or just below the sediment-covered seafloor of the abyssal plains. These nodules contain significant amounts of metals, and their unique characteristic compared to terrestrial deposits is the presence of four critical metals in one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113665</wp:posOffset>
            </wp:positionV>
            <wp:extent cx="4170045" cy="3193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extLst>
                        <a:ext uri="{28A0092B-C50C-407E-A947-70E740481C1C}"/>
                      </a:extLst>
                    </a:blip>
                    <a:srcRect/>
                    <a:stretch>
                      <a:fillRect/>
                    </a:stretch>
                  </pic:blipFill>
                  <pic:spPr bwMode="auto">
                    <a:xfrm>
                      <a:off x="0" y="0"/>
                      <a:ext cx="4170045" cy="3193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Source: TMC inaugural Impact Report 2021, filed May 2022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88">
                          <a:solidFill>
                            <a:srgbClr val="000000"/>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9pt"/>
            </w:pict>
          </mc:Fallback>
        </mc:AlternateContent>
      </w:r>
    </w:p>
    <w:p>
      <w:pPr>
        <w:sectPr>
          <w:pgSz w:w="12240" w:h="15840" w:orient="portrait"/>
          <w:cols w:equalWidth="0" w:num="1">
            <w:col w:w="9620"/>
          </w:cols>
          <w:pgMar w:left="1320" w:top="1334" w:right="130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extLst>
                    </a:blip>
                    <a:srcRect/>
                    <a:stretch>
                      <a:fillRect/>
                    </a:stretch>
                  </pic:blipFill>
                  <pic:spPr bwMode="auto">
                    <a:xfrm>
                      <a:off x="0" y="0"/>
                      <a:ext cx="5080" cy="13970"/>
                    </a:xfrm>
                    <a:prstGeom prst="rect">
                      <a:avLst/>
                    </a:prstGeom>
                    <a:noFill/>
                  </pic:spPr>
                </pic:pic>
              </a:graphicData>
            </a:graphic>
          </wp:anchor>
        </w:drawing>
        <w:t>Additionally, polymetallic nodules in the CCZ possess the following characteristics:</w:t>
      </w:r>
    </w:p>
    <w:p>
      <w:pPr>
        <w:spacing w:after="0" w:line="230" w:lineRule="exact"/>
        <w:rPr>
          <w:sz w:val="20"/>
          <w:szCs w:val="20"/>
          <w:color w:val="auto"/>
        </w:rPr>
      </w:pPr>
    </w:p>
    <w:p>
      <w:pPr>
        <w:ind w:left="1580"/>
        <w:spacing w:after="0"/>
        <w:tabs>
          <w:tab w:leader="none" w:pos="6480" w:val="left"/>
        </w:tabs>
        <w:rPr>
          <w:sz w:val="20"/>
          <w:szCs w:val="20"/>
          <w:color w:val="auto"/>
        </w:rPr>
      </w:pPr>
      <w:r>
        <w:rPr>
          <w:rFonts w:ascii="Times New Roman" w:cs="Times New Roman" w:eastAsia="Times New Roman" w:hAnsi="Times New Roman"/>
          <w:sz w:val="17"/>
          <w:szCs w:val="17"/>
          <w:b w:val="1"/>
          <w:bCs w:val="1"/>
          <w:color w:val="auto"/>
        </w:rPr>
        <w:t>Characteristic</w:t>
      </w:r>
      <w:r>
        <w:rPr>
          <w:sz w:val="20"/>
          <w:szCs w:val="20"/>
          <w:color w:val="auto"/>
        </w:rPr>
        <w:tab/>
      </w:r>
      <w:r>
        <w:rPr>
          <w:rFonts w:ascii="Times New Roman" w:cs="Times New Roman" w:eastAsia="Times New Roman" w:hAnsi="Times New Roman"/>
          <w:sz w:val="17"/>
          <w:szCs w:val="17"/>
          <w:b w:val="1"/>
          <w:bCs w:val="1"/>
          <w:color w:val="auto"/>
        </w:rPr>
        <w:t>What it means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164465</wp:posOffset>
                </wp:positionV>
                <wp:extent cx="6094730" cy="27178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4730" cy="271780"/>
                        </a:xfrm>
                        <a:prstGeom prst="rect">
                          <a:avLst/>
                        </a:prstGeom>
                        <a:solidFill>
                          <a:srgbClr val="A4A09E"/>
                        </a:solidFill>
                      </wps:spPr>
                      <wps:bodyPr/>
                    </wps:wsp>
                  </a:graphicData>
                </a:graphic>
              </wp:anchor>
            </w:drawing>
          </mc:Choice>
          <mc:Fallback>
            <w:pict>
              <v:rect id="Shape 45" o:spid="_x0000_s1070" style="position:absolute;margin-left:0.8pt;margin-top:12.95pt;width:479.9pt;height:2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4A09E" stroked="f"/>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707390</wp:posOffset>
                </wp:positionV>
                <wp:extent cx="6094095" cy="13970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4095" cy="139700"/>
                        </a:xfrm>
                        <a:prstGeom prst="rect">
                          <a:avLst/>
                        </a:prstGeom>
                        <a:solidFill>
                          <a:srgbClr val="A4A09E"/>
                        </a:solidFill>
                      </wps:spPr>
                      <wps:bodyPr/>
                    </wps:wsp>
                  </a:graphicData>
                </a:graphic>
              </wp:anchor>
            </w:drawing>
          </mc:Choice>
          <mc:Fallback>
            <w:pict>
              <v:rect id="Shape 46" o:spid="_x0000_s1071" style="position:absolute;margin-left:0.8pt;margin-top:55.7pt;width:479.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4A09E" stroked="f"/>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987425</wp:posOffset>
                </wp:positionV>
                <wp:extent cx="6094095" cy="13970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4095" cy="139700"/>
                        </a:xfrm>
                        <a:prstGeom prst="rect">
                          <a:avLst/>
                        </a:prstGeom>
                        <a:solidFill>
                          <a:srgbClr val="A4A09E"/>
                        </a:solidFill>
                      </wps:spPr>
                      <wps:bodyPr/>
                    </wps:wsp>
                  </a:graphicData>
                </a:graphic>
              </wp:anchor>
            </w:drawing>
          </mc:Choice>
          <mc:Fallback>
            <w:pict>
              <v:rect id="Shape 47" o:spid="_x0000_s1072" style="position:absolute;margin-left:0.8pt;margin-top:77.75pt;width:479.85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4A09E" stroked="f"/>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1267460</wp:posOffset>
                </wp:positionV>
                <wp:extent cx="6094730" cy="40322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4730" cy="403225"/>
                        </a:xfrm>
                        <a:prstGeom prst="rect">
                          <a:avLst/>
                        </a:prstGeom>
                        <a:solidFill>
                          <a:srgbClr val="A4A09E"/>
                        </a:solidFill>
                      </wps:spPr>
                      <wps:bodyPr/>
                    </wps:wsp>
                  </a:graphicData>
                </a:graphic>
              </wp:anchor>
            </w:drawing>
          </mc:Choice>
          <mc:Fallback>
            <w:pict>
              <v:rect id="Shape 48" o:spid="_x0000_s1073" style="position:absolute;margin-left:0.8pt;margin-top:99.8pt;width:479.9pt;height:3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4A09E" stroked="f"/>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1674495</wp:posOffset>
                </wp:positionV>
                <wp:extent cx="610235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131.85pt" to="481.3pt,131.85pt" o:allowincell="f" strokecolor="#000000" strokeweight="0.648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1271270</wp:posOffset>
                </wp:positionV>
                <wp:extent cx="610235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100.1pt" to="481.3pt,100.1pt" o:allowincell="f" strokecolor="#000000" strokeweight="0.649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1131570</wp:posOffset>
                </wp:positionV>
                <wp:extent cx="610235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89.1pt" to="481.3pt,89.1pt" o:allowincell="f" strokecolor="#000000" strokeweight="0.648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991235</wp:posOffset>
                </wp:positionV>
                <wp:extent cx="6102350"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78.05pt" to="481.3pt,78.05pt" o:allowincell="f" strokecolor="#000000" strokeweight="0.648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851535</wp:posOffset>
                </wp:positionV>
                <wp:extent cx="610235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67.05pt" to="481.3pt,67.05pt" o:allowincell="f" strokecolor="#000000" strokeweight="0.648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711200</wp:posOffset>
                </wp:positionV>
                <wp:extent cx="6102350"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56pt" to="481.3pt,56pt" o:allowincell="f" strokecolor="#000000" strokeweight="0.649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440055</wp:posOffset>
                </wp:positionV>
                <wp:extent cx="610235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34.65pt" to="481.3pt,34.65pt" o:allowincell="f" strokecolor="#000000" strokeweight="0.649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168275</wp:posOffset>
                </wp:positionV>
                <wp:extent cx="610235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13.25pt" to="481.3pt,13.25pt" o:allowincell="f" strokecolor="#000000" strokeweight="0.648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-111125</wp:posOffset>
                </wp:positionV>
                <wp:extent cx="610235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8.7499pt" to="481.3pt,-8.7499pt" o:allowincell="f" strokecolor="#000000" strokeweight="0.649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28575</wp:posOffset>
                </wp:positionV>
                <wp:extent cx="610235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2350"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8pt,2.25pt" to="481.3pt,2.25pt" o:allowincell="f" strokecolor="#000000" strokeweight="0.648pt"/>
            </w:pict>
          </mc:Fallback>
        </mc:AlternateContent>
        <mc:AlternateContent>
          <mc:Choice Requires="wps">
            <w:drawing>
              <wp:anchor simplePos="0" relativeHeight="251657728" behindDoc="1" locked="0" layoutInCell="0" allowOverlap="1">
                <wp:simplePos x="0" y="0"/>
                <wp:positionH relativeFrom="column">
                  <wp:posOffset>6108700</wp:posOffset>
                </wp:positionH>
                <wp:positionV relativeFrom="paragraph">
                  <wp:posOffset>-114935</wp:posOffset>
                </wp:positionV>
                <wp:extent cx="0" cy="179324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93240"/>
                        </a:xfrm>
                        <a:prstGeom prst="line">
                          <a:avLst/>
                        </a:prstGeom>
                        <a:solidFill>
                          <a:srgbClr val="FFFFFF"/>
                        </a:solidFill>
                        <a:ln w="8228">
                          <a:solidFill>
                            <a:srgbClr val="000000"/>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1pt,-9.0499pt" to="481pt,132.15pt" o:allowincell="f" strokecolor="#000000" strokeweight="0.6479pt"/>
            </w:pict>
          </mc:Fallback>
        </mc:AlternateContent>
        <mc:AlternateContent>
          <mc:Choice Requires="wps">
            <w:drawing>
              <wp:anchor simplePos="0" relativeHeight="251657728" behindDoc="1" locked="0" layoutInCell="0" allowOverlap="1">
                <wp:simplePos x="0" y="0"/>
                <wp:positionH relativeFrom="column">
                  <wp:posOffset>2843530</wp:posOffset>
                </wp:positionH>
                <wp:positionV relativeFrom="paragraph">
                  <wp:posOffset>-114935</wp:posOffset>
                </wp:positionV>
                <wp:extent cx="0" cy="179324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93240"/>
                        </a:xfrm>
                        <a:prstGeom prst="line">
                          <a:avLst/>
                        </a:prstGeom>
                        <a:solidFill>
                          <a:srgbClr val="FFFFFF"/>
                        </a:solidFill>
                        <a:ln w="8242">
                          <a:solidFill>
                            <a:srgbClr val="000000"/>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3.9pt,-9.0499pt" to="223.9pt,132.15pt" o:allowincell="f" strokecolor="#000000" strokeweight="0.649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-114935</wp:posOffset>
                </wp:positionV>
                <wp:extent cx="0" cy="179324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793240"/>
                        </a:xfrm>
                        <a:prstGeom prst="line">
                          <a:avLst/>
                        </a:prstGeom>
                        <a:solidFill>
                          <a:srgbClr val="FFFFFF"/>
                        </a:solidFill>
                        <a:ln w="8229">
                          <a:solidFill>
                            <a:srgbClr val="00000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pt,-9.0499pt" to="1.1pt,132.15pt" o:allowincell="f" strokecolor="#000000" strokeweight="0.648pt"/>
            </w:pict>
          </mc:Fallback>
        </mc:AlternateContent>
      </w:r>
    </w:p>
    <w:p>
      <w:pPr>
        <w:spacing w:after="0" w:line="8" w:lineRule="exact"/>
        <w:rPr>
          <w:sz w:val="20"/>
          <w:szCs w:val="20"/>
          <w:color w:val="auto"/>
        </w:rPr>
      </w:pPr>
    </w:p>
    <w:p>
      <w:pPr>
        <w:ind w:left="20"/>
        <w:spacing w:after="0"/>
        <w:tabs>
          <w:tab w:leader="none" w:pos="4460" w:val="left"/>
        </w:tabs>
        <w:rPr>
          <w:sz w:val="20"/>
          <w:szCs w:val="20"/>
          <w:color w:val="auto"/>
        </w:rPr>
      </w:pPr>
      <w:r>
        <w:rPr>
          <w:rFonts w:ascii="Times New Roman" w:cs="Times New Roman" w:eastAsia="Times New Roman" w:hAnsi="Times New Roman"/>
          <w:sz w:val="17"/>
          <w:szCs w:val="17"/>
          <w:color w:val="auto"/>
        </w:rPr>
        <w:t>Far removed from human communities</w:t>
      </w:r>
      <w:r>
        <w:rPr>
          <w:sz w:val="20"/>
          <w:szCs w:val="20"/>
          <w:color w:val="auto"/>
        </w:rPr>
        <w:tab/>
      </w:r>
      <w:r>
        <w:rPr>
          <w:rFonts w:ascii="Times New Roman" w:cs="Times New Roman" w:eastAsia="Times New Roman" w:hAnsi="Times New Roman"/>
          <w:sz w:val="17"/>
          <w:szCs w:val="17"/>
          <w:color w:val="auto"/>
        </w:rPr>
        <w:t>No need for social displacement</w:t>
      </w:r>
    </w:p>
    <w:p>
      <w:pPr>
        <w:spacing w:after="0" w:line="25" w:lineRule="exact"/>
        <w:rPr>
          <w:sz w:val="20"/>
          <w:szCs w:val="20"/>
          <w:color w:val="auto"/>
        </w:rPr>
      </w:pPr>
    </w:p>
    <w:p>
      <w:pPr>
        <w:ind w:left="20" w:right="1080"/>
        <w:spacing w:after="0" w:line="262" w:lineRule="auto"/>
        <w:rPr>
          <w:sz w:val="20"/>
          <w:szCs w:val="20"/>
          <w:color w:val="auto"/>
        </w:rPr>
      </w:pPr>
      <w:r>
        <w:rPr>
          <w:rFonts w:ascii="Times New Roman" w:cs="Times New Roman" w:eastAsia="Times New Roman" w:hAnsi="Times New Roman"/>
          <w:sz w:val="17"/>
          <w:szCs w:val="17"/>
          <w:color w:val="auto"/>
        </w:rPr>
        <w:t>No vegetation or other obstructions covering access to No need to remove overburden, no rock cutting or blasting nodules</w:t>
      </w:r>
    </w:p>
    <w:p>
      <w:pPr>
        <w:spacing w:after="0" w:line="214" w:lineRule="exact"/>
        <w:rPr>
          <w:sz w:val="20"/>
          <w:szCs w:val="20"/>
          <w:color w:val="auto"/>
        </w:rPr>
      </w:pPr>
    </w:p>
    <w:p>
      <w:pPr>
        <w:ind w:left="20" w:right="1560"/>
        <w:spacing w:after="0" w:line="262" w:lineRule="auto"/>
        <w:rPr>
          <w:sz w:val="20"/>
          <w:szCs w:val="20"/>
          <w:color w:val="auto"/>
        </w:rPr>
      </w:pPr>
      <w:r>
        <w:rPr>
          <w:rFonts w:ascii="Times New Roman" w:cs="Times New Roman" w:eastAsia="Times New Roman" w:hAnsi="Times New Roman"/>
          <w:sz w:val="17"/>
          <w:szCs w:val="17"/>
          <w:color w:val="auto"/>
        </w:rPr>
        <w:t>Unbound to the seafloor, 90% of nodule mass in the top 5 No need for destructive rock cutting and excavation cm of seafloor</w:t>
      </w:r>
    </w:p>
    <w:p>
      <w:pPr>
        <w:spacing w:after="0" w:line="1" w:lineRule="exact"/>
        <w:rPr>
          <w:sz w:val="20"/>
          <w:szCs w:val="20"/>
          <w:color w:val="auto"/>
        </w:rPr>
      </w:pPr>
    </w:p>
    <w:p>
      <w:pPr>
        <w:ind w:left="20"/>
        <w:spacing w:after="0"/>
        <w:tabs>
          <w:tab w:leader="none" w:pos="4460" w:val="left"/>
        </w:tabs>
        <w:rPr>
          <w:sz w:val="20"/>
          <w:szCs w:val="20"/>
          <w:color w:val="auto"/>
        </w:rPr>
      </w:pPr>
      <w:r>
        <w:rPr>
          <w:rFonts w:ascii="Times New Roman" w:cs="Times New Roman" w:eastAsia="Times New Roman" w:hAnsi="Times New Roman"/>
          <w:sz w:val="17"/>
          <w:szCs w:val="17"/>
          <w:color w:val="auto"/>
        </w:rPr>
        <w:t>High grades of four critical metals in a single ore</w:t>
      </w:r>
      <w:r>
        <w:rPr>
          <w:sz w:val="20"/>
          <w:szCs w:val="20"/>
          <w:color w:val="auto"/>
        </w:rPr>
        <w:tab/>
      </w:r>
      <w:r>
        <w:rPr>
          <w:rFonts w:ascii="Times New Roman" w:cs="Times New Roman" w:eastAsia="Times New Roman" w:hAnsi="Times New Roman"/>
          <w:sz w:val="17"/>
          <w:szCs w:val="17"/>
          <w:color w:val="auto"/>
        </w:rPr>
        <w:t>Less mass to process compared to land ores</w:t>
      </w:r>
    </w:p>
    <w:p>
      <w:pPr>
        <w:spacing w:after="0" w:line="25" w:lineRule="exact"/>
        <w:rPr>
          <w:sz w:val="20"/>
          <w:szCs w:val="20"/>
          <w:color w:val="auto"/>
        </w:rPr>
      </w:pPr>
    </w:p>
    <w:p>
      <w:pPr>
        <w:ind w:left="20"/>
        <w:spacing w:after="0"/>
        <w:tabs>
          <w:tab w:leader="none" w:pos="4460" w:val="left"/>
        </w:tabs>
        <w:rPr>
          <w:sz w:val="20"/>
          <w:szCs w:val="20"/>
          <w:color w:val="auto"/>
        </w:rPr>
      </w:pPr>
      <w:r>
        <w:rPr>
          <w:rFonts w:ascii="Times New Roman" w:cs="Times New Roman" w:eastAsia="Times New Roman" w:hAnsi="Times New Roman"/>
          <w:sz w:val="17"/>
          <w:szCs w:val="17"/>
          <w:color w:val="auto"/>
        </w:rPr>
        <w:t>Low head-grade variability</w:t>
      </w:r>
      <w:r>
        <w:rPr>
          <w:sz w:val="20"/>
          <w:szCs w:val="20"/>
          <w:color w:val="auto"/>
        </w:rPr>
        <w:tab/>
      </w:r>
      <w:r>
        <w:rPr>
          <w:rFonts w:ascii="Times New Roman" w:cs="Times New Roman" w:eastAsia="Times New Roman" w:hAnsi="Times New Roman"/>
          <w:sz w:val="17"/>
          <w:szCs w:val="17"/>
          <w:color w:val="auto"/>
        </w:rPr>
        <w:t>Potentially easy to process</w:t>
      </w:r>
    </w:p>
    <w:p>
      <w:pPr>
        <w:spacing w:after="0" w:line="25" w:lineRule="exact"/>
        <w:rPr>
          <w:sz w:val="20"/>
          <w:szCs w:val="20"/>
          <w:color w:val="auto"/>
        </w:rPr>
      </w:pPr>
    </w:p>
    <w:p>
      <w:pPr>
        <w:ind w:left="20"/>
        <w:spacing w:after="0"/>
        <w:tabs>
          <w:tab w:leader="none" w:pos="4460" w:val="left"/>
        </w:tabs>
        <w:rPr>
          <w:sz w:val="20"/>
          <w:szCs w:val="20"/>
          <w:color w:val="auto"/>
        </w:rPr>
      </w:pPr>
      <w:r>
        <w:rPr>
          <w:rFonts w:ascii="Times New Roman" w:cs="Times New Roman" w:eastAsia="Times New Roman" w:hAnsi="Times New Roman"/>
          <w:sz w:val="17"/>
          <w:szCs w:val="17"/>
          <w:color w:val="auto"/>
        </w:rPr>
        <w:t>2-10 cm diameter</w:t>
      </w:r>
      <w:r>
        <w:rPr>
          <w:sz w:val="20"/>
          <w:szCs w:val="20"/>
          <w:color w:val="auto"/>
        </w:rPr>
        <w:tab/>
      </w:r>
      <w:r>
        <w:rPr>
          <w:rFonts w:ascii="Times New Roman" w:cs="Times New Roman" w:eastAsia="Times New Roman" w:hAnsi="Times New Roman"/>
          <w:sz w:val="17"/>
          <w:szCs w:val="17"/>
          <w:color w:val="auto"/>
        </w:rPr>
        <w:t>Potentially easy to handle</w:t>
      </w:r>
    </w:p>
    <w:p>
      <w:pPr>
        <w:spacing w:after="0" w:line="25" w:lineRule="exact"/>
        <w:rPr>
          <w:sz w:val="20"/>
          <w:szCs w:val="20"/>
          <w:color w:val="auto"/>
        </w:rPr>
      </w:pPr>
    </w:p>
    <w:p>
      <w:pPr>
        <w:ind w:left="20"/>
        <w:spacing w:after="0"/>
        <w:tabs>
          <w:tab w:leader="none" w:pos="4460" w:val="left"/>
        </w:tabs>
        <w:rPr>
          <w:sz w:val="20"/>
          <w:szCs w:val="20"/>
          <w:color w:val="auto"/>
        </w:rPr>
      </w:pPr>
      <w:r>
        <w:rPr>
          <w:rFonts w:ascii="Times New Roman" w:cs="Times New Roman" w:eastAsia="Times New Roman" w:hAnsi="Times New Roman"/>
          <w:sz w:val="17"/>
          <w:szCs w:val="17"/>
          <w:color w:val="auto"/>
        </w:rPr>
        <w:t>Microporous</w:t>
      </w:r>
      <w:r>
        <w:rPr>
          <w:sz w:val="20"/>
          <w:szCs w:val="20"/>
          <w:color w:val="auto"/>
        </w:rPr>
        <w:tab/>
      </w:r>
      <w:r>
        <w:rPr>
          <w:rFonts w:ascii="Times New Roman" w:cs="Times New Roman" w:eastAsia="Times New Roman" w:hAnsi="Times New Roman"/>
          <w:sz w:val="17"/>
          <w:szCs w:val="17"/>
          <w:color w:val="auto"/>
        </w:rPr>
        <w:t>Potentially easy to smelt</w:t>
      </w:r>
    </w:p>
    <w:p>
      <w:pPr>
        <w:spacing w:after="0" w:line="25" w:lineRule="exact"/>
        <w:rPr>
          <w:sz w:val="20"/>
          <w:szCs w:val="20"/>
          <w:color w:val="auto"/>
        </w:rPr>
      </w:pPr>
    </w:p>
    <w:p>
      <w:pPr>
        <w:ind w:left="20"/>
        <w:spacing w:after="0"/>
        <w:tabs>
          <w:tab w:leader="none" w:pos="4460" w:val="left"/>
        </w:tabs>
        <w:rPr>
          <w:sz w:val="20"/>
          <w:szCs w:val="20"/>
          <w:color w:val="auto"/>
        </w:rPr>
      </w:pPr>
      <w:r>
        <w:rPr>
          <w:rFonts w:ascii="Times New Roman" w:cs="Times New Roman" w:eastAsia="Times New Roman" w:hAnsi="Times New Roman"/>
          <w:sz w:val="17"/>
          <w:szCs w:val="17"/>
          <w:color w:val="auto"/>
        </w:rPr>
        <w:t>Very low concentrations of hazardous elements like arsenic,</w:t>
      </w:r>
      <w:r>
        <w:rPr>
          <w:sz w:val="20"/>
          <w:szCs w:val="20"/>
          <w:color w:val="auto"/>
        </w:rPr>
        <w:tab/>
      </w:r>
      <w:r>
        <w:rPr>
          <w:rFonts w:ascii="Times New Roman" w:cs="Times New Roman" w:eastAsia="Times New Roman" w:hAnsi="Times New Roman"/>
          <w:sz w:val="17"/>
          <w:szCs w:val="17"/>
          <w:color w:val="auto"/>
        </w:rPr>
        <w:t>Potential to productize 100% of nodule mass and design a metallurgical</w:t>
      </w:r>
    </w:p>
    <w:p>
      <w:pPr>
        <w:spacing w:after="0" w:line="12" w:lineRule="exact"/>
        <w:rPr>
          <w:sz w:val="20"/>
          <w:szCs w:val="20"/>
          <w:color w:val="auto"/>
        </w:rPr>
      </w:pPr>
    </w:p>
    <w:p>
      <w:pPr>
        <w:ind w:left="20"/>
        <w:spacing w:after="0"/>
        <w:tabs>
          <w:tab w:leader="none" w:pos="4460" w:val="left"/>
        </w:tabs>
        <w:rPr>
          <w:sz w:val="20"/>
          <w:szCs w:val="20"/>
          <w:color w:val="auto"/>
        </w:rPr>
      </w:pPr>
      <w:r>
        <w:rPr>
          <w:rFonts w:ascii="Times New Roman" w:cs="Times New Roman" w:eastAsia="Times New Roman" w:hAnsi="Times New Roman"/>
          <w:sz w:val="17"/>
          <w:szCs w:val="17"/>
          <w:color w:val="auto"/>
        </w:rPr>
        <w:t>antimony and mercury</w:t>
      </w:r>
      <w:r>
        <w:rPr>
          <w:sz w:val="20"/>
          <w:szCs w:val="20"/>
          <w:color w:val="auto"/>
        </w:rPr>
        <w:tab/>
      </w:r>
      <w:r>
        <w:rPr>
          <w:rFonts w:ascii="Times New Roman" w:cs="Times New Roman" w:eastAsia="Times New Roman" w:hAnsi="Times New Roman"/>
          <w:sz w:val="17"/>
          <w:szCs w:val="17"/>
          <w:color w:val="auto"/>
        </w:rPr>
        <w:t>flowsheet that generates no tailings and leaves almost no solid waste</w:t>
      </w:r>
    </w:p>
    <w:p>
      <w:pPr>
        <w:spacing w:after="0" w:line="1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streams behind</w:t>
      </w:r>
    </w:p>
    <w:p>
      <w:pPr>
        <w:spacing w:after="0" w:line="23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 above characteristics of polymetallic nodules may provide an opportunity to compress lifecycle environmental and social impacts of producing critical metals as compared to land ores. In order to extract nickel, copper, cobalt and manganese from land ores, at least three different types of ores would need to be excavated. Mine development often involves social displacement and impacts on Indigenous people as well as deforestation, destruction of carbon sinks and biodiversity loss. In addition, several times more mass would need to be processed, often requiring significant amounts of local water resources; mining and processing tailings which can be toxic and need to be managed indefinitely in tailings dams, using dry-stacking or a practice known as deep-sea tailings placement (DSTP). Furthermore, metal production from land ores can release several toxic streams into the surrounding environment which can negatively impact the health of local communities and ecosystems. We believe using nodules to produce critical metals can help reduce several of these impacts associated with mining land ores. If our nodules are to be processed and refined in the United States (“U.S.”), we can also compress the current supply chain that some materials need to travel before reaching the U.S. of 50,000 miles down to 1,500 miles, while reducing dependency on China which dominates refining for battery metals such as nickel, cobalt and manganese.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22"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A 2021 study by the International Energy Agency shows that the production of energy transition minerals could increase by 600% by 2040 to meet the growing demand for low-carbon energy technologies required to keep global warming at 1.5°C. Given the wide range of environmental and social impacts associated with conventional land-based mining, we believe it is important to ensure that these large amounts of critical metals are sourced with the lowest environmental, social, and economic impacts possible. As the global supply of high-grade ore remains limited and metal demand increases, we can expect a larger environmental and social footprint, potential supply shortages and sustained increases in metal prices should land-based ores remain the only viable source of critical metals.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6" w:name="page17"/>
    <w:bookmarkEnd w:id="16"/>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0">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1">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Industries which represent an end-use segment that may require all four critical metals contained in nodules are of particular interest to us and represent potential market opportunities. Most notably, nodules contain metals that can be employed as: (i) feedstock for battery cathode precursors (nickel and cobalt sulfates) for EV and renewable energy storage markets, (ii) copper cathode for EV wiring, clean energy transmission and other applications, and (iii) manganese silicate for manganese alloy production required for steel production. See Section – </w:t>
      </w:r>
      <w:r>
        <w:rPr>
          <w:rFonts w:ascii="Times New Roman" w:cs="Times New Roman" w:eastAsia="Times New Roman" w:hAnsi="Times New Roman"/>
          <w:sz w:val="17"/>
          <w:szCs w:val="17"/>
          <w:i w:val="1"/>
          <w:iCs w:val="1"/>
          <w:color w:val="auto"/>
        </w:rPr>
        <w:t>Competitive Strengths.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120015</wp:posOffset>
            </wp:positionV>
            <wp:extent cx="5222875" cy="4361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2">
                      <a:extLst>
                        <a:ext uri="{28A0092B-C50C-407E-A947-70E740481C1C}"/>
                      </a:extLst>
                    </a:blip>
                    <a:srcRect/>
                    <a:stretch>
                      <a:fillRect/>
                    </a:stretch>
                  </pic:blipFill>
                  <pic:spPr bwMode="auto">
                    <a:xfrm>
                      <a:off x="0" y="0"/>
                      <a:ext cx="5222875" cy="4361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Battery Metals and EV Market Opportunity - Global</w:t>
      </w:r>
    </w:p>
    <w:p>
      <w:pPr>
        <w:spacing w:after="0" w:line="21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We believe there will be significant growth in EV demand, with many countries committing to phasing out cars that burn fossil fuels and many original equipment manufacturers (“OEMs”) devoting significant resources to the electrification of their vehicle offerings. In 2022, the number of signatories to the Zero Emission Vehicle declaration announced at the UN Climate Change Conference (COP26) in October 2021 increased to 214; the declaration is aimed at accelerating the transition to zero emission vehicles with a goal to reach 100% new EV car and van sales by 2040, and by 2035 in leading markets. Following the development of an energy crisis spurred by the Russian invasion of Ukraine, the European Parliament approved a law requiring that all new passenger cars and vans produce zero emissions by 2035, effectively banning the sale of new gas- and diesel-powered vehicles in the future (although a last-minute opposition from Germany in March 2023 has delayed the final vote on this law and may have put the laws’ future in doubt). . The law also increases carbon dioxide emission reduction targets for new cars to 55% for 2030 compared to 37.5% for 2021. Similarly in the U.S., 22 states, plus the District of Columbia and Puerto Rico, have set 100% decarbonized energy goals by 2050 or sooner, with the Biden administration seeking to make half of all new vehicles sold in the U.S. zero-emissions vehicles by 2030. We believe this</w:t>
      </w:r>
    </w:p>
    <w:p>
      <w:pPr>
        <w:sectPr>
          <w:pgSz w:w="12240" w:h="15840" w:orient="portrait"/>
          <w:cols w:equalWidth="0" w:num="1">
            <w:col w:w="9620"/>
          </w:cols>
          <w:pgMar w:left="1320" w:top="1337" w:right="1300"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367030</wp:posOffset>
                </wp:positionV>
                <wp:extent cx="611060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9pt" to="481.3pt,28.9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17" w:name="page18"/>
    <w:bookmarkEnd w:id="17"/>
    <w:p>
      <w:pPr>
        <w:jc w:val="both"/>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4">
                      <a:extLst>
                        <a:ext uri="{28A0092B-C50C-407E-A947-70E740481C1C}"/>
                      </a:extLst>
                    </a:blip>
                    <a:srcRect/>
                    <a:stretch>
                      <a:fillRect/>
                    </a:stretch>
                  </pic:blipFill>
                  <pic:spPr bwMode="auto">
                    <a:xfrm>
                      <a:off x="0" y="0"/>
                      <a:ext cx="5080" cy="13970"/>
                    </a:xfrm>
                    <a:prstGeom prst="rect">
                      <a:avLst/>
                    </a:prstGeom>
                    <a:noFill/>
                  </pic:spPr>
                </pic:pic>
              </a:graphicData>
            </a:graphic>
          </wp:anchor>
        </w:drawing>
        <w:t>transition to low carbon energy and EVs will test the limits of the current supply of certain metals, as EVs require several times more of these metals (such as nickel, cobalt and copper) than cars with internal combustion engines. Raw material shortages could potentially delay the achievement of the world’s energy transition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1071245</wp:posOffset>
            </wp:positionH>
            <wp:positionV relativeFrom="paragraph">
              <wp:posOffset>113665</wp:posOffset>
            </wp:positionV>
            <wp:extent cx="4170045" cy="56870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a:extLst>
                        <a:ext uri="{28A0092B-C50C-407E-A947-70E740481C1C}"/>
                      </a:extLst>
                    </a:blip>
                    <a:srcRect/>
                    <a:stretch>
                      <a:fillRect/>
                    </a:stretch>
                  </pic:blipFill>
                  <pic:spPr bwMode="auto">
                    <a:xfrm>
                      <a:off x="0" y="0"/>
                      <a:ext cx="4170045" cy="568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1283970</wp:posOffset>
            </wp:positionH>
            <wp:positionV relativeFrom="page">
              <wp:posOffset>864870</wp:posOffset>
            </wp:positionV>
            <wp:extent cx="5222875" cy="2781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222875" cy="2781935"/>
                    </a:xfrm>
                    <a:prstGeom prst="rect">
                      <a:avLst/>
                    </a:prstGeom>
                    <a:noFill/>
                  </pic:spPr>
                </pic:pic>
              </a:graphicData>
            </a:graphic>
          </wp:anchor>
        </w:drawing>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a:extLst>
                        <a:ext uri="{28A0092B-C50C-407E-A947-70E740481C1C}"/>
                      </a:extLst>
                    </a:blip>
                    <a:srcRect/>
                    <a:stretch>
                      <a:fillRect/>
                    </a:stretch>
                  </pic:blipFill>
                  <pic:spPr bwMode="auto">
                    <a:xfrm>
                      <a:off x="0" y="0"/>
                      <a:ext cx="508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Battery Metals and EV Market Opportunity - USA</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August 2021, the U.S. government announced a target of 50% EV sales by 2030. The announcement was followed by a ramp-up of industry commitments to build battery cell manufacturing gigafactories, which when aggregated across North America would represent approximately 1,047GWh of capacity, according to Benchmark Minerals Intelligence (“Benchmark”).</w:t>
      </w:r>
    </w:p>
    <w:p>
      <w:pPr>
        <w:spacing w:after="0" w:line="155"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color w:val="auto"/>
        </w:rPr>
        <w:t>In June 2021, the Biden administration’s 100-Day Review of Critical Minerals Supply Chains estimated that fully electrifying U.S. car sales would require 1,273ktpa of Class 1 nickel, 160ktpa of cobalt and 148ktpa of manganese, compared with existing U.S. primary production of 18ktpa of nickel, 0.6ktpa of cobalt, and zero primary production of manganese. Across our NORI and TOML contract areas, we have identified 15.9Mt of nickel, 2.3Mt of cobalt and 355Mt of manganese plus 13.5Mt of copper, with the potential to take the U.S. from zero or de minimis production of the three namesake elements in the most prominent battery cathode (NMC) to near self-sufficiency or potentially a net export position in each. Senator Lisa Murkowski wrote a letter to the U.S. Secretary of Energy, Jennifer Granholm, which noted “new and abundant sources of supply, such as polymetallic nodules, offer a pathway to mineral security for the United States.” The U.S. Secretary of Energy’s reply in July 2022 included, “In light of global demand for critical minerals, it is reasonable to expect that exploitation of marine resources will at some point occur. Department of Energy is continuing to work with interagency partners to consider all potential sources of critical minerals for the supply chain including the role that seabed nodules could play in the future.”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Market Opportunity</w:t>
      </w:r>
    </w:p>
    <w:p>
      <w:pPr>
        <w:spacing w:after="0" w:line="153"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All nickel, cobalt, copper and manganese going into EVs today are produced from land-based ores or recycled metal stock. Existing metal stocks available for recycling are insufficient to meet current demand. Even with high end-of-life product recycling rates, most of the new demand over the coming decades will have to be met by new mining. We believe the land mining sector is fundamentally challenged — ore grades are falling, production is moving to some of the more biodiverse and conflict-laden regions in the world (such as the Democratic Republic of the Congo, Indonesia, Philippines and South Africa), accessing ore bodies often requires a complete removal of ecosystems situated on and above such orebodies, and removing, breaking or tunneling through significant tonnage of waste rock. Toxic levels of heavy elements often found in land orebodies typically need to be removed, stored, and maintained indefinitely — a real challenge on seismically active and wet tropical islands in countries like Indonesia that accounts for most of the growth in nickel supply.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440" w:right="1300" w:bottom="1440" w:gutter="0" w:footer="0" w:header="0"/>
        </w:sectPr>
      </w:pPr>
    </w:p>
    <w:bookmarkStart w:id="19" w:name="page20"/>
    <w:bookmarkEnd w:id="19"/>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0">
                      <a:extLst>
                        <a:ext uri="{28A0092B-C50C-407E-A947-70E740481C1C}"/>
                      </a:extLst>
                    </a:blip>
                    <a:srcRect/>
                    <a:stretch>
                      <a:fillRect/>
                    </a:stretch>
                  </pic:blipFill>
                  <pic:spPr bwMode="auto">
                    <a:xfrm>
                      <a:off x="0" y="0"/>
                      <a:ext cx="5080" cy="13970"/>
                    </a:xfrm>
                    <a:prstGeom prst="rect">
                      <a:avLst/>
                    </a:prstGeom>
                    <a:noFill/>
                  </pic:spPr>
                </pic:pic>
              </a:graphicData>
            </a:graphic>
          </wp:anchor>
        </w:drawing>
        <w:t>As a result of a vigorous campaign by several non-governmental organizations, some participants in the EV supply chain have called for a general moratorium on all forms of deep seabed mining until there is more knowledge about marine impacts of nodule collection operations. While our Environmental &amp; Social Impact Assessment (ESIA) for offshore nodule collection segment of the NORI Area D Nodule Project is still ongoing, based on already completed research into lifecycle impacts of battery metal production specifically from deep-sea polymetallic nodules, we believe that nodules provide an opportunity to significantly compress most lifecycle environmental, social and governance (ESG) impacts associated with conventional metal production from land-based 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121285</wp:posOffset>
            </wp:positionV>
            <wp:extent cx="5222875" cy="2929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1">
                      <a:extLst>
                        <a:ext uri="{28A0092B-C50C-407E-A947-70E740481C1C}"/>
                      </a:extLst>
                    </a:blip>
                    <a:srcRect/>
                    <a:stretch>
                      <a:fillRect/>
                    </a:stretch>
                  </pic:blipFill>
                  <pic:spPr bwMode="auto">
                    <a:xfrm>
                      <a:off x="0" y="0"/>
                      <a:ext cx="5222875"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20" w:name="page21"/>
    <w:bookmarkEnd w:id="20"/>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3">
                      <a:extLst>
                        <a:ext uri="{28A0092B-C50C-407E-A947-70E740481C1C}"/>
                      </a:extLst>
                    </a:blip>
                    <a:srcRect/>
                    <a:stretch>
                      <a:fillRect/>
                    </a:stretch>
                  </pic:blipFill>
                  <pic:spPr bwMode="auto">
                    <a:xfrm>
                      <a:off x="0" y="0"/>
                      <a:ext cx="5080" cy="13970"/>
                    </a:xfrm>
                    <a:prstGeom prst="rect">
                      <a:avLst/>
                    </a:prstGeom>
                    <a:noFill/>
                  </pic:spPr>
                </pic:pic>
              </a:graphicData>
            </a:graphic>
          </wp:anchor>
        </w:drawing>
        <w:t>To quantify comparative ESG footprints of metal production from nodules as compared to conventional land ores, we commissioned several lifecycle assessments (“LCAs”) looking at the cradle-to-gate impacts of producing nickel, copper, cobalt and manganese products from polymetallic nodules and how it compares to land-based routes. An LCA white paper examining a comprehensive set of impacts was commissioned by us and co-authored by certain of our executive officers in 2018 and reviewed by subject matter specialists and published on our website in April 2020; an LCA research paper focusing on climate change impacts was peer-reviewed and published in the Elsevier Journal of Cleaner Production in December 2020, an LCA research paper focusing on solid waste streams was peer-reviewed and published in the Yale Journal of Industrial Ecology in January 2022 and an LCA compliant with the International Organization for Standardization Standard 14040 on our NORI Area D project was conducted by Benchmark and released in March 2023. Based on these LCA assessments that we commissioned and certain of our executive officers co-authored, we believe that we are positioned to become one of the lowest ESG footprint metal companies in the industry. The March 2023 LCA by Benchmark shows that the NORI Area D project performed better in each impact category analyzed than all the land-based processing routes chosen for comparison, except for the global warming potential (“GWP”) and water consumption of producing cobalt sulfate, in which one land-based route performed better. While most of these reductions are attributable to the unique characteristics of the polymetallic nodule resource as described above, the elimination of solid processing waste streams onshore is due to our investment in a near-zero-waste flowsheet design and low carbon emissions are due to our commitment to locate onshore processing facilities in places with access to renewable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128270</wp:posOffset>
            </wp:positionV>
            <wp:extent cx="5222875" cy="2921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4">
                      <a:extLst>
                        <a:ext uri="{28A0092B-C50C-407E-A947-70E740481C1C}"/>
                      </a:extLst>
                    </a:blip>
                    <a:srcRect/>
                    <a:stretch>
                      <a:fillRect/>
                    </a:stretch>
                  </pic:blipFill>
                  <pic:spPr bwMode="auto">
                    <a:xfrm>
                      <a:off x="0" y="0"/>
                      <a:ext cx="5222875" cy="292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Benchmark modeled the land-based processing routes with background ecoinvent data and foreground data from two expert chemical engineers in the nickel and cobalt industry. The NORI Area D Project data is based on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on Form 10-K.</w:t>
      </w:r>
    </w:p>
    <w:p>
      <w:pPr>
        <w:spacing w:after="0" w:line="16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Benchmark LCA is currently assessing the impacts of the NORI Area D Project on marine biodiversity and ecosystem function as part of the ESIA conducted by NORI in partnership with world leading deep sea research institutions and contractors. The CCZ abyssal plains are one of the most common and least populated habitats on the planet, akin to barren deserts on land. The CCZ abyssal seafloor is plant-free, food-poor and dominated by bacterial life forms. It has been studied extensively since the 1960s with over 150,000 papers published on polymetallic nodules in general and over 40,000 on CCZ nodules in particular.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21" w:name="page22"/>
    <w:bookmarkEnd w:id="21"/>
    <w:p>
      <w:pPr>
        <w:jc w:val="both"/>
        <w:ind w:firstLine="311"/>
        <w:spacing w:after="0" w:line="23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56">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largest driver of uncertainty in assessing the potential future impact of nodule collection operations on marine biodiversity is our ability to measure biodiversity itself. Unlike biodiversity, biomass, measured as carbon contained in live organisms per 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of habitat, is easier to measure and compare. Based on available data we have reviewed, we believe that the CCZ is one of lowest biomass places on the planet. Metal production from nodules will reduce biomass at risk by over 90% compared to producing the same amount of metals from conventional land 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132080</wp:posOffset>
            </wp:positionV>
            <wp:extent cx="5222875" cy="45675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7">
                      <a:extLst>
                        <a:ext uri="{28A0092B-C50C-407E-A947-70E740481C1C}"/>
                      </a:extLst>
                    </a:blip>
                    <a:srcRect/>
                    <a:stretch>
                      <a:fillRect/>
                    </a:stretch>
                  </pic:blipFill>
                  <pic:spPr bwMode="auto">
                    <a:xfrm>
                      <a:off x="0" y="0"/>
                      <a:ext cx="5222875" cy="4567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11"/>
        <w:spacing w:after="0" w:line="244" w:lineRule="auto"/>
        <w:rPr>
          <w:sz w:val="20"/>
          <w:szCs w:val="20"/>
          <w:color w:val="auto"/>
        </w:rPr>
      </w:pPr>
      <w:r>
        <w:rPr>
          <w:rFonts w:ascii="Times New Roman" w:cs="Times New Roman" w:eastAsia="Times New Roman" w:hAnsi="Times New Roman"/>
          <w:sz w:val="17"/>
          <w:szCs w:val="17"/>
          <w:color w:val="auto"/>
        </w:rPr>
        <w:t>As a precautionary environmental management and protection measure, the ISA has already set aside 43% of the CCZ as protected areas or 1.97 million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or Areas of Particular Environmental Interest (APEIs) aiming to ensure that all types of habitats that could be impacted by exploitation are represented within APEIs. For comparison, only approximately 7% of global oceans are protected today and the global target agreed in the High Seas Treaty in March 2023 is to protect 30% of the oceans by 2030. Additional marine impact mitigation measures such as setting aside more no-take areas inside our contract areas and leaving partial nodule cover inside collection areas to aid natural recovery of bacterial and other communities are also being evaluated. We are collaborating with some of the world’s leading researchers to conduct environmental baseline and collection impact studies to design plans that could mitigate marine impacts of nodule collection through collection system design and adaptive management systems.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22" w:name="page23"/>
    <w:bookmarkEnd w:id="22"/>
    <w:p>
      <w:pPr>
        <w:jc w:val="both"/>
        <w:ind w:firstLine="311"/>
        <w:spacing w:after="0" w:line="19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9">
                      <a:extLst>
                        <a:ext uri="{28A0092B-C50C-407E-A947-70E740481C1C}"/>
                      </a:extLst>
                    </a:blip>
                    <a:srcRect/>
                    <a:stretch>
                      <a:fillRect/>
                    </a:stretch>
                  </pic:blipFill>
                  <pic:spPr bwMode="auto">
                    <a:xfrm>
                      <a:off x="0" y="0"/>
                      <a:ext cx="5080" cy="13970"/>
                    </a:xfrm>
                    <a:prstGeom prst="rect">
                      <a:avLst/>
                    </a:prstGeom>
                    <a:noFill/>
                  </pic:spPr>
                </pic:pic>
              </a:graphicData>
            </a:graphic>
          </wp:anchor>
        </w:drawing>
        <w:t>If the entire CCZ area currently under exploration (1.28 million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were to be exploited over a 30-year period, these nodule collection operations would impact 42,500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of the abyssal seafloor per year in one of the least productive areas of the ocean (with respect to the abundance of marine life). This is less than 1% of the estimated 4,900,000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of the seafloor currently impacted every year by trawling operations that take place primarily in highly productive coastal waters.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132080</wp:posOffset>
            </wp:positionV>
            <wp:extent cx="5222875" cy="33826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0">
                      <a:extLst>
                        <a:ext uri="{28A0092B-C50C-407E-A947-70E740481C1C}"/>
                      </a:extLst>
                    </a:blip>
                    <a:srcRect/>
                    <a:stretch>
                      <a:fillRect/>
                    </a:stretch>
                  </pic:blipFill>
                  <pic:spPr bwMode="auto">
                    <a:xfrm>
                      <a:off x="0" y="0"/>
                      <a:ext cx="5222875" cy="3382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Potential future commercial-scale nodule collection operations in the CCZ are likely to disturb marine wildlife in the operating area. The nature and severity of these impacts on CCZ wildlife are expected to vary by species and are currently subject to uncertainty. We have completed studies baselining wildlife and ecosystem function, piloting the nodule collection system and assessing impacts arising from the use of this system, and collected data processing and assessment are currently in progress. Given the significant volume of deep water and the difficulty of sampling or retrieving biological specimens in the CCZ, a complete biological inventory might never be established. Accordingly, impacts on CCZ biodiversity may never be completely and definitively known. For the same reasons, it may also not be possible to definitively establish whether the impact of nodule collection on global biodiversity will be less significant than those estimated for land-based mining for a similar amount of produced metal.</w:t>
      </w:r>
    </w:p>
    <w:p>
      <w:pPr>
        <w:spacing w:after="0" w:line="172"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It is also currently not definitively known how effectively the risk of biodiversity loss in the CCZ could be eliminated or reduced through mitigation strategies or how long it will take for disturbed seabed areas to recover naturally. Prior research indicates that the density, diversity and function of fauna representing most of the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areas would aid recruitment and recovery of nodule-dependent species in impacted areas will depend on factors like habitat connectivity, which is an area that is still under study.</w:t>
      </w:r>
    </w:p>
    <w:p>
      <w:pPr>
        <w:spacing w:after="0" w:line="165"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We are still in the exploration phase of the project and do not have the exploitation contracts necessary to commence commercial-scale nodule collection operations in the CCZ nor have we obtained the applicable environmental and other permits required to build and operate commercial scale polymetallic nodule processing and refining plants on land.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0" w:right="1300" w:bottom="1440" w:gutter="0" w:footer="0" w:header="0"/>
        </w:sectPr>
      </w:pPr>
    </w:p>
    <w:bookmarkStart w:id="23" w:name="page24"/>
    <w:bookmarkEnd w:id="23"/>
    <w:p>
      <w:pPr>
        <w:jc w:val="both"/>
        <w:ind w:firstLine="312"/>
        <w:spacing w:after="0" w:line="25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2">
                      <a:extLst>
                        <a:ext uri="{28A0092B-C50C-407E-A947-70E740481C1C}"/>
                      </a:extLst>
                    </a:blip>
                    <a:srcRect/>
                    <a:stretch>
                      <a:fillRect/>
                    </a:stretch>
                  </pic:blipFill>
                  <pic:spPr bwMode="auto">
                    <a:xfrm>
                      <a:off x="0" y="0"/>
                      <a:ext cx="5080" cy="13970"/>
                    </a:xfrm>
                    <a:prstGeom prst="rect">
                      <a:avLst/>
                    </a:prstGeom>
                    <a:noFill/>
                  </pic:spPr>
                </pic:pic>
              </a:graphicData>
            </a:graphic>
          </wp:anchor>
        </w:drawing>
        <w:t>All extractive industries result in impacts to the receiving environment. Nodule collection is no exception and will impact the deep-sea marine environment through nodule removal, disturbance of seafloor sediment (“seafloor plumes”) and return of seawater used for nodule transport that is expected to contain residual sediment and nodule fines back in the water column (“midwater plumes”). Baselining the impacted marine environment by characterizing the ecosystem and then developing measures to avoid and mitigate these impacts is the central focus of our ESIA program currently being undertaken in partnership with some of the world’s leading deep-sea research institutions. Nodule removal will impact species that depend on the hard nodule substrate for attachment. The severity of the impact will depend on (1) the extent to which these species are represented in the APEIs set aside by the ISA and additional no-take areas set aside by us and (2) the extent to which residual nodule cover will aid recruitment and recovery of these species in impacted areas. Disturbance of the seafloor by nodule collector vehicles is expected to disturb (mostly microbial) organisms living in and on the sediments. Impact severity will depend on the depth of sediment disturbance (expected to be approximately 5 cm based on modelling, lab tests, and recent collector tests completed in the CCZ by our subsidiary NORI and two other nodule contract-holders, Belgium’s Global Sea Mineral Resources NV (GSR) and the German’s BGR) and the impact this disturbance has on benthic ecosystem function. Over 90% of the entrained sediment is expected to be separated from nodules inside the collector vehicle and discharged behind the collector vehicle, most settling back to the seafloor within a few hundred meters. The impact of the residual plume will depend on how quickly the smaller mobile sediment particles re-settle, how far they travel and how the resulting sedimentation impacts the benthic organisms. Less than 10% of entrained sediment that will likely evade separation inside the collector vehicle will be transported with nodules and seawater through the riser pipe to the surface production vessel where nodules get dewatered and residual water, sediment and nodules fines will be returned at some depth in the water column below the highly populated and productive photic zone. Potential impacts from the mid-water sediment plume could include clogging of the delicate respiratory and filter feeding structures of pelagic zooplankton species, such as jellyfish and krill. However, the mid-water discharge is expected to have very low solid particle concentration and dilute to low levels within minutes. The depth of discharge will be selected based on ESIA results to minimize impact on life in the midwater column. According to a research paper on midwater sediment plumes published by researchers from the Massachusetts Institute of Technology (“MIT”) in Communications Earth &amp; Environment in July 2021, entrained sediment from the return of seawater used for nodule transport dilutes to natural background levels within a few hundred meters of the outlet. Another research paper on seafloor sediment plumes published by MIT and the Scripps Institution of Oceanography in September 2022 found that 92-98% of benthic plume generated from the pilot nodule collector vehicle rose only two meters above the seafloor.</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Strategic Positioning</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we are well positioned to meet the growing demand for critical battery metals:</w:t>
      </w:r>
    </w:p>
    <w:p>
      <w:pPr>
        <w:spacing w:after="0" w:line="217" w:lineRule="exact"/>
        <w:rPr>
          <w:sz w:val="20"/>
          <w:szCs w:val="20"/>
          <w:color w:val="auto"/>
        </w:rPr>
      </w:pPr>
    </w:p>
    <w:p>
      <w:pPr>
        <w:jc w:val="both"/>
        <w:ind w:left="660" w:hanging="315"/>
        <w:spacing w:after="0" w:line="261"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Increasing demand: </w:t>
      </w:r>
      <w:r>
        <w:rPr>
          <w:rFonts w:ascii="Times New Roman" w:cs="Times New Roman" w:eastAsia="Times New Roman" w:hAnsi="Times New Roman"/>
          <w:sz w:val="17"/>
          <w:szCs w:val="17"/>
          <w:color w:val="auto"/>
        </w:rPr>
        <w:t>The response to the climate change crisis is accelerating demand for EVs, renewable energy storage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infrastructure. To manufacture battery cells, gigafactories will need critical battery metals like nickel, cobalt, manganese, and copper to meet rising battery demand. The U.S. government maintained its target of 50% EV sales by 2030, spurring a ramp-up of battery gigafactory commitments, as well as the launch of </w:t>
      </w:r>
      <w:r>
        <w:rPr>
          <w:rFonts w:ascii="Times New Roman" w:cs="Times New Roman" w:eastAsia="Times New Roman" w:hAnsi="Times New Roman"/>
          <w:sz w:val="17"/>
          <w:szCs w:val="17"/>
          <w:i w:val="1"/>
          <w:iCs w:val="1"/>
          <w:color w:val="auto"/>
        </w:rPr>
        <w:t>Strategic Priorities for Ocean Exploration and Characterization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the US Exclusive Economic Zone, </w:t>
      </w:r>
      <w:r>
        <w:rPr>
          <w:rFonts w:ascii="Times New Roman" w:cs="Times New Roman" w:eastAsia="Times New Roman" w:hAnsi="Times New Roman"/>
          <w:sz w:val="17"/>
          <w:szCs w:val="17"/>
          <w:color w:val="auto"/>
        </w:rPr>
        <w:t>outlining Federal priorities for ocean exploration and characterization of critical minerals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Western and Central Pacific Ocean. Globally, the number of signatories to the Zero Emission Vehicle declaration announced at COP26 in October 2021 increased to 214, which is aimed at accelerating the transition to 100% new car sales being zero emission globally by 2040, and by 2035 in leading markets.</w:t>
      </w:r>
    </w:p>
    <w:p>
      <w:pPr>
        <w:spacing w:after="0" w:line="165" w:lineRule="exact"/>
        <w:rPr>
          <w:rFonts w:ascii="Times New Roman" w:cs="Times New Roman" w:eastAsia="Times New Roman" w:hAnsi="Times New Roman"/>
          <w:sz w:val="17"/>
          <w:szCs w:val="17"/>
          <w:color w:val="auto"/>
        </w:rPr>
      </w:pPr>
    </w:p>
    <w:p>
      <w:pPr>
        <w:jc w:val="both"/>
        <w:ind w:left="660" w:hanging="315"/>
        <w:spacing w:after="0" w:line="262"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Supporting energy security: </w:t>
      </w:r>
      <w:r>
        <w:rPr>
          <w:rFonts w:ascii="Times New Roman" w:cs="Times New Roman" w:eastAsia="Times New Roman" w:hAnsi="Times New Roman"/>
          <w:sz w:val="17"/>
          <w:szCs w:val="17"/>
          <w:color w:val="auto"/>
        </w:rPr>
        <w:t>In March 2022, the invasion of Ukraine by Russia and doubling of nickel pricing to all-time highs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2022 and 2023 resulted in closing of the LME nickel market. These events illustrated the volatility and vulnerability of international commodity markets, particularly for Class 1 nickel for which Russia is the world’s largest single producer. These events underscore a national security rationale for reducing the dependence on fossil fuels that is complicated by the stronghold position that Russia and China have as major miners and refiners of key clean energy metals. Our NORI and TOML contract areas contain amounts of these metals that rival today’s largest producers, ranked as the world’s #1 and #2 largest undeveloped nickel projects, respectively, by Mining.com in March 2022.</w:t>
      </w:r>
    </w:p>
    <w:p>
      <w:pPr>
        <w:spacing w:after="0" w:line="165" w:lineRule="exact"/>
        <w:rPr>
          <w:rFonts w:ascii="Times New Roman" w:cs="Times New Roman" w:eastAsia="Times New Roman" w:hAnsi="Times New Roman"/>
          <w:sz w:val="17"/>
          <w:szCs w:val="17"/>
          <w:color w:val="auto"/>
        </w:rPr>
      </w:pPr>
    </w:p>
    <w:p>
      <w:pPr>
        <w:jc w:val="both"/>
        <w:ind w:left="660" w:hanging="315"/>
        <w:spacing w:after="0" w:line="270"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Supporting climate justice: </w:t>
      </w:r>
      <w:r>
        <w:rPr>
          <w:rFonts w:ascii="Times New Roman" w:cs="Times New Roman" w:eastAsia="Times New Roman" w:hAnsi="Times New Roman"/>
          <w:sz w:val="17"/>
          <w:szCs w:val="17"/>
          <w:color w:val="auto"/>
        </w:rPr>
        <w:t>At the UN Climate Change Conference (COP27) in November 2022, a “loss and damage” fund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initiated, which aims to establish a long-overdue avenue to deliver vital support to vulnerable, developing countries disproportionately impacted by the accelerating climate crisis. This aligns with the direction of the ISA’s Capacity Development Strategy designed to ensure the effective participation of developing countries.</w:t>
      </w:r>
    </w:p>
    <w:p>
      <w:pPr>
        <w:sectPr>
          <w:pgSz w:w="12240" w:h="15840" w:orient="portrait"/>
          <w:cols w:equalWidth="0" w:num="1">
            <w:col w:w="9620"/>
          </w:cols>
          <w:pgMar w:left="1320" w:top="1337" w:right="130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24" w:name="page25"/>
    <w:bookmarkEnd w:id="24"/>
    <w:p>
      <w:pPr>
        <w:jc w:val="both"/>
        <w:ind w:left="660" w:hanging="315"/>
        <w:spacing w:after="0" w:line="266"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4">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Rising battery metal and battery cell prices: </w:t>
      </w:r>
      <w:r>
        <w:rPr>
          <w:rFonts w:ascii="Times New Roman" w:cs="Times New Roman" w:eastAsia="Times New Roman" w:hAnsi="Times New Roman"/>
          <w:sz w:val="17"/>
          <w:szCs w:val="17"/>
          <w:color w:val="auto"/>
        </w:rPr>
        <w:t>Commodity prices for metals like nickel and copper have recently reached multi-year highs and battery cell production costs are rising for the first time since the introduction of gigafactories in 2014. Since then, only Chinese battery manufacturers appear to have succeeded at returning to the previous trend of reducing battery costs. We believe that bringing new, strategically located metal sources online may help alleviate the cost pressures on battery cell production.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Advantages</w:t>
      </w:r>
    </w:p>
    <w:p>
      <w:pPr>
        <w:spacing w:after="0" w:line="222" w:lineRule="exact"/>
        <w:rPr>
          <w:sz w:val="20"/>
          <w:szCs w:val="20"/>
          <w:color w:val="auto"/>
        </w:rPr>
      </w:pPr>
    </w:p>
    <w:p>
      <w:pPr>
        <w:ind w:firstLine="311"/>
        <w:spacing w:after="0" w:line="298" w:lineRule="auto"/>
        <w:rPr>
          <w:sz w:val="20"/>
          <w:szCs w:val="20"/>
          <w:color w:val="auto"/>
        </w:rPr>
      </w:pPr>
      <w:r>
        <w:rPr>
          <w:rFonts w:ascii="Times New Roman" w:cs="Times New Roman" w:eastAsia="Times New Roman" w:hAnsi="Times New Roman"/>
          <w:sz w:val="17"/>
          <w:szCs w:val="17"/>
          <w:color w:val="auto"/>
        </w:rPr>
        <w:t>With the potential that our resources hold and the project advancements we have made to date, we believe we are better positioned than other suppliers to provide a solution to the growing need for critical battery metals:</w:t>
      </w:r>
    </w:p>
    <w:p>
      <w:pPr>
        <w:spacing w:after="0" w:line="134" w:lineRule="exact"/>
        <w:rPr>
          <w:sz w:val="20"/>
          <w:szCs w:val="20"/>
          <w:color w:val="auto"/>
        </w:rPr>
      </w:pPr>
    </w:p>
    <w:p>
      <w:pPr>
        <w:jc w:val="both"/>
        <w:ind w:left="660" w:hanging="315"/>
        <w:spacing w:after="0" w:line="270" w:lineRule="auto"/>
        <w:tabs>
          <w:tab w:leader="none" w:pos="65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Availability of abundant and high-grade resource off the U.S. western seaboard: </w:t>
      </w:r>
      <w:r>
        <w:rPr>
          <w:rFonts w:ascii="Times New Roman" w:cs="Times New Roman" w:eastAsia="Times New Roman" w:hAnsi="Times New Roman"/>
          <w:sz w:val="17"/>
          <w:szCs w:val="17"/>
          <w:color w:val="auto"/>
        </w:rPr>
        <w:t>There are four critical battery metals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(nickel, copper, cobalt and manganese) in relatively high concentrations in polymetallic nodules and we believe our contract areas have estimated </w:t>
      </w:r>
      <w:r>
        <w:rPr>
          <w:rFonts w:ascii="Times New Roman" w:cs="Times New Roman" w:eastAsia="Times New Roman" w:hAnsi="Times New Roman"/>
          <w:sz w:val="17"/>
          <w:szCs w:val="17"/>
          <w:i w:val="1"/>
          <w:iCs w:val="1"/>
          <w:color w:val="auto"/>
        </w:rPr>
        <w:t>in situ</w:t>
      </w:r>
      <w:r>
        <w:rPr>
          <w:rFonts w:ascii="Times New Roman" w:cs="Times New Roman" w:eastAsia="Times New Roman" w:hAnsi="Times New Roman"/>
          <w:sz w:val="17"/>
          <w:szCs w:val="17"/>
          <w:color w:val="auto"/>
        </w:rPr>
        <w:t xml:space="preserve"> quantities of these metals in quantities equivalent to the requirement for 280 million EVs, roughly the size of the entire U.S. passenger vehicle fleet on the road today.</w:t>
      </w:r>
    </w:p>
    <w:p>
      <w:pPr>
        <w:spacing w:after="0" w:line="157" w:lineRule="exact"/>
        <w:rPr>
          <w:rFonts w:ascii="Times New Roman" w:cs="Times New Roman" w:eastAsia="Times New Roman" w:hAnsi="Times New Roman"/>
          <w:sz w:val="17"/>
          <w:szCs w:val="17"/>
          <w:color w:val="auto"/>
        </w:rPr>
      </w:pPr>
    </w:p>
    <w:p>
      <w:pPr>
        <w:jc w:val="both"/>
        <w:ind w:left="660" w:hanging="314"/>
        <w:spacing w:after="0" w:line="266"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Opportunity for battery metal production in the U.S.: </w:t>
      </w:r>
      <w:r>
        <w:rPr>
          <w:rFonts w:ascii="Times New Roman" w:cs="Times New Roman" w:eastAsia="Times New Roman" w:hAnsi="Times New Roman"/>
          <w:sz w:val="17"/>
          <w:szCs w:val="17"/>
          <w:color w:val="auto"/>
        </w:rPr>
        <w:t>The current supply chain of battery materials to the U.S.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50,000 miles long and is predominantly controlled by nations and companies outside of the U.S., which is leading to increasing concerns about supply chain security in the U.S. and interest in breaking the U.S. mineral dependence by re-shoring battery material supply chain in the U.S. Our resource is 1,500 miles from San Diego and we believe we can eventually process and refine our polymetallic nodules in the U.S. which could potentially decrease the supply chain in the U.S. to 1,500 miles.</w:t>
      </w:r>
    </w:p>
    <w:p>
      <w:pPr>
        <w:spacing w:after="0" w:line="161" w:lineRule="exact"/>
        <w:rPr>
          <w:rFonts w:ascii="Times New Roman" w:cs="Times New Roman" w:eastAsia="Times New Roman" w:hAnsi="Times New Roman"/>
          <w:sz w:val="17"/>
          <w:szCs w:val="17"/>
          <w:color w:val="auto"/>
        </w:rPr>
      </w:pPr>
    </w:p>
    <w:p>
      <w:pPr>
        <w:jc w:val="both"/>
        <w:ind w:left="660" w:hanging="315"/>
        <w:spacing w:after="0" w:line="278"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Opportunity to reuse existing assets and skills: </w:t>
      </w:r>
      <w:r>
        <w:rPr>
          <w:rFonts w:ascii="Times New Roman" w:cs="Times New Roman" w:eastAsia="Times New Roman" w:hAnsi="Times New Roman"/>
          <w:sz w:val="17"/>
          <w:szCs w:val="17"/>
          <w:color w:val="auto"/>
        </w:rPr>
        <w:t>We believe there is an opportunity for us to partner with offshore service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providers with deep operational experience in subsea environments gained in the oil and gas industry and with existing assets that can be repurposed for our offshore operations.</w:t>
      </w:r>
    </w:p>
    <w:p>
      <w:pPr>
        <w:spacing w:after="0" w:line="150" w:lineRule="exact"/>
        <w:rPr>
          <w:rFonts w:ascii="Times New Roman" w:cs="Times New Roman" w:eastAsia="Times New Roman" w:hAnsi="Times New Roman"/>
          <w:sz w:val="17"/>
          <w:szCs w:val="17"/>
          <w:color w:val="auto"/>
        </w:rPr>
      </w:pPr>
    </w:p>
    <w:p>
      <w:pPr>
        <w:jc w:val="both"/>
        <w:ind w:left="660" w:hanging="314"/>
        <w:spacing w:after="0" w:line="270"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Demonstrated offshore technology: </w:t>
      </w:r>
      <w:r>
        <w:rPr>
          <w:rFonts w:ascii="Times New Roman" w:cs="Times New Roman" w:eastAsia="Times New Roman" w:hAnsi="Times New Roman"/>
          <w:sz w:val="17"/>
          <w:szCs w:val="17"/>
          <w:color w:val="auto"/>
        </w:rPr>
        <w:t>In November 2022, NORI and Allseas completed the Pilot Mining Test where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approximately 4,500 tonnes of wet nodules were collected and more than 3,000 tonnes of wet nodules were lifted 4.3km to the surface after traversing over 80km of the seafloor in the NORI Area D, achieving a production rate of 86.4 tonnes per hour with a scaled-down prototype seafloor nodule collector vehicle.</w:t>
      </w:r>
    </w:p>
    <w:p>
      <w:pPr>
        <w:spacing w:after="0" w:line="157" w:lineRule="exact"/>
        <w:rPr>
          <w:rFonts w:ascii="Times New Roman" w:cs="Times New Roman" w:eastAsia="Times New Roman" w:hAnsi="Times New Roman"/>
          <w:sz w:val="17"/>
          <w:szCs w:val="17"/>
          <w:color w:val="auto"/>
        </w:rPr>
      </w:pPr>
    </w:p>
    <w:p>
      <w:pPr>
        <w:jc w:val="both"/>
        <w:ind w:left="660" w:hanging="314"/>
        <w:spacing w:after="0" w:line="270"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Demonstrated onshore technology: </w:t>
      </w:r>
      <w:r>
        <w:rPr>
          <w:rFonts w:ascii="Times New Roman" w:cs="Times New Roman" w:eastAsia="Times New Roman" w:hAnsi="Times New Roman"/>
          <w:sz w:val="17"/>
          <w:szCs w:val="17"/>
          <w:color w:val="auto"/>
        </w:rPr>
        <w:t>In 2021, we successfully completed calcining and smelting of nodules into a manganese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silicate product and nickel-copper-cobalt alloy intermediate, followed by conversion and sulfidation of the alloy into matte. Testwork on the matte to define conditions for the hydrometallurgical refinery has been successfully conducted on several process stages and we anticipate completion of the program in 2023.</w:t>
      </w:r>
    </w:p>
    <w:p>
      <w:pPr>
        <w:spacing w:after="0" w:line="157" w:lineRule="exact"/>
        <w:rPr>
          <w:rFonts w:ascii="Times New Roman" w:cs="Times New Roman" w:eastAsia="Times New Roman" w:hAnsi="Times New Roman"/>
          <w:sz w:val="17"/>
          <w:szCs w:val="17"/>
          <w:color w:val="auto"/>
        </w:rPr>
      </w:pPr>
    </w:p>
    <w:p>
      <w:pPr>
        <w:jc w:val="both"/>
        <w:ind w:left="660" w:hanging="314"/>
        <w:spacing w:after="0" w:line="278"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Lower expected production cost: </w:t>
      </w:r>
      <w:r>
        <w:rPr>
          <w:rFonts w:ascii="Times New Roman" w:cs="Times New Roman" w:eastAsia="Times New Roman" w:hAnsi="Times New Roman"/>
          <w:sz w:val="17"/>
          <w:szCs w:val="17"/>
          <w:color w:val="auto"/>
        </w:rPr>
        <w:t>At our potential steady state production (expected to be approximately 12.5Mtpa of wet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nodules from 2030 to 2045), we expect to be the second lowest cost nickel producer in the world, when reflecting the value of our byproducts).</w:t>
      </w:r>
    </w:p>
    <w:p>
      <w:pPr>
        <w:spacing w:after="0" w:line="150" w:lineRule="exact"/>
        <w:rPr>
          <w:rFonts w:ascii="Times New Roman" w:cs="Times New Roman" w:eastAsia="Times New Roman" w:hAnsi="Times New Roman"/>
          <w:sz w:val="17"/>
          <w:szCs w:val="17"/>
          <w:color w:val="auto"/>
        </w:rPr>
      </w:pPr>
    </w:p>
    <w:p>
      <w:pPr>
        <w:jc w:val="both"/>
        <w:ind w:left="660" w:hanging="314"/>
        <w:spacing w:after="0" w:line="270" w:lineRule="auto"/>
        <w:tabs>
          <w:tab w:leader="none" w:pos="6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Lower expected environmental, social and governance footprint: </w:t>
      </w:r>
      <w:r>
        <w:rPr>
          <w:rFonts w:ascii="Times New Roman" w:cs="Times New Roman" w:eastAsia="Times New Roman" w:hAnsi="Times New Roman"/>
          <w:sz w:val="17"/>
          <w:szCs w:val="17"/>
          <w:color w:val="auto"/>
        </w:rPr>
        <w:t>The LCA completed by Benchmark in March 2023 shows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 NORI Area D project performed better in most impact categories analyzed than all the land-based routes chosen for comparison. We are developing a new type of high-grade multi-metal source found on the abyssal plain - a low biomass, low carbon sequestration deep-sea environment removed from human settlement.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Exploration Contracts</w:t>
      </w:r>
    </w:p>
    <w:p>
      <w:pPr>
        <w:spacing w:after="0" w:line="222" w:lineRule="exact"/>
        <w:rPr>
          <w:sz w:val="20"/>
          <w:szCs w:val="20"/>
          <w:color w:val="auto"/>
        </w:rPr>
      </w:pPr>
    </w:p>
    <w:p>
      <w:pPr>
        <w:ind w:firstLine="311"/>
        <w:spacing w:after="0" w:line="298" w:lineRule="auto"/>
        <w:rPr>
          <w:sz w:val="20"/>
          <w:szCs w:val="20"/>
          <w:color w:val="auto"/>
        </w:rPr>
      </w:pPr>
      <w:r>
        <w:rPr>
          <w:rFonts w:ascii="Times New Roman" w:cs="Times New Roman" w:eastAsia="Times New Roman" w:hAnsi="Times New Roman"/>
          <w:sz w:val="17"/>
          <w:szCs w:val="17"/>
          <w:color w:val="auto"/>
        </w:rPr>
        <w:t>We currently hold exclusive exploration rights through our subsidiaries in NORI and TOML and exclusive commercial rights through agreement with Marawa, to certain polymetallic nodule areas in the CCZ.</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sectPr>
      </w:pPr>
    </w:p>
    <w:bookmarkStart w:id="25" w:name="page26"/>
    <w:bookmarkEnd w:id="25"/>
    <w:p>
      <w:pPr>
        <w:jc w:val="both"/>
        <w:ind w:firstLine="311"/>
        <w:spacing w:after="0" w:line="245"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6">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NORI. </w:t>
      </w:r>
      <w:r>
        <w:rPr>
          <w:rFonts w:ascii="Times New Roman" w:cs="Times New Roman" w:eastAsia="Times New Roman" w:hAnsi="Times New Roman"/>
          <w:sz w:val="17"/>
          <w:szCs w:val="17"/>
          <w:color w:val="auto"/>
        </w:rPr>
        <w:t>NORI our wholly-owned subsidiary, holds exploration rights to four blocks (NORI Area A, B, C, and D, the “NORI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Area”) covering 74,830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that were granted by the ISA in July 2011. NORI is sponsored by Nauru pursuant to a certificate of sponsorship signed by the Government of Nauru on April 11, 2011. The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 Mining Rules. The NORI Technical Report Summary is filed as Exhibit 96.1 to this Annual Report on Form 10-K.</w:t>
      </w:r>
    </w:p>
    <w:p>
      <w:pPr>
        <w:spacing w:after="0" w:line="184" w:lineRule="exact"/>
        <w:rPr>
          <w:sz w:val="20"/>
          <w:szCs w:val="20"/>
          <w:color w:val="auto"/>
        </w:rPr>
      </w:pPr>
    </w:p>
    <w:p>
      <w:pPr>
        <w:jc w:val="both"/>
        <w:ind w:firstLine="311"/>
        <w:spacing w:after="0"/>
        <w:rPr>
          <w:sz w:val="20"/>
          <w:szCs w:val="20"/>
          <w:color w:val="auto"/>
        </w:rPr>
      </w:pPr>
      <w:r>
        <w:rPr>
          <w:rFonts w:ascii="Times New Roman" w:cs="Times New Roman" w:eastAsia="Times New Roman" w:hAnsi="Times New Roman"/>
          <w:sz w:val="17"/>
          <w:szCs w:val="17"/>
          <w:i w:val="1"/>
          <w:iCs w:val="1"/>
          <w:color w:val="auto"/>
        </w:rPr>
        <w:t xml:space="preserve">TOML. </w:t>
      </w:r>
      <w:r>
        <w:rPr>
          <w:rFonts w:ascii="Times New Roman" w:cs="Times New Roman" w:eastAsia="Times New Roman" w:hAnsi="Times New Roman"/>
          <w:sz w:val="17"/>
          <w:szCs w:val="17"/>
          <w:color w:val="auto"/>
        </w:rPr>
        <w:t>TOML our wholly-owned subsidiary which we acquired in March 2020, holds exploration rights to an area covering 74,713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 on Form 10-K.</w:t>
      </w:r>
    </w:p>
    <w:p>
      <w:pPr>
        <w:spacing w:after="0" w:line="187" w:lineRule="exact"/>
        <w:rPr>
          <w:sz w:val="20"/>
          <w:szCs w:val="20"/>
          <w:color w:val="auto"/>
        </w:rPr>
      </w:pPr>
    </w:p>
    <w:p>
      <w:pPr>
        <w:jc w:val="both"/>
        <w:ind w:firstLine="311"/>
        <w:spacing w:after="0"/>
        <w:rPr>
          <w:sz w:val="20"/>
          <w:szCs w:val="20"/>
          <w:color w:val="auto"/>
        </w:rPr>
      </w:pPr>
      <w:r>
        <w:rPr>
          <w:rFonts w:ascii="Times New Roman" w:cs="Times New Roman" w:eastAsia="Times New Roman" w:hAnsi="Times New Roman"/>
          <w:sz w:val="17"/>
          <w:szCs w:val="17"/>
          <w:i w:val="1"/>
          <w:iCs w:val="1"/>
          <w:color w:val="auto"/>
        </w:rPr>
        <w:t xml:space="preserve">Marawa. </w:t>
      </w:r>
      <w:r>
        <w:rPr>
          <w:rFonts w:ascii="Times New Roman" w:cs="Times New Roman" w:eastAsia="Times New Roman" w:hAnsi="Times New Roman"/>
          <w:sz w:val="17"/>
          <w:szCs w:val="17"/>
          <w:color w:val="auto"/>
        </w:rPr>
        <w:t>DGE, our wholly-owned subsidiary, entered into agreements with Marawa and Kiribati which provide DGE with exclusive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exploration rights to an area covering 74,990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(the “Marawa Contract Area”). The exploration contract between Marawa and the ISA (the “Marawa Exploration Contract”) was signed on January 19, 2015. To date, limited offshore marine resource definition activities in the Marawa Contract Area have occurred. We expect to collaborate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133985</wp:posOffset>
            </wp:positionV>
            <wp:extent cx="5222875" cy="2551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7">
                      <a:extLst>
                        <a:ext uri="{28A0092B-C50C-407E-A947-70E740481C1C}"/>
                      </a:extLst>
                    </a:blip>
                    <a:srcRect/>
                    <a:stretch>
                      <a:fillRect/>
                    </a:stretch>
                  </pic:blipFill>
                  <pic:spPr bwMode="auto">
                    <a:xfrm>
                      <a:off x="0" y="0"/>
                      <a:ext cx="5222875" cy="255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Strategy</w:t>
      </w:r>
    </w:p>
    <w:p>
      <w:pPr>
        <w:spacing w:after="0" w:line="22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Our contemplated business spans the entire lifecycle from the resource acquisition and definition stage through the collection and transportation phases offshore into the processing and refining of nodules onshore and finally in product marketing and offtake (and eventually recycling of end-of-life products containing nodule-derived metals). NORI and TOML, two of our subsidiaries, intend to operate in the CCZ under the effective supervision, regulation and sponsorship of the government of Nauru and the Kingdom of Tonga, respectively. We intend to engage in processing operations in locations that are yet to be determined. We have chosen an asset-light approach to our operations and have focused on forming deep strategic partnerships with leading offshore and onshore companies.</w:t>
      </w:r>
    </w:p>
    <w:p>
      <w:pPr>
        <w:sectPr>
          <w:pgSz w:w="12240" w:h="15840" w:orient="portrait"/>
          <w:cols w:equalWidth="0" w:num="1">
            <w:col w:w="9620"/>
          </w:cols>
          <w:pgMar w:left="1320" w:top="1337" w:right="130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26" w:name="page27"/>
    <w:bookmarkEnd w:id="26"/>
    <w:p>
      <w:pPr>
        <w:ind w:left="3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8">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9">
                      <a:extLst>
                        <a:ext uri="{28A0092B-C50C-407E-A947-70E740481C1C}"/>
                      </a:extLst>
                    </a:blip>
                    <a:srcRect/>
                    <a:stretch>
                      <a:fillRect/>
                    </a:stretch>
                  </pic:blipFill>
                  <pic:spPr bwMode="auto">
                    <a:xfrm>
                      <a:off x="0" y="0"/>
                      <a:ext cx="5080" cy="13970"/>
                    </a:xfrm>
                    <a:prstGeom prst="rect">
                      <a:avLst/>
                    </a:prstGeom>
                    <a:noFill/>
                  </pic:spPr>
                </pic:pic>
              </a:graphicData>
            </a:graphic>
          </wp:anchor>
        </w:drawing>
        <w:t>Our key strategic alliances include:</w:t>
      </w:r>
    </w:p>
    <w:p>
      <w:pPr>
        <w:spacing w:after="0" w:line="21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Allseas: </w:t>
      </w:r>
      <w:r>
        <w:rPr>
          <w:rFonts w:ascii="Times New Roman" w:cs="Times New Roman" w:eastAsia="Times New Roman" w:hAnsi="Times New Roman"/>
          <w:sz w:val="17"/>
          <w:szCs w:val="17"/>
          <w:color w:val="auto"/>
        </w:rPr>
        <w:t>Allseas Group S.A. (Allseas), a leading global offshore contractor, has developed and successfully tested the pilot nodule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collection system in the NORI Area D, completed in the fourth quarter of 2022. The experience from the development and testing program of the pilot system are now informing the design of upgrades and modifications into the initial smaller scale commercial production system which is expected to serve as the basis for the design of a full-scale commercial production system.</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Glencore: </w:t>
      </w:r>
      <w:r>
        <w:rPr>
          <w:rFonts w:ascii="Times New Roman" w:cs="Times New Roman" w:eastAsia="Times New Roman" w:hAnsi="Times New Roman"/>
          <w:sz w:val="17"/>
          <w:szCs w:val="17"/>
          <w:color w:val="auto"/>
        </w:rPr>
        <w:t>Glencore International AG (Glencore) holds offtake rights to 50% of the NORI nickel and copper production.</w:t>
      </w:r>
    </w:p>
    <w:p>
      <w:pPr>
        <w:spacing w:after="0" w:line="219"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Hatch and KPM: </w:t>
      </w:r>
      <w:r>
        <w:rPr>
          <w:rFonts w:ascii="Times New Roman" w:cs="Times New Roman" w:eastAsia="Times New Roman" w:hAnsi="Times New Roman"/>
          <w:sz w:val="17"/>
          <w:szCs w:val="17"/>
          <w:color w:val="auto"/>
        </w:rPr>
        <w:t>We have worked with engineering firm Hatch Ltd. (“Hatch”) and consultants Kingston Process Metallurgy Inc.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(KPM) to develop a near-zero solid waste flowsheet. The primary processing stages of the flowsheet from nodule to NiCuCo matte intermediate were demonstrated as part of our pilot plant program at FLSmidth and Xpert Process Solutions’ (XPS, a Glencore company) facilities. The matte refining stages are being tested at SGS Lakefield. The near-zero solid waste flowsheet is expected to serve as the basis for our onshore processing facilities.</w:t>
      </w:r>
    </w:p>
    <w:p>
      <w:pPr>
        <w:spacing w:after="0" w:line="165"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Other: </w:t>
      </w:r>
      <w:r>
        <w:rPr>
          <w:rFonts w:ascii="Times New Roman" w:cs="Times New Roman" w:eastAsia="Times New Roman" w:hAnsi="Times New Roman"/>
          <w:sz w:val="17"/>
          <w:szCs w:val="17"/>
          <w:color w:val="auto"/>
        </w:rPr>
        <w:t>In November 2022, we entered into a non-binding memorandum of understanding (“MoU”) with Pacific Metals Co Ltd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(PAMCO) of Japan, to evaluate the toll treatment of an initial quantity of 1.3 million tonnes of wet polymetallic nodules per year at PAMCO’s Hachinohe smelting facility starting in 2025. The toll treatment is intended to take place on a dedicated rotary kiln-electric arc furnace (RKEF) processing line and produce two products: nickel-copper-cobalt alloy — an intermediate product used as feedstock to produce Li-ion battery cathodes — and a manganese silicate product used to make silico-manganese alloy, a critical input into steel manufacturing. PAMCO’s Hachinohe facility is located on the coast in northern Japan and is equipped with port and processing infrastructure required to receive and process polymetallic nodules and to ship products to customers.</w:t>
      </w:r>
    </w:p>
    <w:p>
      <w:pPr>
        <w:spacing w:after="0" w:line="171"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Under the MoU, PAMCO will undertake studies to estimate the cost of processing polymetallic nodules through existing facilities and identify any additional equipment requirements, currently expected to be minimal. This work will inform expected nodule through-put, process operating conditions and product specifications for PAMCO’s dedicated production line. PAMCO has received a 22-tonne sample of polymetallic nodules for use in the evaluations.</w:t>
      </w:r>
    </w:p>
    <w:p>
      <w:pPr>
        <w:spacing w:after="0" w:line="16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parallel, PAMCO is studying the addition of a facility to process the intermediate alloy to nickel-copper-cobalt matte, which is an upgraded intermediate battery supply chain feedstock. It is anticipated that the additional facility would be constructed once commercial processing of polymetallic nodules to alloy has been demonstrated.</w:t>
      </w:r>
    </w:p>
    <w:p>
      <w:pPr>
        <w:spacing w:after="0" w:line="155"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There can be no assurance that we will enter into a binding MoU or definitive strategic alliance with PAMCO in a particular time period, or at all, or on terms similar to those set forth in the MoU, or that if a binding MoU or definitive strategic alliance are entered into by us or that the existing facility will be able to successfully process nodules in a particular time period, or at all.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Phased Project Development</w:t>
      </w:r>
    </w:p>
    <w:p>
      <w:pPr>
        <w:spacing w:after="0" w:line="222"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Currently, we are an exploration stage company with a completed initial assessment, working towards a pre-feasibility study. We expect to enter into the feasibility study phase in 2023, having completed the pilot collection test with Allseas in the CCZ in the fourth quarter of 2022. Having significantly advanced resource definition and environmental baseline studies on NORI Area D, we intend to apply for an exploitation contract on that area first. If we obtain an exploitation contract, we then plan to start with a small-scale commercial production (“Project Zero”) end of 2024 / start of 2025 in which we expect to collect and process at least 1.3Mtpa of wet nodules. Subject to the success of Project Zero and any regulatory requirements, we then expect to move into the next phase of production (“Project One”) in which we intend to scale up production and expect to collect and process up to approximately 12.5Mtpa of wet nodules at steady state (expected 2030-2045), as outlined in the NORI – D Technical Report Summary.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70">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71">
                      <a:extLst>
                        <a:ext uri="{28A0092B-C50C-407E-A947-70E740481C1C}"/>
                      </a:extLst>
                    </a:blip>
                    <a:srcRect/>
                    <a:stretch>
                      <a:fillRect/>
                    </a:stretch>
                  </pic:blipFill>
                  <pic:spPr bwMode="auto">
                    <a:xfrm>
                      <a:off x="0" y="0"/>
                      <a:ext cx="5080" cy="13970"/>
                    </a:xfrm>
                    <a:prstGeom prst="rect">
                      <a:avLst/>
                    </a:prstGeom>
                    <a:noFill/>
                  </pic:spPr>
                </pic:pic>
              </a:graphicData>
            </a:graphic>
          </wp:anchor>
        </w:drawing>
        <w:t>Current Work Program</w:t>
      </w:r>
    </w:p>
    <w:p>
      <w:pPr>
        <w:spacing w:after="0" w:line="22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are currently focused on applying for our first exploitation contract from the ISA on the NORI Area D, as defined below, with the goal of starting commercial production end of 2024 / start of 2025. To reach our objective and initiate commercial production, we are: (i) defining our resource and project economics, (ii) developing an offshore nodule collection system, (iii) assessing the ESG impacts of offshore nodule collection, and (iv) developing onshore technology to process collected polymetallic nodules into a manganese silicate product, and an intermediate nickel-copper-cobalt matte product and/or end-products like nickel and cobalt sulfates, and copper cathode.</w:t>
      </w:r>
    </w:p>
    <w:p>
      <w:pPr>
        <w:spacing w:after="0" w:line="162" w:lineRule="exact"/>
        <w:rPr>
          <w:sz w:val="20"/>
          <w:szCs w:val="20"/>
          <w:color w:val="auto"/>
        </w:rPr>
      </w:pPr>
    </w:p>
    <w:p>
      <w:pPr>
        <w:jc w:val="both"/>
        <w:ind w:left="320" w:hanging="311"/>
        <w:spacing w:after="0" w:line="262" w:lineRule="auto"/>
        <w:tabs>
          <w:tab w:leader="none" w:pos="321"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Resource definition and project economics: </w:t>
      </w:r>
      <w:r>
        <w:rPr>
          <w:rFonts w:ascii="Times New Roman" w:cs="Times New Roman" w:eastAsia="Times New Roman" w:hAnsi="Times New Roman"/>
          <w:sz w:val="17"/>
          <w:szCs w:val="17"/>
          <w:color w:val="auto"/>
        </w:rPr>
        <w:t>Having completed a total of nine offshore resource definition campaigns, collected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samples and completed subsea surveys for resource evaluation, we have defined the size and quality of our resource in the NORI and TOML Areas, as described below, in our SEC Regulation S-K (subpart 1300) compliant </w:t>
      </w:r>
      <w:r>
        <w:rPr>
          <w:rFonts w:ascii="Times New Roman" w:cs="Times New Roman" w:eastAsia="Times New Roman" w:hAnsi="Times New Roman"/>
          <w:sz w:val="17"/>
          <w:szCs w:val="17"/>
          <w:i w:val="1"/>
          <w:iCs w:val="1"/>
          <w:color w:val="auto"/>
        </w:rPr>
        <w:t>Technical Report Summary - Initial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Assessment of the NORI Property, Clarion-Clipperton Zone, Pacific Ocean </w:t>
      </w:r>
      <w:r>
        <w:rPr>
          <w:rFonts w:ascii="Times New Roman" w:cs="Times New Roman" w:eastAsia="Times New Roman" w:hAnsi="Times New Roman"/>
          <w:sz w:val="17"/>
          <w:szCs w:val="17"/>
          <w:color w:val="auto"/>
        </w:rPr>
        <w:t>dated March 17, 2021 (“NORI Initial Assessment”) and</w:t>
      </w:r>
      <w:r>
        <w:rPr>
          <w:rFonts w:ascii="Times New Roman" w:cs="Times New Roman" w:eastAsia="Times New Roman" w:hAnsi="Times New Roman"/>
          <w:sz w:val="17"/>
          <w:szCs w:val="17"/>
          <w:i w:val="1"/>
          <w:iCs w:val="1"/>
          <w:color w:val="auto"/>
        </w:rPr>
        <w:t xml:space="preserve"> Technical Report Summary - TOML Mineral Resource, Clarion-Clipperton Zone, Pacific Ocean </w:t>
      </w:r>
      <w:r>
        <w:rPr>
          <w:rFonts w:ascii="Times New Roman" w:cs="Times New Roman" w:eastAsia="Times New Roman" w:hAnsi="Times New Roman"/>
          <w:sz w:val="17"/>
          <w:szCs w:val="17"/>
          <w:color w:val="auto"/>
        </w:rPr>
        <w:t>dated March 26, 2021 (“TOML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Mineral Resource Statement”), respectively, prepared by AMC. From this work, both NORI and TOML have reported measured, indicated and inferred resources as tabulated below.</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NORI Area 2020 Mineral Resource Estimate, in situ, for the NORI Areas within the CCZ at 4kg/m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nodule abundance cut-</w:t>
      </w:r>
    </w:p>
    <w:p>
      <w:pPr>
        <w:spacing w:after="0"/>
        <w:rPr>
          <w:sz w:val="20"/>
          <w:szCs w:val="20"/>
          <w:color w:val="auto"/>
        </w:rPr>
      </w:pPr>
      <w:r>
        <w:rPr>
          <w:rFonts w:ascii="Times New Roman" w:cs="Times New Roman" w:eastAsia="Times New Roman" w:hAnsi="Times New Roman"/>
          <w:sz w:val="17"/>
          <w:szCs w:val="17"/>
          <w:b w:val="1"/>
          <w:bCs w:val="1"/>
          <w:color w:val="auto"/>
        </w:rPr>
        <w: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wp:posOffset>
            </wp:positionH>
            <wp:positionV relativeFrom="paragraph">
              <wp:posOffset>156210</wp:posOffset>
            </wp:positionV>
            <wp:extent cx="4992370" cy="1431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2">
                      <a:extLst>
                        <a:ext uri="{28A0092B-C50C-407E-A947-70E740481C1C}"/>
                      </a:extLst>
                    </a:blip>
                    <a:srcRect/>
                    <a:stretch>
                      <a:fillRect/>
                    </a:stretch>
                  </pic:blipFill>
                  <pic:spPr bwMode="auto">
                    <a:xfrm>
                      <a:off x="0" y="0"/>
                      <a:ext cx="499237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24% w/w. These estimates are presented on an undiluted basis without adjustment for resource recovery.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334" w:right="1300"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4">
                      <a:extLst>
                        <a:ext uri="{28A0092B-C50C-407E-A947-70E740481C1C}"/>
                      </a:extLst>
                    </a:blip>
                    <a:srcRect/>
                    <a:stretch>
                      <a:fillRect/>
                    </a:stretch>
                  </pic:blipFill>
                  <pic:spPr bwMode="auto">
                    <a:xfrm>
                      <a:off x="0" y="0"/>
                      <a:ext cx="5080" cy="13970"/>
                    </a:xfrm>
                    <a:prstGeom prst="rect">
                      <a:avLst/>
                    </a:prstGeom>
                    <a:noFill/>
                  </pic:spPr>
                </pic:pic>
              </a:graphicData>
            </a:graphic>
          </wp:anchor>
        </w:drawing>
        <w:t>TOML Area 2020 Mineral Resource Estimate, in situ, for the TOML Areas within the CCZ at 4kg/m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nodule abundance cut-</w:t>
      </w:r>
    </w:p>
    <w:p>
      <w:pPr>
        <w:spacing w:after="0"/>
        <w:rPr>
          <w:sz w:val="20"/>
          <w:szCs w:val="20"/>
          <w:color w:val="auto"/>
        </w:rPr>
      </w:pPr>
      <w:r>
        <w:rPr>
          <w:rFonts w:ascii="Times New Roman" w:cs="Times New Roman" w:eastAsia="Times New Roman" w:hAnsi="Times New Roman"/>
          <w:sz w:val="17"/>
          <w:szCs w:val="17"/>
          <w:b w:val="1"/>
          <w:bCs w:val="1"/>
          <w:color w:val="auto"/>
        </w:rPr>
        <w: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156210</wp:posOffset>
            </wp:positionV>
            <wp:extent cx="5123815" cy="27571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75">
                      <a:extLst>
                        <a:ext uri="{28A0092B-C50C-407E-A947-70E740481C1C}"/>
                      </a:extLst>
                    </a:blip>
                    <a:srcRect/>
                    <a:stretch>
                      <a:fillRect/>
                    </a:stretch>
                  </pic:blipFill>
                  <pic:spPr bwMode="auto">
                    <a:xfrm>
                      <a:off x="0" y="0"/>
                      <a:ext cx="5123815" cy="2757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28% w/w. These estimates are presented on an undiluted basis without adjustment for resource recovery.</w:t>
      </w:r>
    </w:p>
    <w:p>
      <w:pPr>
        <w:spacing w:after="0" w:line="155" w:lineRule="exact"/>
        <w:rPr>
          <w:sz w:val="20"/>
          <w:szCs w:val="20"/>
          <w:color w:val="auto"/>
        </w:rPr>
      </w:pPr>
    </w:p>
    <w:p>
      <w:pPr>
        <w:ind w:firstLine="311"/>
        <w:spacing w:after="0" w:line="299" w:lineRule="auto"/>
        <w:rPr>
          <w:sz w:val="20"/>
          <w:szCs w:val="20"/>
          <w:color w:val="auto"/>
        </w:rPr>
      </w:pPr>
      <w:r>
        <w:rPr>
          <w:rFonts w:ascii="Times New Roman" w:cs="Times New Roman" w:eastAsia="Times New Roman" w:hAnsi="Times New Roman"/>
          <w:sz w:val="17"/>
          <w:szCs w:val="17"/>
          <w:color w:val="auto"/>
        </w:rPr>
        <w:t>We plan to continue to define our resource in the NORI and TOML areas, develop project economics to pre-feasibility and feasibility level and convert resources into reserves.</w:t>
      </w:r>
    </w:p>
    <w:p>
      <w:pPr>
        <w:spacing w:after="0" w:line="132" w:lineRule="exact"/>
        <w:rPr>
          <w:sz w:val="20"/>
          <w:szCs w:val="20"/>
          <w:color w:val="auto"/>
        </w:rPr>
      </w:pPr>
    </w:p>
    <w:p>
      <w:pPr>
        <w:jc w:val="both"/>
        <w:ind w:left="320" w:hanging="311"/>
        <w:spacing w:after="0" w:line="258" w:lineRule="auto"/>
        <w:tabs>
          <w:tab w:leader="none" w:pos="321"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Offshore nodule collection system development: </w:t>
      </w:r>
      <w:r>
        <w:rPr>
          <w:rFonts w:ascii="Times New Roman" w:cs="Times New Roman" w:eastAsia="Times New Roman" w:hAnsi="Times New Roman"/>
          <w:sz w:val="17"/>
          <w:szCs w:val="17"/>
          <w:color w:val="auto"/>
        </w:rPr>
        <w:t>We are working with our strategic partner and investor, Allseas, to develop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system to collect, lift and transport nodules from the seafloor to shore. The offshore collection system consists of nodule collector vehicles on the seafloor, a riser and lift system, and a surface production support vessel. The nodules are collected from the seafloor by self-propelled, tracked nodule collector vehicles using seawater jets aimed at nodules in parallel with the seafloor. No rock cutting, digging, drill-and-blast or other breakage are required at the point of collection. The collectors are remotely controlled and supplied with electric power via umbilical cables from the production support vessel,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To test the system and assess its environmental impacts, we entered into a contract with Allseas to undertake a pilot trial of the collection system in the NORI Area D, which was completed in November 2022. The successful completion of the pilot trial will support our application for an exploitation contract with the ISA. An Environmental Impact Statement (“EIS”) for this pilot trial was submitted to the ISA in July 2021 and approved on September 7, 2022, with infield testing commencing on September 19, 2022. The surface production support vessel,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was acquired by Allseas in March 2020 and has strategic importance to us, since it supported the pilot trial and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expected to be upgraded to a small-scale, low-capital early production system. The vessel and collector system successfully completed trials in shallow and deepwater in the first half of 2022 prior to completing the collector test in the NORI-D Area in the fall of 2022 where approximately 4,500 tonnes of wet nodules were collected and more than 3000 tonnes of wet nodules were lifted 4.3km to the surface after traversing over 80km of the seafloor, achieving a production rate of 86.4 tonnes per hour.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254" w:right="1300" w:bottom="1440" w:gutter="0" w:footer="0" w:header="0"/>
        </w:sectPr>
      </w:pPr>
    </w:p>
    <w:bookmarkStart w:id="29" w:name="page30"/>
    <w:bookmarkEnd w:id="29"/>
    <w:p>
      <w:pPr>
        <w:jc w:val="both"/>
        <w:ind w:left="320" w:hanging="311"/>
        <w:spacing w:after="0" w:line="260" w:lineRule="auto"/>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6">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77">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Environmental and social impact assessment (“ESIA”) for offshore nodule collection: </w:t>
      </w:r>
      <w:r>
        <w:rPr>
          <w:rFonts w:ascii="Times New Roman" w:cs="Times New Roman" w:eastAsia="Times New Roman" w:hAnsi="Times New Roman"/>
          <w:sz w:val="17"/>
          <w:szCs w:val="17"/>
          <w:color w:val="auto"/>
        </w:rPr>
        <w:t>The ESIA is an integral part of preparing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our application for the ISA exploitation contract on the NORI Area D. Our ESIA program consists of over 100 studies and relies on the work of several independent deep-sea research institutions. In 2022, we undertook the collector test monitoring campaigns which involved completion of pre-collector test baseline data collection, monitoring of the collector test to and completion of post collection surveys to determine the immediate collector impact to the environment. The monitoring was undertaken using the </w:t>
      </w:r>
      <w:r>
        <w:rPr>
          <w:rFonts w:ascii="Times New Roman" w:cs="Times New Roman" w:eastAsia="Times New Roman" w:hAnsi="Times New Roman"/>
          <w:sz w:val="17"/>
          <w:szCs w:val="17"/>
          <w:i w:val="1"/>
          <w:iCs w:val="1"/>
          <w:color w:val="auto"/>
        </w:rPr>
        <w:t>Island Pride</w:t>
      </w:r>
      <w:r>
        <w:rPr>
          <w:rFonts w:ascii="Times New Roman" w:cs="Times New Roman" w:eastAsia="Times New Roman" w:hAnsi="Times New Roman"/>
          <w:sz w:val="17"/>
          <w:szCs w:val="17"/>
          <w:color w:val="auto"/>
        </w:rPr>
        <w:t>, a vessel contracted from Ocean Infinity Group Limited, deploying 2 ROVs, 3 AUVs and an array of more than 50 seafloor sensors, supervised by multiple teams of scientists and sediment plume expert consultants, DHI Water and Environment Inc. and HR Wallingford. These campaigns commenced on July 15, 2022 and were completed on December 23, 2022, representing 146 operational days at sea. We continue to assess the data collected from these tests.</w:t>
      </w:r>
    </w:p>
    <w:p>
      <w:pPr>
        <w:spacing w:after="0" w:line="167" w:lineRule="exact"/>
        <w:rPr>
          <w:rFonts w:ascii="Times New Roman" w:cs="Times New Roman" w:eastAsia="Times New Roman" w:hAnsi="Times New Roman"/>
          <w:sz w:val="17"/>
          <w:szCs w:val="17"/>
          <w:color w:val="auto"/>
        </w:rPr>
      </w:pPr>
    </w:p>
    <w:p>
      <w:pPr>
        <w:jc w:val="both"/>
        <w:ind w:left="320" w:hanging="311"/>
        <w:spacing w:after="0" w:line="259" w:lineRule="auto"/>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Onshore technology development: </w:t>
      </w:r>
      <w:r>
        <w:rPr>
          <w:rFonts w:ascii="Times New Roman" w:cs="Times New Roman" w:eastAsia="Times New Roman" w:hAnsi="Times New Roman"/>
          <w:sz w:val="17"/>
          <w:szCs w:val="17"/>
          <w:color w:val="auto"/>
        </w:rPr>
        <w:t>To process and refine collected nodules into critical metals, we have developed a flowsheet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together with a metallurgical process design firm, Hatch. This flowsheet uses conventional equipment, modified for the unique nature of the polymetallic nodule resource to deliver a process that is expected to generate near zero solid waste. The key products generated by this process are nickel sulfate, cobalt sulfate, copper cathode, manganese silicate and fertilizer-grade ammonium sulfate. The processing flowsheet also provides the potential to generate an intermediate product, a nickel-copper-cobalt matte and a nickel-copper-cobalt-iron alloy. Nickel is expected to account for almost half of future production revenues. We have completed lab-scale test work and offshore campaigns to collect a bulk sample for pilot-scale metallurgical testing. We are continuing with a metallurgical test program. In 2021, we successfully completed calcining and smelting of the nodule bulk samples into a manganese silicate product and nickel-copper-cobalt alloy intermediate, followed by converting and sulfidation of the alloy into matte. We continue testing the hydrometallurgical refining phase where matte is processed to produce nickel sulfate, cobalt sulfate, copper cathode and fertilizer grade ammonium sulfate.</w:t>
      </w:r>
    </w:p>
    <w:p>
      <w:pPr>
        <w:spacing w:after="0" w:line="381" w:lineRule="exact"/>
        <w:rPr>
          <w:rFonts w:ascii="Times New Roman" w:cs="Times New Roman" w:eastAsia="Times New Roman" w:hAnsi="Times New Roman"/>
          <w:sz w:val="17"/>
          <w:szCs w:val="17"/>
          <w:color w:val="auto"/>
        </w:rPr>
      </w:pPr>
    </w:p>
    <w:p>
      <w:pPr>
        <w:jc w:val="both"/>
        <w:ind w:left="320" w:firstLine="1"/>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 we were engaged in several technical scoping studies for a potential first small-scale production plant in Asia. On March 16, 2022, we announced a business collaboration with Epsilon Carbon Pvt., LTD. (“Epsilon Carbon”) to complete a pre-feasibility study for a new-build commercial polymetallic nodule processing plant in India. However, having faced significant issues in securing process engineering capacity in 2022, Epsilon Carbon and TMC agreed that using an existing metallurgical facility requires less capital expenditures and which we believe may offer a lower risk solution for the Project Zero Plant and the construction of a new build plant in India should be revisited once Project Zero is in production. In November 2022, we signed a non-binding MoU with PAMCO to evaluate the toll treatment of an initial quantity of 1.3 million tonnes of wet polymetallic nodules per year at PAMCO’s Hachinohe smelting facility starting in 2025. Potential progression to a NiCuCo matte product along with potentially higher throughputs are also included in the evaluation study. We expect this partnership to progress to a binding MoU and a strategic alliance in the second half of 2023, subject to successful evaluation study outcomes and agreement to mutually acceptable commercial terms, in lieu of continuing to pursue an opportunity to build a new Project Zero Plant in India together with Epsilon Carbon as was previously envisioned under our March 2022 business collaboration MoU with Epsilon Carbon. There can be no assurance that we will enter into such binding MoU or definitive strategic alliance in a particular time period, or at all, or on terms similar to those set forth in the MoU, or that if such binding MoU or definitive strategic alliance are entered into by us or that the existing facility will be able to successfully process nodules in a particular time period, or at 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Mineral Resources</w:t>
      </w:r>
    </w:p>
    <w:p>
      <w:pPr>
        <w:spacing w:after="0" w:line="222"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Below is a summary table of estimated mineral resources in NORI and TOML contract areas as of December 31, 2022. The estimated mineral resources in these areas were determined in 2021 as of March 17, 2021, and also reflect the estimated mineral resources as of December 31, 2022, as none of the mineral resources in these areas were depleted by mining or any other activities. See Item 2 - Properties below for additional information about our estimated mineral resources. Both of these contract areas are in the exploration stage.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sectPr>
      </w:pPr>
    </w:p>
    <w:bookmarkStart w:id="30" w:name="page31"/>
    <w:bookmarkEnd w:id="30"/>
    <w:p>
      <w:pPr>
        <w:ind w:right="80"/>
        <w:spacing w:after="0" w:line="23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8">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79">
                      <a:extLst>
                        <a:ext uri="{28A0092B-C50C-407E-A947-70E740481C1C}"/>
                      </a:extLst>
                    </a:blip>
                    <a:srcRect/>
                    <a:stretch>
                      <a:fillRect/>
                    </a:stretch>
                  </pic:blipFill>
                  <pic:spPr bwMode="auto">
                    <a:xfrm>
                      <a:off x="0" y="0"/>
                      <a:ext cx="5080" cy="13970"/>
                    </a:xfrm>
                    <a:prstGeom prst="rect">
                      <a:avLst/>
                    </a:prstGeom>
                    <a:noFill/>
                  </pic:spPr>
                </pic:pic>
              </a:graphicData>
            </a:graphic>
          </wp:anchor>
        </w:drawing>
        <w:t>Summary Mineral Resources, In-Situ, at End of the Fiscal Year Ended December 31, 2022 at 4kg/m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abundance cut-off and based on nickel metal $16,472/t; nickel in nickel sulfate $18,807/t Ni; copper metal $6,872/t; cobalt metal $46,333/t; cobalt in cobalt sulfate $56,920/t Co; manganese in manganese silicate $4.50/dmtu Mn.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Measured mineral</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Indicated mineral</w:t>
            </w:r>
          </w:p>
        </w:tc>
        <w:tc>
          <w:tcPr>
            <w:tcW w:w="15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Measured + indicated</w:t>
            </w:r>
          </w:p>
        </w:tc>
        <w:tc>
          <w:tcPr>
            <w:tcW w:w="1340" w:type="dxa"/>
            <w:vAlign w:val="bottom"/>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Inferred mineral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140" w:type="dxa"/>
            <w:vAlign w:val="bottom"/>
          </w:tcPr>
          <w:p>
            <w:pPr>
              <w:spacing w:after="0"/>
              <w:rPr>
                <w:sz w:val="14"/>
                <w:szCs w:val="14"/>
                <w:color w:val="auto"/>
              </w:rPr>
            </w:pPr>
          </w:p>
        </w:tc>
        <w:tc>
          <w:tcPr>
            <w:tcW w:w="13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mineral resources</w:t>
            </w:r>
          </w:p>
        </w:tc>
        <w:tc>
          <w:tcPr>
            <w:tcW w:w="140" w:type="dxa"/>
            <w:vAlign w:val="bottom"/>
          </w:tcPr>
          <w:p>
            <w:pPr>
              <w:spacing w:after="0"/>
              <w:rPr>
                <w:sz w:val="14"/>
                <w:szCs w:val="14"/>
                <w:color w:val="auto"/>
              </w:rPr>
            </w:pPr>
          </w:p>
        </w:tc>
        <w:tc>
          <w:tcPr>
            <w:tcW w:w="13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resources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74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2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4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4"/>
                <w:szCs w:val="14"/>
                <w:b w:val="1"/>
                <w:bCs w:val="1"/>
                <w:color w:val="auto"/>
              </w:rPr>
              <w:t>Million</w:t>
            </w: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74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4"/>
                <w:szCs w:val="14"/>
                <w:b w:val="1"/>
                <w:bCs w:val="1"/>
                <w:color w:val="auto"/>
                <w:w w:val="96"/>
              </w:rPr>
              <w:t>Million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Grades</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40" w:type="dxa"/>
            <w:vAlign w:val="bottom"/>
            <w:gridSpan w:val="2"/>
          </w:tcPr>
          <w:p>
            <w:pPr>
              <w:ind w:left="100"/>
              <w:spacing w:after="0" w:line="143" w:lineRule="exact"/>
              <w:rPr>
                <w:sz w:val="20"/>
                <w:szCs w:val="20"/>
                <w:color w:val="auto"/>
              </w:rPr>
            </w:pPr>
            <w:r>
              <w:rPr>
                <w:rFonts w:ascii="Times New Roman" w:cs="Times New Roman" w:eastAsia="Times New Roman" w:hAnsi="Times New Roman"/>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2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rPr>
              <w:t>tonnes</w:t>
            </w:r>
          </w:p>
        </w:tc>
        <w:tc>
          <w:tcPr>
            <w:tcW w:w="740" w:type="dxa"/>
            <w:vAlign w:val="bottom"/>
            <w:gridSpan w:val="2"/>
            <w:vMerge w:val="continue"/>
          </w:tcPr>
          <w:p>
            <w:pPr>
              <w:spacing w:after="0"/>
              <w:rPr>
                <w:sz w:val="12"/>
                <w:szCs w:val="12"/>
                <w:color w:val="auto"/>
              </w:rPr>
            </w:pPr>
          </w:p>
        </w:tc>
        <w:tc>
          <w:tcPr>
            <w:tcW w:w="74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rPr>
              <w:t>tonnes</w:t>
            </w:r>
          </w:p>
        </w:tc>
        <w:tc>
          <w:tcPr>
            <w:tcW w:w="760" w:type="dxa"/>
            <w:vAlign w:val="bottom"/>
            <w:gridSpan w:val="2"/>
            <w:vMerge w:val="continue"/>
          </w:tcPr>
          <w:p>
            <w:pPr>
              <w:spacing w:after="0"/>
              <w:rPr>
                <w:sz w:val="12"/>
                <w:szCs w:val="12"/>
                <w:color w:val="auto"/>
              </w:rPr>
            </w:pPr>
          </w:p>
        </w:tc>
        <w:tc>
          <w:tcPr>
            <w:tcW w:w="74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tonnes</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(wet)</w:t>
            </w:r>
          </w:p>
        </w:tc>
        <w:tc>
          <w:tcPr>
            <w:tcW w:w="6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(wet)</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(wet)</w:t>
            </w:r>
          </w:p>
        </w:tc>
        <w:tc>
          <w:tcPr>
            <w:tcW w:w="6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(wet)</w:t>
            </w:r>
          </w:p>
        </w:tc>
        <w:tc>
          <w:tcPr>
            <w:tcW w:w="6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820" w:type="dxa"/>
            <w:vAlign w:val="bottom"/>
            <w:tcBorders>
              <w:top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Ni</w:t>
            </w:r>
          </w:p>
        </w:tc>
        <w:tc>
          <w:tcPr>
            <w:tcW w:w="600" w:type="dxa"/>
            <w:vAlign w:val="bottom"/>
            <w:tcBorders>
              <w:top w:val="single" w:sz="8" w:color="auto"/>
            </w:tcBorders>
            <w:shd w:val="clear" w:color="auto" w:fill="C7EAF2"/>
          </w:tcPr>
          <w:p>
            <w:pPr>
              <w:spacing w:after="0"/>
              <w:rPr>
                <w:sz w:val="17"/>
                <w:szCs w:val="17"/>
                <w:color w:val="auto"/>
              </w:rPr>
            </w:pPr>
          </w:p>
        </w:tc>
        <w:tc>
          <w:tcPr>
            <w:tcW w:w="140" w:type="dxa"/>
            <w:vAlign w:val="bottom"/>
            <w:tcBorders>
              <w:top w:val="single" w:sz="8" w:color="C7EAF2"/>
            </w:tcBorders>
            <w:shd w:val="clear" w:color="auto" w:fill="C7EAF2"/>
          </w:tcPr>
          <w:p>
            <w:pPr>
              <w:spacing w:after="0"/>
              <w:rPr>
                <w:sz w:val="17"/>
                <w:szCs w:val="17"/>
                <w:color w:val="auto"/>
              </w:rPr>
            </w:pPr>
          </w:p>
        </w:tc>
        <w:tc>
          <w:tcPr>
            <w:tcW w:w="600" w:type="dxa"/>
            <w:vAlign w:val="bottom"/>
            <w:tcBorders>
              <w:top w:val="single" w:sz="8" w:color="auto"/>
            </w:tcBorders>
            <w:shd w:val="clear" w:color="auto" w:fill="C7EAF2"/>
          </w:tcPr>
          <w:p>
            <w:pPr>
              <w:spacing w:after="0"/>
              <w:rPr>
                <w:sz w:val="17"/>
                <w:szCs w:val="17"/>
                <w:color w:val="auto"/>
              </w:rPr>
            </w:pPr>
          </w:p>
        </w:tc>
        <w:tc>
          <w:tcPr>
            <w:tcW w:w="140" w:type="dxa"/>
            <w:vAlign w:val="bottom"/>
            <w:tcBorders>
              <w:top w:val="single" w:sz="8" w:color="C7EAF2"/>
            </w:tcBorders>
            <w:shd w:val="clear" w:color="auto" w:fill="C7EAF2"/>
          </w:tcPr>
          <w:p>
            <w:pPr>
              <w:spacing w:after="0"/>
              <w:rPr>
                <w:sz w:val="17"/>
                <w:szCs w:val="17"/>
                <w:color w:val="auto"/>
              </w:rPr>
            </w:pPr>
          </w:p>
        </w:tc>
        <w:tc>
          <w:tcPr>
            <w:tcW w:w="580" w:type="dxa"/>
            <w:vAlign w:val="bottom"/>
            <w:tcBorders>
              <w:top w:val="single" w:sz="8" w:color="auto"/>
            </w:tcBorders>
            <w:shd w:val="clear" w:color="auto" w:fill="C7EAF2"/>
          </w:tcPr>
          <w:p>
            <w:pPr>
              <w:spacing w:after="0"/>
              <w:rPr>
                <w:sz w:val="17"/>
                <w:szCs w:val="17"/>
                <w:color w:val="auto"/>
              </w:rPr>
            </w:pPr>
          </w:p>
        </w:tc>
        <w:tc>
          <w:tcPr>
            <w:tcW w:w="140" w:type="dxa"/>
            <w:vAlign w:val="bottom"/>
            <w:tcBorders>
              <w:top w:val="single" w:sz="8" w:color="C7EAF2"/>
            </w:tcBorders>
            <w:shd w:val="clear" w:color="auto" w:fill="C7EAF2"/>
          </w:tcPr>
          <w:p>
            <w:pPr>
              <w:spacing w:after="0"/>
              <w:rPr>
                <w:sz w:val="17"/>
                <w:szCs w:val="17"/>
                <w:color w:val="auto"/>
              </w:rPr>
            </w:pPr>
          </w:p>
        </w:tc>
        <w:tc>
          <w:tcPr>
            <w:tcW w:w="600" w:type="dxa"/>
            <w:vAlign w:val="bottom"/>
            <w:tcBorders>
              <w:top w:val="single" w:sz="8" w:color="auto"/>
            </w:tcBorders>
            <w:shd w:val="clear" w:color="auto" w:fill="C7EAF2"/>
          </w:tcPr>
          <w:p>
            <w:pPr>
              <w:spacing w:after="0"/>
              <w:rPr>
                <w:sz w:val="17"/>
                <w:szCs w:val="17"/>
                <w:color w:val="auto"/>
              </w:rPr>
            </w:pPr>
          </w:p>
        </w:tc>
        <w:tc>
          <w:tcPr>
            <w:tcW w:w="140" w:type="dxa"/>
            <w:vAlign w:val="bottom"/>
            <w:tcBorders>
              <w:top w:val="single" w:sz="8" w:color="C7EAF2"/>
            </w:tcBorders>
            <w:shd w:val="clear" w:color="auto" w:fill="C7EAF2"/>
          </w:tcPr>
          <w:p>
            <w:pPr>
              <w:spacing w:after="0"/>
              <w:rPr>
                <w:sz w:val="17"/>
                <w:szCs w:val="17"/>
                <w:color w:val="auto"/>
              </w:rPr>
            </w:pPr>
          </w:p>
        </w:tc>
        <w:tc>
          <w:tcPr>
            <w:tcW w:w="600" w:type="dxa"/>
            <w:vAlign w:val="bottom"/>
            <w:tcBorders>
              <w:top w:val="single" w:sz="8" w:color="auto"/>
            </w:tcBorders>
            <w:shd w:val="clear" w:color="auto" w:fill="C7EAF2"/>
          </w:tcPr>
          <w:p>
            <w:pPr>
              <w:spacing w:after="0"/>
              <w:rPr>
                <w:sz w:val="17"/>
                <w:szCs w:val="17"/>
                <w:color w:val="auto"/>
              </w:rPr>
            </w:pPr>
          </w:p>
        </w:tc>
        <w:tc>
          <w:tcPr>
            <w:tcW w:w="140" w:type="dxa"/>
            <w:vAlign w:val="bottom"/>
            <w:tcBorders>
              <w:top w:val="single" w:sz="8" w:color="C7EAF2"/>
            </w:tcBorders>
            <w:shd w:val="clear" w:color="auto" w:fill="C7EAF2"/>
          </w:tcPr>
          <w:p>
            <w:pPr>
              <w:spacing w:after="0"/>
              <w:rPr>
                <w:sz w:val="17"/>
                <w:szCs w:val="17"/>
                <w:color w:val="auto"/>
              </w:rPr>
            </w:pPr>
          </w:p>
        </w:tc>
        <w:tc>
          <w:tcPr>
            <w:tcW w:w="620" w:type="dxa"/>
            <w:vAlign w:val="bottom"/>
            <w:tcBorders>
              <w:top w:val="single" w:sz="8" w:color="auto"/>
            </w:tcBorders>
            <w:shd w:val="clear" w:color="auto" w:fill="C7EAF2"/>
          </w:tcPr>
          <w:p>
            <w:pPr>
              <w:spacing w:after="0"/>
              <w:rPr>
                <w:sz w:val="17"/>
                <w:szCs w:val="17"/>
                <w:color w:val="auto"/>
              </w:rPr>
            </w:pPr>
          </w:p>
        </w:tc>
        <w:tc>
          <w:tcPr>
            <w:tcW w:w="140" w:type="dxa"/>
            <w:vAlign w:val="bottom"/>
            <w:tcBorders>
              <w:top w:val="single" w:sz="8" w:color="C7EAF2"/>
            </w:tcBorders>
            <w:shd w:val="clear" w:color="auto" w:fill="C7EAF2"/>
          </w:tcPr>
          <w:p>
            <w:pPr>
              <w:spacing w:after="0"/>
              <w:rPr>
                <w:sz w:val="17"/>
                <w:szCs w:val="17"/>
                <w:color w:val="auto"/>
              </w:rPr>
            </w:pPr>
          </w:p>
        </w:tc>
        <w:tc>
          <w:tcPr>
            <w:tcW w:w="600" w:type="dxa"/>
            <w:vAlign w:val="bottom"/>
            <w:tcBorders>
              <w:top w:val="single" w:sz="8" w:color="auto"/>
            </w:tcBorders>
            <w:shd w:val="clear" w:color="auto" w:fill="C7EAF2"/>
          </w:tcPr>
          <w:p>
            <w:pPr>
              <w:spacing w:after="0"/>
              <w:rPr>
                <w:sz w:val="17"/>
                <w:szCs w:val="17"/>
                <w:color w:val="auto"/>
              </w:rPr>
            </w:pPr>
          </w:p>
        </w:tc>
        <w:tc>
          <w:tcPr>
            <w:tcW w:w="140" w:type="dxa"/>
            <w:vAlign w:val="bottom"/>
            <w:tcBorders>
              <w:top w:val="single" w:sz="8" w:color="C7EAF2"/>
            </w:tcBorders>
            <w:shd w:val="clear" w:color="auto" w:fill="C7EAF2"/>
          </w:tcPr>
          <w:p>
            <w:pPr>
              <w:spacing w:after="0"/>
              <w:rPr>
                <w:sz w:val="17"/>
                <w:szCs w:val="17"/>
                <w:color w:val="auto"/>
              </w:rPr>
            </w:pPr>
          </w:p>
        </w:tc>
        <w:tc>
          <w:tcPr>
            <w:tcW w:w="600" w:type="dxa"/>
            <w:vAlign w:val="bottom"/>
            <w:tcBorders>
              <w:top w:val="single" w:sz="8" w:color="auto"/>
            </w:tcBorders>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NORI</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NORI Area A</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B</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NORI Area C</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D</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TOML (Areas A to F)</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400" w:type="dxa"/>
            <w:vAlign w:val="bottom"/>
            <w:shd w:val="clear" w:color="auto" w:fill="C7EAF2"/>
          </w:tcPr>
          <w:p>
            <w:pPr>
              <w:spacing w:after="0"/>
              <w:rPr>
                <w:sz w:val="18"/>
                <w:szCs w:val="18"/>
                <w:color w:val="auto"/>
              </w:rPr>
            </w:pPr>
          </w:p>
        </w:tc>
        <w:tc>
          <w:tcPr>
            <w:tcW w:w="142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NORI</w:t>
            </w: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A</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NORI Area B</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C</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NORI Area D</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TOML (Areas A to F)</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Total</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417.2</w:t>
            </w: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8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Co</w:t>
            </w: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NORI</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NORI Area A</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B</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NORI Area C</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D</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TOML (Areas A to F)</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2400" w:type="dxa"/>
            <w:vAlign w:val="bottom"/>
            <w:shd w:val="clear" w:color="auto" w:fill="C7EAF2"/>
          </w:tcPr>
          <w:p>
            <w:pPr>
              <w:spacing w:after="0"/>
              <w:rPr>
                <w:sz w:val="18"/>
                <w:szCs w:val="18"/>
                <w:color w:val="auto"/>
              </w:rPr>
            </w:pPr>
          </w:p>
        </w:tc>
        <w:tc>
          <w:tcPr>
            <w:tcW w:w="142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NORI</w:t>
            </w: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A</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NORI Area B</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NORI Area C</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NORI Area D</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TOML (Areas A to F)</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Total</w:t>
            </w: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4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410.6</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417.2</w:t>
            </w: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4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104"/>
        </w:trPr>
        <w:tc>
          <w:tcPr>
            <w:tcW w:w="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be 24% w/w for NORI and 28% w/w for TOML. These estimates are presented on an undiluted basis without adjustment for resource recovery.</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71">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9pt"/>
            </w:pict>
          </mc:Fallback>
        </mc:AlternateContent>
      </w:r>
    </w:p>
    <w:p>
      <w:pPr>
        <w:sectPr>
          <w:pgSz w:w="12240" w:h="15840" w:orient="portrait"/>
          <w:cols w:equalWidth="0" w:num="1">
            <w:col w:w="9620"/>
          </w:cols>
          <w:pgMar w:left="1320" w:top="1328" w:right="1300" w:bottom="1440" w:gutter="0" w:footer="0" w:header="0"/>
        </w:sectPr>
      </w:pPr>
    </w:p>
    <w:bookmarkStart w:id="31" w:name="page32"/>
    <w:bookmarkEnd w:id="31"/>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0">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1">
                      <a:extLst>
                        <a:ext uri="{28A0092B-C50C-407E-A947-70E740481C1C}"/>
                      </a:extLst>
                    </a:blip>
                    <a:srcRect/>
                    <a:stretch>
                      <a:fillRect/>
                    </a:stretch>
                  </pic:blipFill>
                  <pic:spPr bwMode="auto">
                    <a:xfrm>
                      <a:off x="0" y="0"/>
                      <a:ext cx="5080" cy="13970"/>
                    </a:xfrm>
                    <a:prstGeom prst="rect">
                      <a:avLst/>
                    </a:prstGeom>
                    <a:noFill/>
                  </pic:spPr>
                </pic:pic>
              </a:graphicData>
            </a:graphic>
          </wp:anchor>
        </w:drawing>
        <w:t>As reflected in the initial economic analysis of NORI Area D contained in the NORI Technical Report Summary, a discounted cash flow analysis considering the intended pre-development work in 2024, discounting at 9% per annum, and assuming metal prices for nickel metal $16,472/t; nickel in nickel sulfate $18,807/t Ni; copper metal $6,872/t; cobalt metal $46,333/t; cobalt in cobalt sulfate $56,920/t Co; manganese in manganese silicate $4.50/dmtu Mn, indicates a NORI Area D project net present value (as of January 1, 2021) of $6.8 billion. The initial assessment included in the NORI Technical Report Summary is a conceptual study of the potential viability of NORI’s mineral resources. This initial assessment indicates that development of the NORI mineral resource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7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The NORI Technical Report Summary and TOML Technical Report Summary do not include the conversion of mineral resources to mineral reserves.</w:t>
      </w:r>
    </w:p>
    <w:p>
      <w:pPr>
        <w:spacing w:after="0" w:line="134"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You are specifically cautioned not to assume that any part or all of the mineral deposits in these categories will ever be converted into mineral reserves, as defined by the SEC. You are also cautioned that mineral resources do not have demonstrated economic value. </w:t>
      </w:r>
      <w:r>
        <w:rPr>
          <w:rFonts w:ascii="Times New Roman" w:cs="Times New Roman" w:eastAsia="Times New Roman" w:hAnsi="Times New Roman"/>
          <w:sz w:val="17"/>
          <w:szCs w:val="17"/>
          <w:color w:val="auto"/>
        </w:rPr>
        <w:t>Inferred mineral resources have a high degree of uncertainty as to their existence and to whether they can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71"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Likewise, you are cautioned not to assume that all or any part of measured or indicated mineral resources will ever be upgraded to mineral reserves.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Collection and Processing of Polymetallic Nodules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Collection and Shipping</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are planning a phased development for NORI Area D. Polymetallic nodules would be collected using offshore collection systems, comprising of nodule collector vehicles on the seafloor, a riser and lifting system (RALS) in the water column, and a production support vessel on the surface. The nodules are expected to be transferred to transport vessels and shipped to onshore processing facilities.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32" w:name="page33"/>
    <w:bookmarkEnd w:id="32"/>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8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3">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Through our strategic partnership with Allseas, a former drillship vessel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acquired by Allseas in February 2020 has been converted and modified to undertake a pre-production collector test in which a collector vehicle, RALS and other systems have been tested. If we obtain an exploitation contract, the first phase of commercial production (“Project Zero”) would then be expected to commence after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has been upgraded to become a production support vessel that can produce at least 1.3 Mtpa (wet) of nodules. The nodules collected in Project Zero are expected to be processed through existing third-party Rotary Kiln-Electric arc Furnace (“RKEF”) facilities on a tolling basis. In the next phase of development (“Project One”), as outlined in the NORI – D Initial Assessment Technical Report Summary, production is expected to be expanded with an additional converted drillship (</w:t>
      </w:r>
      <w:r>
        <w:rPr>
          <w:rFonts w:ascii="Times New Roman" w:cs="Times New Roman" w:eastAsia="Times New Roman" w:hAnsi="Times New Roman"/>
          <w:sz w:val="17"/>
          <w:szCs w:val="17"/>
          <w:i w:val="1"/>
          <w:iCs w:val="1"/>
          <w:color w:val="auto"/>
        </w:rPr>
        <w:t>Drill Ship 2</w:t>
      </w:r>
      <w:r>
        <w:rPr>
          <w:rFonts w:ascii="Times New Roman" w:cs="Times New Roman" w:eastAsia="Times New Roman" w:hAnsi="Times New Roman"/>
          <w:sz w:val="17"/>
          <w:szCs w:val="17"/>
          <w:color w:val="auto"/>
        </w:rPr>
        <w:t xml:space="preserve">), a subsequent upgrade to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and the construction of a bespoke production support vessel (</w:t>
      </w:r>
      <w:r>
        <w:rPr>
          <w:rFonts w:ascii="Times New Roman" w:cs="Times New Roman" w:eastAsia="Times New Roman" w:hAnsi="Times New Roman"/>
          <w:sz w:val="17"/>
          <w:szCs w:val="17"/>
          <w:i w:val="1"/>
          <w:iCs w:val="1"/>
          <w:color w:val="auto"/>
        </w:rPr>
        <w:t>Collector Ship 1</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1153160</wp:posOffset>
            </wp:positionH>
            <wp:positionV relativeFrom="paragraph">
              <wp:posOffset>124460</wp:posOffset>
            </wp:positionV>
            <wp:extent cx="3808095" cy="21482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4">
                      <a:extLst>
                        <a:ext uri="{28A0092B-C50C-407E-A947-70E740481C1C}"/>
                      </a:extLst>
                    </a:blip>
                    <a:srcRect/>
                    <a:stretch>
                      <a:fillRect/>
                    </a:stretch>
                  </pic:blipFill>
                  <pic:spPr bwMode="auto">
                    <a:xfrm>
                      <a:off x="0" y="0"/>
                      <a:ext cx="3808095" cy="2148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Illustration of a polymetallic nodule production system operated at 4km depth (picture not to scale)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72">
                          <a:solidFill>
                            <a:srgbClr val="000000"/>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7pt"/>
            </w:pict>
          </mc:Fallback>
        </mc:AlternateContent>
      </w:r>
    </w:p>
    <w:p>
      <w:pPr>
        <w:sectPr>
          <w:pgSz w:w="12240" w:h="15840" w:orient="portrait"/>
          <w:cols w:equalWidth="0" w:num="1">
            <w:col w:w="9620"/>
          </w:cols>
          <w:pgMar w:left="1320" w:top="1337" w:right="1300" w:bottom="1440" w:gutter="0" w:footer="0" w:header="0"/>
        </w:sectPr>
      </w:pPr>
    </w:p>
    <w:bookmarkStart w:id="33" w:name="page34"/>
    <w:bookmarkEnd w:id="33"/>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6">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In order to test the collection system, we entered into a contract with Allseas to undertake a pre-production collector test, which was successfully completed in the second half of 2022. We expect that Project Zero commercial production would then commence after the upgrading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into a production vessel. If we obtain an exploitation contract, we expect to collect at least 1.3 Mtpa (wet) of polymetallic nodules as part Project Zero. For Project One, we believe that a fleet of three production vessels, each with multiple dedicated nodule collector vehicles, could be estimated to produce approximately 12.5 Mtpa of wet nodules at steady state (expected 2030-2045), which we intend to process, either at a new facility to be constructed by us or by potential processing partners, subject to available capital, or at third-party facilities pursuant to a toll treatment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120015</wp:posOffset>
            </wp:positionV>
            <wp:extent cx="5222875" cy="2938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7">
                      <a:extLst>
                        <a:ext uri="{28A0092B-C50C-407E-A947-70E740481C1C}"/>
                      </a:extLst>
                    </a:blip>
                    <a:srcRect/>
                    <a:stretch>
                      <a:fillRect/>
                    </a:stretch>
                  </pic:blipFill>
                  <pic:spPr bwMode="auto">
                    <a:xfrm>
                      <a:off x="0" y="0"/>
                      <a:ext cx="5222875" cy="293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believe that this phased approach to development allows for proper management of risk and for progressive improvement of engineering and operating systems. The intention is to implement the project in multiple phases that will allow the offshore collection systems to be tested and then polymetallic nodule production to be gradually ramped-up. We also believe that this approach will de-risk the project for a relatively low initial capital investment. Additionally, this phased development will allow for an adaptive approach to environmental management providing learning at small-scale which would be applied as production increases in scale.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Processing and Refining and Metallurgical Testing</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Pyrometallurgical processing of polymetallic nodules has been extensively studied since the early 1970s.</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From an early stage, we have recognized that processing represents a key to potentially commercializing seafloor polymetallic nodules and to becoming a low-cost producer of nickel, manganese, copper and cobalt products. Moreover, we believe that there is a commercial advantage in positioning ourselves as a leader in the onshore processing of seafloor polymetallic nodules.</w:t>
      </w:r>
    </w:p>
    <w:p>
      <w:pPr>
        <w:spacing w:after="0" w:line="155"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To this end, we have been working with leading global process engineering group Hatch, and a professional services firm, to develop pyrometallurgical processing and hydrometallurgical refining technologies for the production of battery metals feedstocks from nodules. Hatch has developed a near-zero solid waste flowsheet and has overseen a pyrometallurgical pilot plant program consisting of several phases: the pyrometallurgical processing phase has been completed at FLSmidth’s and XPS Solutions’ (Glencore subsidiary) facilities, the hydrometallurgical refining phase is in progress at SGS facilities. Pursuant to an engineering and consulting services agreement, Hatch is assisting and advising us during the development of the pilot test program and is analyzing and interpreting the testing results through reports provided by such test facilities.</w:t>
      </w:r>
    </w:p>
    <w:p>
      <w:pPr>
        <w:sectPr>
          <w:pgSz w:w="12240" w:h="15840" w:orient="portrait"/>
          <w:cols w:equalWidth="0" w:num="1">
            <w:col w:w="9620"/>
          </w:cols>
          <w:pgMar w:left="1320" w:top="1337" w:right="130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34" w:name="page35"/>
    <w:bookmarkEnd w:id="34"/>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8">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89">
                      <a:extLst>
                        <a:ext uri="{28A0092B-C50C-407E-A947-70E740481C1C}"/>
                      </a:extLst>
                    </a:blip>
                    <a:srcRect/>
                    <a:stretch>
                      <a:fillRect/>
                    </a:stretch>
                  </pic:blipFill>
                  <pic:spPr bwMode="auto">
                    <a:xfrm>
                      <a:off x="0" y="0"/>
                      <a:ext cx="5080" cy="13970"/>
                    </a:xfrm>
                    <a:prstGeom prst="rect">
                      <a:avLst/>
                    </a:prstGeom>
                    <a:noFill/>
                  </pic:spPr>
                </pic:pic>
              </a:graphicData>
            </a:graphic>
          </wp:anchor>
        </w:drawing>
        <w:t>We expect that the processing of the polymetallic nodules from the NORI Contract Area would also be ramped up in phases. This plan includes initially toll treating polymetallic nodules at existing RKEF plants, utilizing existing excess industry capacity. We believe that there is significant interest to deploy underutilized RKEF plants which may have become stranded as a result of the Indonesian government nickel laterite ore export ban restricting supply of the nickel laterite feedstock that they have previously utilized. These RKEF plants were originally built to convert nickel laterite to ferro-nickel alloy or nickel pig iron and could potentially be converted to smelt polymetallic nodules. While we have not completed the negotiations of any definitive agreements with RKEF plants owners, we believe that we may be able to do so in the future on commercially reasonable terms.</w:t>
      </w:r>
    </w:p>
    <w:p>
      <w:pPr>
        <w:spacing w:after="0" w:line="165"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In the future, based on the work performed by Hatch and subject to available capital, we are contemplating the construction of a processing plant(s) for Project One, which may include pyrometallurgical and hydrometallurgical circuits. Nodule processing would be increased in phases by treatment in this new plant or plants.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Strategic Alliances and Key Commercial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Allseas Agreements</w:t>
      </w:r>
    </w:p>
    <w:p>
      <w:pPr>
        <w:spacing w:after="0" w:line="21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On March 29, 2019, we entered into a Strategic Alliance Agreement with Allseas, whereby the parties will conduct project development of an integrated offshore nodule collection system for use by our subsidiaries. As initially constituted, Allseas agreed to subscribe for (i) 6,666,667 DeepGreen Common Shares for a purchase price of $20,000,000 in cash (the “Subscription”), the entire amount of which was funded, and (ii) an additional 10,000,000 DeepGreen Common Shares in exchange for services rendered by Allseas in respect of the contemplated pilot mining test system (the “PMTS”), which would be designed, built and tested by Allseas. The 10,000,000 shares would only be issued upon completion of the pilot mining test in the CCZ using the PMTS (the “Success Fee Shares”), along with an additional $30 million cash success fee that would be payable simultaneously therewith. The Strategic Alliance Agreement also contemplated that the parties would enter into other commercial arrangements following the successful completion of the pilot trials of the PMTS in the CCZ.</w:t>
      </w:r>
    </w:p>
    <w:p>
      <w:pPr>
        <w:spacing w:after="0" w:line="379" w:lineRule="exact"/>
        <w:rPr>
          <w:sz w:val="20"/>
          <w:szCs w:val="20"/>
          <w:color w:val="auto"/>
        </w:rPr>
      </w:pPr>
    </w:p>
    <w:p>
      <w:pPr>
        <w:jc w:val="both"/>
        <w:ind w:firstLine="313"/>
        <w:spacing w:after="0" w:line="258" w:lineRule="auto"/>
        <w:rPr>
          <w:sz w:val="20"/>
          <w:szCs w:val="20"/>
          <w:color w:val="auto"/>
        </w:rPr>
      </w:pPr>
      <w:r>
        <w:rPr>
          <w:rFonts w:ascii="Times New Roman" w:cs="Times New Roman" w:eastAsia="Times New Roman" w:hAnsi="Times New Roman"/>
          <w:sz w:val="17"/>
          <w:szCs w:val="17"/>
          <w:color w:val="auto"/>
        </w:rPr>
        <w:t>On July 8, 2019, we and Allseas entered into the Pilot Mining Test Agreement (the “PMTA”), which governed the terms, design specifications, procedures, and timetable under which Allseas agreed to complete and test the PMTS, to be used by NORI. The PMTA was subsequently amended on September 1, 2019, February 20, 2020, March 4, 2021, June 30, 2021 and February 8, 2023. The Strategic Alliance Agreement was also amended on March 4, 2021 (collectively with the PMTA amendment of the same date, the “Amendment”), which Amendment became effective upon closing of the Business Combination. Pursuant to the Amendment, the cash fee payable pursuant to the PMTA was amended such that we would pay to Allseas (i) $10,000,000 on June 30, 2021 (which we subsequently amended with Allseas to change to within 10 business days of the Closing of the Business Combination in a further amendment; this amount was paid on October 5, 2021), (ii) $10,000,000 on the later of January 1, 2022 and such time that confirmation is received with respect to the successful completion of the North Sea drive test, which was paid on April 25, 2022, and (iii) $10,000,000 upon successful completion of the pilot trials in the CCZ using the PMTS which was settled through the issuance of 10 million common shares in February 2023, along with additional costs owed Allseas under the PMTA in 850,000 common shares, in each case, priced at $1.00 per share under the fifth amendment to the PMTA. Pursuant to the Amendment, except as provided therein, Allseas may not, without our prior written consent, terminate the Strategic Alliance Agreement or the PMTA before NORI receives an ISA exploitation contract.</w:t>
      </w:r>
    </w:p>
    <w:p>
      <w:pPr>
        <w:spacing w:after="0" w:line="172"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Also on March 4, 2021, we issued the Allseas Warrant to Allseas, which became exercisable for 11.6 million common shares in November 11, 2022, upon the successful completion of the CCZ trial using the PMTS. The Allseas Warrant was issued to Allseas in lieu of any future obligation to issue the Success Fee Shares. The Allseas Warrant will expire on September 30, 2026.</w:t>
      </w:r>
    </w:p>
    <w:p>
      <w:pPr>
        <w:spacing w:after="0" w:line="155" w:lineRule="exact"/>
        <w:rPr>
          <w:sz w:val="20"/>
          <w:szCs w:val="20"/>
          <w:color w:val="auto"/>
        </w:rPr>
      </w:pPr>
    </w:p>
    <w:p>
      <w:pPr>
        <w:jc w:val="both"/>
        <w:ind w:right="20" w:firstLine="312"/>
        <w:spacing w:after="0" w:line="298" w:lineRule="auto"/>
        <w:rPr>
          <w:sz w:val="20"/>
          <w:szCs w:val="20"/>
          <w:color w:val="auto"/>
        </w:rPr>
      </w:pPr>
      <w:r>
        <w:rPr>
          <w:rFonts w:ascii="Times New Roman" w:cs="Times New Roman" w:eastAsia="Times New Roman" w:hAnsi="Times New Roman"/>
          <w:sz w:val="17"/>
          <w:szCs w:val="17"/>
          <w:color w:val="auto"/>
        </w:rPr>
        <w:t>The PMTA terminated by its terms upon the successful completion of the PMTS, whereas the overarching Strategic Alliance Agreement will remain in place.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71">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9pt"/>
            </w:pict>
          </mc:Fallback>
        </mc:AlternateContent>
      </w:r>
    </w:p>
    <w:p>
      <w:pPr>
        <w:sectPr>
          <w:pgSz w:w="12240" w:h="15840" w:orient="portrait"/>
          <w:cols w:equalWidth="0" w:num="1">
            <w:col w:w="9620"/>
          </w:cols>
          <w:pgMar w:left="1320" w:top="1337" w:right="1300" w:bottom="1440" w:gutter="0" w:footer="0" w:header="0"/>
        </w:sectPr>
      </w:pPr>
    </w:p>
    <w:bookmarkStart w:id="35" w:name="page36"/>
    <w:bookmarkEnd w:id="35"/>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90">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91">
                      <a:extLst>
                        <a:ext uri="{28A0092B-C50C-407E-A947-70E740481C1C}"/>
                      </a:extLst>
                    </a:blip>
                    <a:srcRect/>
                    <a:stretch>
                      <a:fillRect/>
                    </a:stretch>
                  </pic:blipFill>
                  <pic:spPr bwMode="auto">
                    <a:xfrm>
                      <a:off x="0" y="0"/>
                      <a:ext cx="5080" cy="13970"/>
                    </a:xfrm>
                    <a:prstGeom prst="rect">
                      <a:avLst/>
                    </a:prstGeom>
                    <a:noFill/>
                  </pic:spPr>
                </pic:pic>
              </a:graphicData>
            </a:graphic>
          </wp:anchor>
        </w:drawing>
        <w:t>On March 16, 2022, NORI and Allseas entered into a non-binding term sheet for the development and operation of a commercial nodule collection system. The PMTS developed and tested by Allseas is expected to be upgraded to a commercial system with a targeted production capacity of at least 1.3 Mtpa of wet nodules with expected production readiness by the fourth quarter of 2024 (“Project Zero System”). NORI and Allseas intended to equally finance all costs related to developing and getting Project Zero System into production that were estimated at less than EUR100 million. It was anticipated that NORI will not have to make any Project Zero System-related payments to Allseas until later in 2023. Once in production, NORI expected to pay Allseas a nodule collection and transshipment fee estimated at approximately EUR 150 per wet tonne in the first year of operations and expected to be reduced by more than 20% in the following years as Allseas scaled up production to at least 1.3 Mtpa of wet nodules. Following the successful completion of the NORI Area D pilot collection system trials in November 2022 and subsequent analysis of pilot data, the parties are reviewing Project Zero System production target increases, system design changes and associated cost estimates revisions and intend to enter into a binding Heads of Terms in the second half of 2023. The parties expect to further detail their relationship in three separate definitive agreements for engineering, conversion/build and commercial operations phase, respectively.</w:t>
      </w:r>
    </w:p>
    <w:p>
      <w:pPr>
        <w:spacing w:after="0" w:line="174"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 xml:space="preserve">Subject to the necessary regulatory approvals, Allseas and NORI also intend to investigate acquiring a second production vessel similar to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a further Samsung 10000, with the potential for it to be engineered to support a higher production rate of 3 million tonnes of wet nodules per year and lower associated per tonne production cost.</w:t>
      </w:r>
    </w:p>
    <w:p>
      <w:pPr>
        <w:spacing w:after="0" w:line="15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Offtake Agreements</w:t>
      </w:r>
    </w:p>
    <w:p>
      <w:pPr>
        <w:spacing w:after="0" w:line="218"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On May 25, 2012, our wholly-owned subsidiary, DGE, and Glencore, entered into a copper offtake agreement and a separate nickel offtake agreement (together, the “Glencore Offtake Agreements”), pursuant to which Glencore has the right to purchase from DGE 50% of the annual quantity of copper material and 50% of the annual quantity of nickel material produced by DGE from ore derived from the NORI Contract Area at a processing plant directly owned or controlled by DGE. Pursuant to the Glencore Offtake Agreements, for London Metal Exchange (“LME”) Codelco registered Grade “A” copper cathodes, the delivered price is the official LME Copper Grade “A” Cash Settlement quotation as published in the London Metal Bulletin averaged over the month of shipment or the following month at Glencore’s choice, plus the official long-term contract premium as announced annually by Codelco, basis CIF Main European Ports (Rotterdam, the Netherlands). For LME Registered Primary Nickel, the delivered price is the official LME Primary Nickel Cash Settlement averaged over the month of shipping or the following month at Glencore’s choice. For other copper-bearing material and other nickel-bearing material, the parties shall agree a price annually for the forthcoming calendar year on the basis of prevailing market prices for such copper products and such nickel products. The Glencore Offtake Agreements are for the life of the NORI Contract Area, and either party may terminate the agreement upon a material breach or insolvency of the other party. Glencore may also terminate either agreement by giving 12 months’ prior written notice. The Glencore Offtake Agreements do not extend to any other of our entities in the event other entities are the ultimate processing owners for metal products. The Glencore Offtake Agreements only apply with respect to metals processed and developed from the NORI areas that are processed by a facility owned or controlled by DGE and do not apply to other projects (including for example Marawa or TOML). Concurrent with entering into the Glencore Offtake Agreements, Glencore made an equity investment of $5 million into our company.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9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93">
                      <a:extLst>
                        <a:ext uri="{28A0092B-C50C-407E-A947-70E740481C1C}"/>
                      </a:extLst>
                    </a:blip>
                    <a:srcRect/>
                    <a:stretch>
                      <a:fillRect/>
                    </a:stretch>
                  </pic:blipFill>
                  <pic:spPr bwMode="auto">
                    <a:xfrm>
                      <a:off x="0" y="0"/>
                      <a:ext cx="5080" cy="13970"/>
                    </a:xfrm>
                    <a:prstGeom prst="rect">
                      <a:avLst/>
                    </a:prstGeom>
                    <a:noFill/>
                  </pic:spPr>
                </pic:pic>
              </a:graphicData>
            </a:graphic>
          </wp:anchor>
        </w:drawing>
        <w:t>Non-Binding Memorandum of Understanding</w:t>
      </w:r>
    </w:p>
    <w:p>
      <w:pPr>
        <w:spacing w:after="0" w:line="21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On March 16, 2022, we announced a business collaboration with Epsilon Carbon to complete a pre-feasibility study for a new-build commercial polymetallic nodule processing plant in India with the targeted production capacity of more than 30,000 tonnes per annum (TPA) of an intermediate nickel-copper-cobalt matte product used for active cathode material (CAM) for Nickel Manganese Cobalt (NMC) and other nickel-rich cathode chemistries for lithium-ion batteries and more than 750,000 TPA of manganese silicate by-product expected to be used in manganese alloy production for the steel industry (“Project Zero Plant”). Epsilon Carbon intended to deliver a pre-feasibility report (“PFR”) for a potential plant in India powered by renewables and with the targeted processing capacity of 1.3 million tonnes per annum (Mtpa) of wet nodules and production start in time to receive nodules collected from NORI Area D starting around the fourth quarter of 2024, subject to our subsidiary NORI securing an exploitation contract from the ISA. However, Epsilon Carbon and TMC agreed that using an existing metallurgical facility requires less capital expenditures and which we believe may offer a lower risk solution for the Project Zero Plant and the construction of a new build plant in India should be revisited once Project Zero is in production.</w:t>
      </w:r>
    </w:p>
    <w:p>
      <w:pPr>
        <w:spacing w:after="0" w:line="172"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In November 2022, we entered into a non-binding MoU with Pacific Metals Co Ltd (PAMCO) of Japan, to evaluate the toll treatment of an initial quantity of 1.3 million tonnes of wet polymetallic nodules per year at PAMCO’s Hachinohe smelting facility starting in 2025. The toll treatment is intended to take place on a dedicated rotary kiln-electric arc furnace (RKEF) processing line and produce two products: nickel-copper-cobalt alloy — an intermediate product used as feedstock to produce Li-ion battery cathodes — and a manganese silicate product used to make silico-manganese alloy, a critical input into steel manufacturing. We expect this partnership to progress to a binding MoU and a strategic alliance in the second half of 2023, subject to successful evaluation study outcomes and agreement to mutually acceptable commercial terms. We expect to pursue this existing Project Zero Plant opportunity in lieu of continuing to pursue an opportunity to build a new Project Zero Plant in India together with Epsilon Carbon, as was previously envisioned under our March 2022 business collaboration MoU with Epsilon Carbon. There can be no assurance that we will enter into such binding MoU or definitive strategic alliance in a particular time period, or at all, or on terms similar to those set forth in the MoU, or that if such binding MoU or definitive strategic alliance are entered into by us or that the existing facility will be able to successfully process nodules in a particular time period, or at all.</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2" w:lineRule="exact"/>
        <w:rPr>
          <w:sz w:val="20"/>
          <w:szCs w:val="20"/>
          <w:color w:val="auto"/>
        </w:rPr>
      </w:pPr>
    </w:p>
    <w:p>
      <w:pPr>
        <w:jc w:val="both"/>
        <w:ind w:firstLine="312"/>
        <w:spacing w:after="0" w:line="256" w:lineRule="auto"/>
        <w:rPr>
          <w:sz w:val="20"/>
          <w:szCs w:val="20"/>
          <w:color w:val="auto"/>
        </w:rPr>
      </w:pPr>
      <w:r>
        <w:rPr>
          <w:rFonts w:ascii="Times New Roman" w:cs="Times New Roman" w:eastAsia="Times New Roman" w:hAnsi="Times New Roman"/>
          <w:sz w:val="17"/>
          <w:szCs w:val="17"/>
          <w:color w:val="auto"/>
        </w:rPr>
        <w:t>The metals production industry is capital intensive and competitive. Production of battery materials and manganese alloys is largely dominated by Chinese or Chinese-funded competitors. These competitors may have greater financial resources, as well as other strategic advantages to operate, maintain, improve and possibly expand their facilities. Additionally, Chinese resources firms have historically been able to produce minerals and/or process metals from land-based operations in developing countries across the globe (e.g., cobalt in the Democratic Republic of the Congo, nickel in Indonesia and Philippines) at relatively low costs due to economic and regulatory factors, including less stringent environmental and governmental regulations and lower labor and benefit costs. We may be unable to compete successfully with these and other competitors, including other land-based mining operations. In addition to three contracts held by our subsidiaries and partners, 16 other entities (ISA Member States and private companies sponsored by ISA Member States) currently hold ISA Exploration Contracts for polymetallic nodules in the CCZ, Western Pacific and Indian Ocean Basin. Furthermore, several Norwegian deep sea mining companies (Loke, Green Minerals) have stated ambitions and non-binding MoUs to acquire polymetallic nodule exploration contracts in the CCZ. If and when they move into the exploitation phase, each of these contract-holders could become potential competitors with respect to the collection of polymetallic nodules and the production of nickel, manganese, copper and cobalt products. Furthermore, several nation states are working on developing polymetallic nodule resources inside their Exclusive Economic Zones (“EEZs”), with the Cook Islands granting three exploration contracts for polymetallic nodules in February 2022. Beyond polymetallic nodules, nations like Norway, Japan and the Kingdom of Saudi Arabia are exploring other types of deep-sea resources containing some of the metals contained in polymetallic nodules. There is increasing competition from new and existing marine mineral companies for the availability of marine exploration and support vessels, related marine equipment and specialized personnel, desirable exploration areas, suitable offshore collection and onshore processing equipment, and available capital. Some of our competitors may equally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8" w:right="130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4">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5">
                      <a:extLst>
                        <a:ext uri="{28A0092B-C50C-407E-A947-70E740481C1C}"/>
                      </a:extLst>
                    </a:blip>
                    <a:srcRect/>
                    <a:stretch>
                      <a:fillRect/>
                    </a:stretch>
                  </pic:blipFill>
                  <pic:spPr bwMode="auto">
                    <a:xfrm>
                      <a:off x="0" y="0"/>
                      <a:ext cx="5080" cy="13970"/>
                    </a:xfrm>
                    <a:prstGeom prst="rect">
                      <a:avLst/>
                    </a:prstGeom>
                    <a:noFill/>
                  </pic:spPr>
                </pic:pic>
              </a:graphicData>
            </a:graphic>
          </wp:anchor>
        </w:drawing>
        <w:t>Regulations</w:t>
      </w:r>
    </w:p>
    <w:p>
      <w:pPr>
        <w:spacing w:after="0" w:line="22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On March 4, 2023, UN member states agreed on the text for the conservation and sustainable use of marine biological diversity in areas beyond national jurisdiction (BBNJ Agreement or “High Seas Treaty”). The treaty does not replace or amend UNCLOS, or the authority of the ISA, and must be interpreted consistently with the rights granted by the Convention. The treaty has a goal of placing up to 30% of the world’s oceans under protection by 2030. In the Clarion Clipperton Zone of the Pacific Ocean, where our subsidiaries operate, the ISA has already exceeded this target with 43% of the CCZ already under protection.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United Nations Convention on the Law of the Sea</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Area is defined as the seabed and subsoil beyond the limits of national jurisdiction (UNCLOS Article 1).</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principal policy documents governing the Area, including the CCZ, include:</w:t>
      </w:r>
    </w:p>
    <w:p>
      <w:pPr>
        <w:spacing w:after="0" w:line="219" w:lineRule="exact"/>
        <w:rPr>
          <w:sz w:val="20"/>
          <w:szCs w:val="20"/>
          <w:color w:val="auto"/>
        </w:rPr>
      </w:pPr>
    </w:p>
    <w:p>
      <w:pPr>
        <w:ind w:left="660" w:hanging="314"/>
        <w:spacing w:after="0"/>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UNCLOS, of 10 December 1982; and</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1994 Implementation Agreement.</w:t>
      </w:r>
    </w:p>
    <w:p>
      <w:pPr>
        <w:spacing w:after="0" w:line="21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UNCLOS deals with, among other things, navigational rights, territorial sea limits, exclusive economic zone jurisdiction, the continental shelf, freedom of the high seas, legal status of resources on the seabed beyond the limits of national jurisdiction, passage of ships through narrow straits, conservation and management of living marine resources in the high seas, protection of the marine environment, marine scientific research, and settlement of disputes.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116840</wp:posOffset>
            </wp:positionV>
            <wp:extent cx="5041900" cy="26339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6">
                      <a:extLst>
                        <a:ext uri="{28A0092B-C50C-407E-A947-70E740481C1C}"/>
                      </a:extLst>
                    </a:blip>
                    <a:srcRect/>
                    <a:stretch>
                      <a:fillRect/>
                    </a:stretch>
                  </pic:blipFill>
                  <pic:spPr bwMode="auto">
                    <a:xfrm>
                      <a:off x="0" y="0"/>
                      <a:ext cx="5041900" cy="263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Part XI of UNCLOS and the 1994 Implementation Agreement deal with mineral exploration and collection in the international seabed, known as the Area, providing a framework for entities to obtain legal title to areas of the seafloor from the ISA for the purpose of exploration and eventually collection of resources. UNCLOS became effective on November 16, 1994. A subsequent agreement relating to the implementation of Part XI of UNCLOS was adopted on July 28, 1994 and became effective on July 28, 1996. The 1994 Implementation Agreement and Part XI of UNCLOS are to be interpreted and applied together as a single instrument. As of March 27, 2023, UNCLOS had been signed by 167 States (countries) and the European Union.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334" w:right="130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9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98">
                      <a:extLst>
                        <a:ext uri="{28A0092B-C50C-407E-A947-70E740481C1C}"/>
                      </a:extLst>
                    </a:blip>
                    <a:srcRect/>
                    <a:stretch>
                      <a:fillRect/>
                    </a:stretch>
                  </pic:blipFill>
                  <pic:spPr bwMode="auto">
                    <a:xfrm>
                      <a:off x="0" y="0"/>
                      <a:ext cx="5080" cy="13970"/>
                    </a:xfrm>
                    <a:prstGeom prst="rect">
                      <a:avLst/>
                    </a:prstGeom>
                    <a:noFill/>
                  </pic:spPr>
                </pic:pic>
              </a:graphicData>
            </a:graphic>
          </wp:anchor>
        </w:drawing>
        <w:t>International Seabed Authority (“ISA”)</w:t>
      </w:r>
    </w:p>
    <w:p>
      <w:pPr>
        <w:spacing w:after="0" w:line="21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 ISA is an autonomous international organization established under UNCLOS and the 1994 Implementation Agreement to organize and control activities in the Area, particularly with a view to administering and regulating the development of the resources of the Area, in accordance with the legal regime established under UNCLOS and the 1994 Implementation Agreement. In so doing, the ISA has the mandate to regulate all mineral related activities in the Area for the benefit of humankind and ensure the effective protection of the marine environment from harmful effects that may arise from deep-seabed related activities. The ISA is comprised of UNCLOS signatories, 167 Member States, and the European Union. All parties to UNCLOS are members of the ISA. Two principal entities establish the policies and govern the work of the ISA: the Assembly, where all 168 members are represented (the “Assembly”), and a 36-member council elected by the Assembly (the “Council”). The Council has two advisory bodies: the Legal Technical Commission (LTC) (41 members), which advises the Council on matters relating to the exploration and collection of non-living marine resources, such as polymetallic nodules, polymetallic sulphides and cobalt-rich ferromanganese crusts, and the Finance Committee (15 members), which deals with budgetary and related matters.</w:t>
      </w:r>
    </w:p>
    <w:p>
      <w:pPr>
        <w:spacing w:after="0" w:line="37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All rules, regulations, and procedures issued by the ISA to regulate prospecting, exploration, and collection of marine minerals are issued within a general legal framework established by UNCLOS and the 1994 Implementation Agreement. To date, the ISA has issued the following regulations (</w:t>
      </w:r>
      <w:r>
        <w:rPr>
          <w:rFonts w:ascii="Times New Roman" w:cs="Times New Roman" w:eastAsia="Times New Roman" w:hAnsi="Times New Roman"/>
          <w:sz w:val="17"/>
          <w:szCs w:val="17"/>
          <w:i w:val="1"/>
          <w:iCs w:val="1"/>
          <w:color w:val="auto"/>
        </w:rPr>
        <w:t>https://www.isa.org.jm/mining-code/Regulations</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ind w:left="660" w:hanging="314"/>
        <w:spacing w:after="0" w:line="298" w:lineRule="auto"/>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Regulations on Prospecting and Exploration for Polymetallic Nodules in the CCZ (adopted July 13, 2000, as amended in 2013; the Regulations).</w:t>
      </w:r>
    </w:p>
    <w:p>
      <w:pPr>
        <w:spacing w:after="0" w:line="13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Regulations on Prospecting and Exploration for Polymetallic Sulphides (adopted May 7, 2010).</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Regulations on Prospecting and Exploration for Cobalt-Rich Ferromanganese Crusts in the CCZ (July 2012).</w:t>
      </w:r>
    </w:p>
    <w:p>
      <w:pPr>
        <w:spacing w:after="0" w:line="219"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No commercial polymetallic nodule collection operations have started anywhere in the world. Currently, exploration activities undertaken are aimed at gathering the necessary information on the location, quality and quantity of the minerals of the seabed as well as collecting the necessary environmental baseline information. To date, the ISA has approved 17 contracts in the CCZ for exploration of nodules, one in the Indian Ocean and one in the Western Pacific Ocean covering more than 1.35 million square kilometers of the seabed. This represents only 0.3 percent of the world’s oceans seafloor. Twelve of these contracts are sponsored by developing countries (including the sponsors of our subsidiaries NORI — Nauru, and TOML — Tonga, and our partner Marawa which is sponsored by the Republic of Kiribati). Thirteen countries and one intergovernmental consortium currently have contracts for the exploration of polymetallic nodules, seven countries have contracts for the exploration of polymetallic sulphides, and five countries have contracts for the exploration of cobalt-rich ferromanganese crusts. To date, no exploitation contracts for extracting minerals from the seafloor within the CCZ have been granted. The ISA is currently working on the development of a legal framework to regulate the commercialization of mineral development activities, as described below.</w:t>
      </w:r>
    </w:p>
    <w:p>
      <w:pPr>
        <w:spacing w:after="0" w:line="16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2014, the ISA completed a study looking at comparative extractive regulatory regimes. This was followed in March 2014 with a stakeholder survey seeking comments on what financial, environmental, and health and safety obligations should be included under the framework (ISA 2014).</w:t>
      </w:r>
    </w:p>
    <w:p>
      <w:pPr>
        <w:spacing w:after="0" w:line="155" w:lineRule="exact"/>
        <w:rPr>
          <w:sz w:val="20"/>
          <w:szCs w:val="20"/>
          <w:color w:val="auto"/>
        </w:rPr>
      </w:pPr>
    </w:p>
    <w:p>
      <w:pPr>
        <w:jc w:val="both"/>
        <w:ind w:firstLine="311"/>
        <w:spacing w:after="0" w:line="244" w:lineRule="auto"/>
        <w:rPr>
          <w:sz w:val="20"/>
          <w:szCs w:val="20"/>
          <w:color w:val="auto"/>
        </w:rPr>
      </w:pPr>
      <w:r>
        <w:rPr>
          <w:rFonts w:ascii="Times New Roman" w:cs="Times New Roman" w:eastAsia="Times New Roman" w:hAnsi="Times New Roman"/>
          <w:sz w:val="17"/>
          <w:szCs w:val="17"/>
          <w:color w:val="auto"/>
        </w:rPr>
        <w:t>In August 2017, the Council released the first Draft Regulations on Exploitation of Mineral Resources in the CCZ, as subsequently amended. In March 2019, the Council released the advance and unedited text (English only) of the Draft Regulations on Exploitation of Mineral Resources in the CCZ (ISBA/25/LTC/WP.1) (ISA, 2018). The revised draft exploitation regulations incorporated the consideration of requests addressed to the LTC by the Council during the first part of the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Session in March 2018, as well as certain comments by the Commission, and also reflected the responses to the first draft from stakeholder submissions. The exploitation regulations will create the legal and technical framework for collection and related operations. Finalization of the exploitation regulations remains subject to the decision of the members of the ISA. Final exploitation regulations must be adopted by the Council. The ISA was targeting to finalize these regulations by July 2020, but the COVID-19 pandemic disrupted ISA meetings and discussions.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9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00">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current proposed application process in the draft exploitation regulations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154305</wp:posOffset>
            </wp:positionV>
            <wp:extent cx="5535295" cy="21151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01">
                      <a:extLst>
                        <a:ext uri="{28A0092B-C50C-407E-A947-70E740481C1C}"/>
                      </a:extLst>
                    </a:blip>
                    <a:srcRect/>
                    <a:stretch>
                      <a:fillRect/>
                    </a:stretch>
                  </pic:blipFill>
                  <pic:spPr bwMode="auto">
                    <a:xfrm>
                      <a:off x="0" y="0"/>
                      <a:ext cx="5535295" cy="211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are still in the exploration phase of the project and have not yet obtained an exploitation contract from the ISA (“ISA Exploitation Contract”) to commence commercial-scale polymetallic nodule collection in the CCZ. An ISA exploitation contract application is comprised of several components, including an EIS for the proposed commercial operations, the end-product of a comprehensive ESIA program. In addition, we do not have the applicable environmental and other permits required to build and operate commercial scale polymetallic nodule processing and refining plants on land.</w:t>
      </w:r>
    </w:p>
    <w:p>
      <w:pPr>
        <w:spacing w:after="0" w:line="16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Section 1, paragraph 15 of the 1994 Agreement relating to the Implementation of Part XI of the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55"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On June 25, 2021, Nauru submitted its notice to the ISA requesting that it complete the adoption, by July 9, 2023, of rules, regulations and procedures necessary to facilitate the approval of plans of work for exploitation in the Area. In June 2022, a member State submitted a position paper to the ISA urging that the deadline to adopt the exploitation regulations be extended for a period of 15 years. Although we believe that the notice submitted by Nauru to the ISA has increased the likelihood that exploitation regulations and any necessary rules, regulations and procedures to facilitate the approval of a plan of work for exploitation will be adopted by mid-2023, there can be no assurances that the adoption of these regulations will not be delayed or halted paused as a result of the actions of ISA member States.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 (iv) the terms and principles contained in the Agreement relating to the Implementation of Part XI, including the principle of non-discrimination among contractors. There can be no assurance that the ISA will provisionally approve our plan or that such provisional approval would lead to the issuance of an exploitation contract by the ISA.</w:t>
      </w:r>
    </w:p>
    <w:p>
      <w:pPr>
        <w:spacing w:after="0" w:line="174"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December 2021, the ISA held in-person meetings in Kingston Jamaica and established a work plan and road map to finalize regulations by July 2023 for the commercial exploitation of seabed minerals, including those necessary for the collection of polymetallic nodules. In November 2022, the ISA developed an updated road map for 2023 that includes three Council sessions and one week of Assembly meetings that will be focused primarily on the finalization of the regulations in 2023. Once adopted, these regulations will create the legal and technical framework for exploitation of polymetallic nodules.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71">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9pt"/>
            </w:pict>
          </mc:Fallback>
        </mc:AlternateContent>
      </w:r>
    </w:p>
    <w:p>
      <w:pPr>
        <w:sectPr>
          <w:pgSz w:w="12240" w:h="15840" w:orient="portrait"/>
          <w:cols w:equalWidth="0" w:num="1">
            <w:col w:w="9620"/>
          </w:cols>
          <w:pgMar w:left="1320" w:top="1337" w:right="1300" w:bottom="1440" w:gutter="0" w:footer="0" w:header="0"/>
        </w:sectPr>
      </w:pPr>
    </w:p>
    <w:bookmarkStart w:id="40" w:name="page41"/>
    <w:bookmarkEnd w:id="40"/>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0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3">
                      <a:extLst>
                        <a:ext uri="{28A0092B-C50C-407E-A947-70E740481C1C}"/>
                      </a:extLst>
                    </a:blip>
                    <a:srcRect/>
                    <a:stretch>
                      <a:fillRect/>
                    </a:stretch>
                  </pic:blipFill>
                  <pic:spPr bwMode="auto">
                    <a:xfrm>
                      <a:off x="0" y="0"/>
                      <a:ext cx="5080" cy="13970"/>
                    </a:xfrm>
                    <a:prstGeom prst="rect">
                      <a:avLst/>
                    </a:prstGeom>
                    <a:noFill/>
                  </pic:spPr>
                </pic:pic>
              </a:graphicData>
            </a:graphic>
          </wp:anchor>
        </w:drawing>
        <w:t>While, the ISA has developed a work plan and road map to adopt the Final Regulations by July 2023, there can be no assurance that such regulations will be adopted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 If the Final Regulations are not adopted by July 2023, a plan of work for exploitation may nevertheless be submitted to the ISA for consideration and provisional approval pursuant to Section 1, Paragraph 15 of the Annex to the Agreement relating to the Implementation of Part XI of the UNCLOS. There can be no assurance that the ISA will provisionally approve any such plan or that any such provisional approval would lead to the issuance of an exploitation contract by the ISA.</w:t>
      </w:r>
    </w:p>
    <w:p>
      <w:pPr>
        <w:spacing w:after="0" w:line="37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On March 4, 2023, the United Nations finalized the UN High Seas Treaty. The treaty does not replace or amend UNCLOS, or the authority of the ISA, and must be interpreted consistently with the rights granted by the Convention. The treaty has a goal of placing up to 30% of the world’s oceans under protection by 2030. In the CCZ, where our subsidiaries operate, the ISA has already exceeded this target with 43% of the CCZ already under protection.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NORI Exploration Contract</w:t>
      </w:r>
    </w:p>
    <w:p>
      <w:pPr>
        <w:spacing w:after="0" w:line="218" w:lineRule="exact"/>
        <w:rPr>
          <w:sz w:val="20"/>
          <w:szCs w:val="20"/>
          <w:color w:val="auto"/>
        </w:rPr>
      </w:pPr>
    </w:p>
    <w:p>
      <w:pPr>
        <w:jc w:val="both"/>
        <w:ind w:firstLine="311"/>
        <w:spacing w:after="0" w:line="234" w:lineRule="auto"/>
        <w:rPr>
          <w:sz w:val="20"/>
          <w:szCs w:val="20"/>
          <w:color w:val="auto"/>
        </w:rPr>
      </w:pPr>
      <w:r>
        <w:rPr>
          <w:rFonts w:ascii="Times New Roman" w:cs="Times New Roman" w:eastAsia="Times New Roman" w:hAnsi="Times New Roman"/>
          <w:sz w:val="17"/>
          <w:szCs w:val="17"/>
          <w:color w:val="auto"/>
        </w:rPr>
        <w:t>In July 2011, our wholly-owned subsidiary, NORI, was granted a polymetallic nodule exploration contract by the ISA, providing it exclusive rights to explore 74,830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pursuant to the NORI Exploration Contract (“NORI Exploration Contract”). The NORI Exploration Contract was approved by the Council on July 19, 2011, and entered into on July 22, 2011 between NORI and the ISA, and terminates on July 22, 2026, subject to extension.</w:t>
      </w:r>
    </w:p>
    <w:p>
      <w:pPr>
        <w:spacing w:after="0" w:line="185" w:lineRule="exact"/>
        <w:rPr>
          <w:sz w:val="20"/>
          <w:szCs w:val="20"/>
          <w:color w:val="auto"/>
        </w:rPr>
      </w:pPr>
    </w:p>
    <w:p>
      <w:pPr>
        <w:jc w:val="both"/>
        <w:ind w:firstLine="311"/>
        <w:spacing w:after="0" w:line="248" w:lineRule="auto"/>
        <w:rPr>
          <w:sz w:val="20"/>
          <w:szCs w:val="20"/>
          <w:color w:val="auto"/>
        </w:rPr>
      </w:pPr>
      <w:r>
        <w:rPr>
          <w:rFonts w:ascii="Times New Roman" w:cs="Times New Roman" w:eastAsia="Times New Roman" w:hAnsi="Times New Roman"/>
          <w:sz w:val="17"/>
          <w:szCs w:val="17"/>
          <w:color w:val="auto"/>
        </w:rPr>
        <w:t>The NORI Exploration Contract, which was granted pursuant to the ISA’s Regulations on Prospecting and Exploration for Polymetallic Nodules in the CCZ (the “Regulations”), formalized a 74,830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exploration area, has an initial term of 15 years (subject to renewal for successive five-year periods), and provides for certain obligations with respect to exploration, training, and other programs of activities for an initial five-year period. The NORI Exploration Contract also formalized the rights of NORI around future rights. Pursuant to the Regulations, NORI has the priority right to apply for an exploitation contract to collect polymetallic nodules in the same area (Regulation 24(2)).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would be required to provide the reasons for its proposed withdrawal of preference or priority and shall consider any contractor’s response. The decision of the Council shall take account of that response and shall be based on substantial evidence. As soon as practicable, NORI intends to submit an application to collect polymetallic nodules in the same area as its current exploration rights. To date, no exploitation contracts for extracting minerals from the international seafloor have been granted. The ISA is currently working on the development of a legal framework to regulate the exploitation of polymetallic nodules in the Area, as described above.</w:t>
      </w:r>
    </w:p>
    <w:p>
      <w:pPr>
        <w:spacing w:after="0" w:line="182"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In 2021, NORI submitted a review of the implementation of the plan of work for the period from 2017 to 2021 to the ISA. The review included a proposed plan of work for the next five-year period from 2022 to 2026. On February 3, 2022, the ISA confirmed that the Secretariat and Commission had reviewed NORI’s report and noted that the program of activities for the next five-year period was acceptable. The ISA requested clarification on a few matters and noted that the periodic review would be concluded if the clarifications were received within 30 days. On February 28, 2022, NORI provided the clarification in response to the request by the ISA and on June 1, 2022, the ISA accepted NORI’s proposed program of activities.</w:t>
      </w:r>
    </w:p>
    <w:p>
      <w:pPr>
        <w:spacing w:after="0" w:line="167"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The ISA Council may suspend or terminate the NORI Exploration Contract, without prejudice to any other rights that the ISA may have, if any of the following events should occur:</w:t>
      </w:r>
    </w:p>
    <w:p>
      <w:pPr>
        <w:spacing w:after="0" w:line="137" w:lineRule="exact"/>
        <w:rPr>
          <w:sz w:val="20"/>
          <w:szCs w:val="20"/>
          <w:color w:val="auto"/>
        </w:rPr>
      </w:pPr>
    </w:p>
    <w:p>
      <w:pPr>
        <w:jc w:val="both"/>
        <w:ind w:left="660" w:hanging="314"/>
        <w:spacing w:after="0" w:line="276" w:lineRule="auto"/>
        <w:tabs>
          <w:tab w:leader="none" w:pos="65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spite of written warnings by the ISA, NORI has conducted its activities in such a way as to result in serious persistent and willful violations of the fundamental terms of the NORI Exploration Contract, Part XI of UNCLOS, the 1994 Agreement and the rules, regulations and procedures of the ISA;</w:t>
      </w:r>
    </w:p>
    <w:p>
      <w:pPr>
        <w:spacing w:after="0" w:line="155" w:lineRule="exact"/>
        <w:rPr>
          <w:rFonts w:ascii="Times New Roman" w:cs="Times New Roman" w:eastAsia="Times New Roman" w:hAnsi="Times New Roman"/>
          <w:sz w:val="17"/>
          <w:szCs w:val="17"/>
          <w:color w:val="auto"/>
        </w:rPr>
      </w:pPr>
    </w:p>
    <w:p>
      <w:pPr>
        <w:ind w:left="660" w:hanging="313"/>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NORI has failed to comply with a final binding decision of the dispute settlement body applicable to it;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41" w:name="page42"/>
    <w:bookmarkEnd w:id="41"/>
    <w:p>
      <w:pPr>
        <w:jc w:val="both"/>
        <w:ind w:left="660" w:hanging="315"/>
        <w:spacing w:after="0" w:line="269"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04">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05">
                      <a:extLst>
                        <a:ext uri="{28A0092B-C50C-407E-A947-70E740481C1C}"/>
                      </a:extLst>
                    </a:blip>
                    <a:srcRect/>
                    <a:stretch>
                      <a:fillRect/>
                    </a:stretch>
                  </pic:blipFill>
                  <pic:spPr bwMode="auto">
                    <a:xfrm>
                      <a:off x="0" y="0"/>
                      <a:ext cx="5080" cy="13970"/>
                    </a:xfrm>
                    <a:prstGeom prst="rect">
                      <a:avLst/>
                    </a:prstGeom>
                    <a:noFill/>
                  </pic:spPr>
                </pic:pic>
              </a:graphicData>
            </a:graphic>
          </wp:anchor>
        </w:drawing>
        <w:t>if NORI becomes insolvent or commits an act of bankruptcy or enters into any agreement for composition with its creditors or goes into liquidation or receivership, whether compulsory or voluntary, or petitions or applies to any tribunal for the appointment of a receiver or a trustee or receiver for itself or commences any proceedings relating to itself under any bankruptcy, insolvency or readjustment of debt law, whether now or hereafter in effect, other than for the purpose of reconstruction.</w:t>
      </w:r>
    </w:p>
    <w:p>
      <w:pPr>
        <w:spacing w:after="0" w:line="161" w:lineRule="exact"/>
        <w:rPr>
          <w:sz w:val="20"/>
          <w:szCs w:val="20"/>
          <w:color w:val="auto"/>
        </w:rPr>
      </w:pPr>
    </w:p>
    <w:p>
      <w:pPr>
        <w:jc w:val="both"/>
        <w:ind w:right="20" w:firstLine="311"/>
        <w:spacing w:after="0" w:line="276" w:lineRule="auto"/>
        <w:rPr>
          <w:sz w:val="20"/>
          <w:szCs w:val="20"/>
          <w:color w:val="auto"/>
        </w:rPr>
      </w:pPr>
      <w:r>
        <w:rPr>
          <w:rFonts w:ascii="Times New Roman" w:cs="Times New Roman" w:eastAsia="Times New Roman" w:hAnsi="Times New Roman"/>
          <w:sz w:val="17"/>
          <w:szCs w:val="17"/>
          <w:color w:val="auto"/>
        </w:rPr>
        <w:t>Additionally, if the nationality or control of NORI changes or NORI’s Sponsoring State, as defined in the Regulations, terminates its sponsorship and NORI does not obtain another sponsor meeting the requirements prescribed in the Regulations, then the NORI Exploration Contract will terminate.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NORI Sponsorship Agreement</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NORI is sponsored by Nauru pursuant to a certificate of sponsorship signed by the Government of Nauru on April 11, 2011. NORI is a Nauruan incorporated entity and is subject to applicable Nauruan legislation and regulations. In 2015, the Nauruan government established the Nauru Seabed Minerals Authority to regulate activities carried out by companies sponsored by Nauru.</w:t>
      </w:r>
    </w:p>
    <w:p>
      <w:pPr>
        <w:spacing w:after="0" w:line="15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Throughout the period of the NORI Exploration Contract, NORI must be sponsored by a State that is party to UNCLOS. If the nationality or control of NORI changes or NORI’s Sponsoring State, as defined in the Regulations, terminates its sponsorship, NORI must promptly notify the ISA. In either event, if NORI does not obtain another sponsor meeting the requirements prescribed in the Regulations and fails to submit to the ISA a certificate of sponsorship for NORI in the prescribed form within six months, the NORI Exploration Contract will terminate.</w:t>
      </w:r>
    </w:p>
    <w:p>
      <w:pPr>
        <w:spacing w:after="0" w:line="165"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On July 5, 2017, Nauru, the Nauru Seabed Minerals Authority and NORI entered into a sponsorship agreement (the “NORI Sponsorship Agreement”) formalizing certain obligations of the parties in relation to NORI’s exploration and potential collection of nodules within the NORI Contract Area of the CCZ. The NORI Sponsorship Agreement will remain in force for the duration of the 15-year NORI Exploration Contract and will automatically extend for a further 20 years upon NORI reaching the minimum recovery level under an ISA Exploitation Contract, unless earlier terminated by the ISA as a result of NORI’s breach of the NORI Exploration Contract or pursuant to its terms. Upon reaching the minimum recovery level within the tenement area, NORI will pay Nauru a seabed mineral recovery payment based on the polymetallic nodules recovered from the tenement area. In addition, NORI will pay an administration fee each year to Nauru for such administration and sponsorship, which is subject to review and increase in the event that NORI is granted an ISA Exploitation Contract. NORI has begun discussions with the Government of Nauru to renegotiate the existing sponsorship agreement and has committed to paying corporate income tax within Nauru.</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exploration, NORI is required to, among other things:</w:t>
      </w:r>
    </w:p>
    <w:p>
      <w:pPr>
        <w:spacing w:after="0" w:line="219" w:lineRule="exact"/>
        <w:rPr>
          <w:sz w:val="20"/>
          <w:szCs w:val="20"/>
          <w:color w:val="auto"/>
        </w:rPr>
      </w:pPr>
    </w:p>
    <w:p>
      <w:pPr>
        <w:ind w:left="660" w:hanging="315"/>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 an annual report to the ISA;</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 certain performance and expenditure commitments;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an annual overhead charge to cover the costs incurred by the ISA in administering and supervising the contract;</w:t>
      </w:r>
    </w:p>
    <w:p>
      <w:pPr>
        <w:spacing w:after="0" w:line="219" w:lineRule="exact"/>
        <w:rPr>
          <w:rFonts w:ascii="Times New Roman" w:cs="Times New Roman" w:eastAsia="Times New Roman" w:hAnsi="Times New Roman"/>
          <w:sz w:val="17"/>
          <w:szCs w:val="17"/>
          <w:color w:val="auto"/>
        </w:rPr>
      </w:pPr>
    </w:p>
    <w:p>
      <w:pPr>
        <w:ind w:left="660" w:hanging="314"/>
        <w:spacing w:after="0" w:line="298" w:lineRule="auto"/>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training programs for personnel of the ISA and developing countries in accordance with a training program proposed by NORI in its license application;</w:t>
      </w:r>
    </w:p>
    <w:p>
      <w:pPr>
        <w:spacing w:after="0" w:line="136" w:lineRule="exact"/>
        <w:rPr>
          <w:rFonts w:ascii="Times New Roman" w:cs="Times New Roman" w:eastAsia="Times New Roman" w:hAnsi="Times New Roman"/>
          <w:sz w:val="17"/>
          <w:szCs w:val="17"/>
          <w:color w:val="auto"/>
        </w:rPr>
      </w:pPr>
    </w:p>
    <w:p>
      <w:pPr>
        <w:ind w:left="660" w:hanging="314"/>
        <w:spacing w:after="0" w:line="298" w:lineRule="auto"/>
        <w:tabs>
          <w:tab w:leader="none" w:pos="66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measures to prevent, reduce, and control pollution and other hazards to the marine environment arising from its activities in the CCZ;</w:t>
      </w:r>
    </w:p>
    <w:p>
      <w:pPr>
        <w:spacing w:after="0" w:line="13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appropriate insurance policies;</w:t>
      </w:r>
    </w:p>
    <w:p>
      <w:pPr>
        <w:spacing w:after="0" w:line="219" w:lineRule="exact"/>
        <w:rPr>
          <w:rFonts w:ascii="Times New Roman" w:cs="Times New Roman" w:eastAsia="Times New Roman" w:hAnsi="Times New Roman"/>
          <w:sz w:val="17"/>
          <w:szCs w:val="17"/>
          <w:color w:val="auto"/>
        </w:rPr>
      </w:pPr>
    </w:p>
    <w:p>
      <w:pPr>
        <w:ind w:left="660" w:right="20" w:hanging="315"/>
        <w:spacing w:after="0" w:line="298" w:lineRule="auto"/>
        <w:tabs>
          <w:tab w:leader="none" w:pos="65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environmental baselines against which to assess the likely effects of its program of activities on the marine environment; and</w:t>
      </w:r>
    </w:p>
    <w:p>
      <w:pPr>
        <w:spacing w:after="0" w:line="13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implement a program to monitor and report on such effects.</w:t>
      </w:r>
    </w:p>
    <w:p>
      <w:pPr>
        <w:sectPr>
          <w:pgSz w:w="12240" w:h="15840" w:orient="portrait"/>
          <w:cols w:equalWidth="0" w:num="1">
            <w:col w:w="9620"/>
          </w:cols>
          <w:pgMar w:left="1320" w:top="1337" w:right="130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42" w:name="page43"/>
    <w:bookmarkEnd w:id="42"/>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6">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07">
                      <a:extLst>
                        <a:ext uri="{28A0092B-C50C-407E-A947-70E740481C1C}"/>
                      </a:extLst>
                    </a:blip>
                    <a:srcRect/>
                    <a:stretch>
                      <a:fillRect/>
                    </a:stretch>
                  </pic:blipFill>
                  <pic:spPr bwMode="auto">
                    <a:xfrm>
                      <a:off x="0" y="0"/>
                      <a:ext cx="5080" cy="13970"/>
                    </a:xfrm>
                    <a:prstGeom prst="rect">
                      <a:avLst/>
                    </a:prstGeom>
                    <a:noFill/>
                  </pic:spPr>
                </pic:pic>
              </a:graphicData>
            </a:graphic>
          </wp:anchor>
        </w:drawing>
        <w:t>NORI is sponsored to carry out its mineral exploration activities in the CCZ by Nauru, pursuant to a certificate of sponsorship signed by the Government of Nauru on April 11, 2011. Sponsorship of an entity requires the sponsoring State to certify that it assumes responsibility for the entity’s activities in the CCZ in accordance with UNCLOS. NORI is a Nauruan incorporated entity and is subject to applicable Nauruan legislation and regulations.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TOML Exploration Contract</w:t>
      </w:r>
    </w:p>
    <w:p>
      <w:pPr>
        <w:spacing w:after="0" w:line="218" w:lineRule="exact"/>
        <w:rPr>
          <w:sz w:val="20"/>
          <w:szCs w:val="20"/>
          <w:color w:val="auto"/>
        </w:rPr>
      </w:pPr>
    </w:p>
    <w:p>
      <w:pPr>
        <w:jc w:val="both"/>
        <w:ind w:firstLine="311"/>
        <w:spacing w:after="0" w:line="238" w:lineRule="auto"/>
        <w:rPr>
          <w:sz w:val="20"/>
          <w:szCs w:val="20"/>
          <w:color w:val="auto"/>
        </w:rPr>
      </w:pPr>
      <w:r>
        <w:rPr>
          <w:rFonts w:ascii="Times New Roman" w:cs="Times New Roman" w:eastAsia="Times New Roman" w:hAnsi="Times New Roman"/>
          <w:sz w:val="17"/>
          <w:szCs w:val="17"/>
          <w:color w:val="auto"/>
        </w:rPr>
        <w:t>In March 2020, we acquired TOML from Deep Sea Mining Finance Limited, providing us with exclusive rights to explore a 74,713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area of the CCZ seabed. TOML holds an exploration contract granted by the ISA and sponsored by the Kingdom of Tonga pursuant to the TOML Exploration Contract (“TOML Exploration Contract”). The plan of work was approved by the Council, acting on the recommendation of the LTC, on July 19, 2011. The TOML Exploration Contract was then signed on January 11, 2012 between TOML and the ISA and terminates on January 11, 2027, subject to a potential extension under the terms of the agreement.</w:t>
      </w:r>
    </w:p>
    <w:p>
      <w:pPr>
        <w:spacing w:after="0" w:line="184" w:lineRule="exact"/>
        <w:rPr>
          <w:sz w:val="20"/>
          <w:szCs w:val="20"/>
          <w:color w:val="auto"/>
        </w:rPr>
      </w:pPr>
    </w:p>
    <w:p>
      <w:pPr>
        <w:jc w:val="both"/>
        <w:ind w:firstLine="312"/>
        <w:spacing w:after="0" w:line="247" w:lineRule="auto"/>
        <w:rPr>
          <w:sz w:val="20"/>
          <w:szCs w:val="20"/>
          <w:color w:val="auto"/>
        </w:rPr>
      </w:pPr>
      <w:r>
        <w:rPr>
          <w:rFonts w:ascii="Times New Roman" w:cs="Times New Roman" w:eastAsia="Times New Roman" w:hAnsi="Times New Roman"/>
          <w:sz w:val="17"/>
          <w:szCs w:val="17"/>
          <w:color w:val="auto"/>
        </w:rPr>
        <w:t>The TOML Exploration Contract was granted pursuant to the ISA’s Regulations, as well as Article 153 of UNCLOS, and formalized a 74,713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exploration area. The TOML Exploration Contract includes an initial term of 15 years, which may be extended under the contract, and a program of activities to be completed within the first five-year period of the term. The TOML Exploration Contract also formalized the rights of TOML around future rights. Pursuant to the Regulations, TOML has the priority right to apply for an ISA Exploitation Contract to collect polymetallic nodules in the same area (Regulation 24(2)). The Regulations state that a contractor who has an approved plan of work for exploration only shall have a preference and a priority among applicants submitting plans of work for collection of the same area and resources. Such preference or priority may be withdrawn by the Council if the contractor has failed to comply with the requirements of its approved plan of work for exploration within the time period specified in a written notice or notices from the Council to the contractor indicating which requirements have not been complied with by the contractor. After a hearing process, the Council shall provide the reasons for its proposed withdrawal of preference or priority and shall consider any contractor’s response. The decision of the Council shall take account of that response and shall be based on substantial evidence.</w:t>
      </w:r>
    </w:p>
    <w:p>
      <w:pPr>
        <w:spacing w:after="0" w:line="181"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Under ISA requirements contractors are required to submit five-year work programs. The first TOML five-year work program was completed in 2016 and reviewed and accepted by the ISA in late 2016. In 2021, TOML submitted a review of the implementation of the plan of work for the period from 2017 to 2021 to the ISA. The review included a proposed plan of work for the next five-year period from 2022 to 2026.</w:t>
      </w:r>
    </w:p>
    <w:p>
      <w:pPr>
        <w:spacing w:after="0" w:line="161"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For the second five-year period ending in 2021, the proposed program included the following: (i) continue environmental baseline work; (ii) complete pilot testing; (iii) complete geotechnical studies; (iv) complete feasibility studies; (v) first draft EIS/EMMP; and (vi) continue training. TOML noted that the program was dependent on success at each stage, subject to change based on findings at hand at any particular time and reliant on funding which in turn is dependent to some extent on macro-economic conditions and development with regards to the authority and its stakeholders. The five-year program ending in 2021 included activities prior to TMC’s acquisition of TOML in 2020. Although the stated program objectives were not achieved, the ISA accepted TOML’s submission and explanations, and agreed to TOML’s next five-year program of activities.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December 23, 2022, the ISA accepted TOML’s proposed program of activities for the 2022-2026 five-year period.</w:t>
      </w:r>
    </w:p>
    <w:p>
      <w:pPr>
        <w:spacing w:after="0" w:line="219"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ISA Council may suspend or terminate the TOML Exploration Contract, without prejudice to any other rights that the ISA may have, if any of the following events occur:</w:t>
      </w:r>
    </w:p>
    <w:p>
      <w:pPr>
        <w:spacing w:after="0" w:line="137" w:lineRule="exact"/>
        <w:rPr>
          <w:sz w:val="20"/>
          <w:szCs w:val="20"/>
          <w:color w:val="auto"/>
        </w:rPr>
      </w:pPr>
    </w:p>
    <w:p>
      <w:pPr>
        <w:jc w:val="both"/>
        <w:ind w:left="660" w:hanging="315"/>
        <w:spacing w:after="0" w:line="276" w:lineRule="auto"/>
        <w:tabs>
          <w:tab w:leader="none" w:pos="66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in spite of written warnings by the ISA, TOML has conducted its activities in such a way that results in serious persistent and willful violations of the fundamental terms of this contract, Part XI of UNCLOS, the 1994 Agreement and the rules, regulations and procedures of the ISA;</w:t>
      </w:r>
    </w:p>
    <w:p>
      <w:pPr>
        <w:spacing w:after="0" w:line="155"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TOML has failed to comply with a final binding decision of the dispute settlement body applicable to it;</w:t>
      </w:r>
    </w:p>
    <w:p>
      <w:pPr>
        <w:spacing w:after="0" w:line="219" w:lineRule="exact"/>
        <w:rPr>
          <w:rFonts w:ascii="Times New Roman" w:cs="Times New Roman" w:eastAsia="Times New Roman" w:hAnsi="Times New Roman"/>
          <w:sz w:val="17"/>
          <w:szCs w:val="17"/>
          <w:color w:val="auto"/>
        </w:rPr>
      </w:pPr>
    </w:p>
    <w:p>
      <w:pPr>
        <w:ind w:left="660" w:hanging="315"/>
        <w:spacing w:after="0" w:line="298" w:lineRule="auto"/>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TOML becomes insolvent or commits an act of bankruptcy or enters into any agreement for composition with its creditors or goes into liquidation or receivership, whether compulsory or voluntary; or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43" w:name="page44"/>
    <w:bookmarkEnd w:id="43"/>
    <w:p>
      <w:pPr>
        <w:jc w:val="both"/>
        <w:ind w:left="660" w:hanging="315"/>
        <w:spacing w:after="0" w:line="276" w:lineRule="auto"/>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08">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09">
                      <a:extLst>
                        <a:ext uri="{28A0092B-C50C-407E-A947-70E740481C1C}"/>
                      </a:extLst>
                    </a:blip>
                    <a:srcRect/>
                    <a:stretch>
                      <a:fillRect/>
                    </a:stretch>
                  </pic:blipFill>
                  <pic:spPr bwMode="auto">
                    <a:xfrm>
                      <a:off x="0" y="0"/>
                      <a:ext cx="5080" cy="13970"/>
                    </a:xfrm>
                    <a:prstGeom prst="rect">
                      <a:avLst/>
                    </a:prstGeom>
                    <a:noFill/>
                  </pic:spPr>
                </pic:pic>
              </a:graphicData>
            </a:graphic>
          </wp:anchor>
        </w:drawing>
        <w:t>petitions or applies to any tribunal for the appointment of a receiver or a trustee for itself or commences any proceedings relating to bankruptcy, insolvency or readjustment of debt law, whether now or hereafter in effect, other than for the purpose of reconstruction.</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Additionally, if the nationality or control of TOML changes or TOML’s Sponsoring State, as defined in the Regulations, terminates its sponsorship and TOML does not obtain another sponsor meeting the requirements prescribed in the Regulations, then the TOML Exploration Contract will terminate.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TOML Sponsorship Agreement</w:t>
      </w:r>
    </w:p>
    <w:p>
      <w:pPr>
        <w:spacing w:after="0" w:line="21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On March 8, 2008, Tonga and TOML entered into the TOML Sponsorship Agreement formalizing certain obligations of the parties in relation to TOML’s exploration and potential exploitation of a proposed application to the ISA (subsequently granted) known as the TOML Area. Tonga updated the sponsorship agreement with TOML in September 2021. Unless otherwise terminated by the parties, the term for the TOML Sponsorship Agreement is for the duration of TOML’s ISA Exploration Contract and will automatically extend for a further 25 years upon TOML being granted an ISA Exploitation Contract. Upon reaching the minimum recovery level within the tenement area, TOML has agreed to pay Tonga a seabed mineral recovery payment based on the polymetallic nodules recovered from the tenement area. In addition, TOML will pay an administration fee each year to Tonga for such administration and sponsorship, which is subject to review and increase in the event that TOML is granted an ISA Exploitation Contract. TOML expects to renegotiate the existing sponsorship agreement with Tonga prior to entering into operations in the TOML area and has committed to paying corporate income tax within Tonga.</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Marawa Agreements</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On March 17, 2012, our wholly-owned subsidiary, DGE, entered into an Option Agreement (the “Option Agreement”) with Marawa and Kiribati. In consideration of the $250,000 option fee, Marawa granted DGE an option to purchase tenements, as may be granted to Marawa by the ISA or any other regulatory body, for $300,000, or in consideration of DGE waiving any loan and other debt obligation pursuant to the Services Agreement (as defined below) if a default event occurs. The exercise period for the option is a maximum of 40 years after the date of the execution of the Option Agreement.</w:t>
      </w:r>
    </w:p>
    <w:p>
      <w:pPr>
        <w:spacing w:after="0" w:line="165"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On July 26, 2012, the ISA Council approved a plan of work for exploration submitted by Marawa covering the Marawa Contract Area. Due to uncertainty on the economic potential of the Marawa Contract Area, Marawa is currently considering its options, including potentially seeking a new area. Marawa expects to finalize its decision in 2023. Marawa delayed certain work programs until it determines how it will move forward.</w:t>
      </w:r>
    </w:p>
    <w:p>
      <w:pPr>
        <w:spacing w:after="0" w:line="161"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On October 1, 2013, DGE entered into an agreement (the “Services Agreement”) with the Republic of Kiribati and Marawa granting DGE the exclusive right for 40 years to carry out exploration and collection in the Marawa Contract Area as well as purchase polymetallic nodules collected from the Marawa Contract Area. The Marawa Exploration Contract was signed on January 19, 2015. To date, limited offshore marine resource definition activities in the Marawa Contract Area have occurred. We expect to collaborate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66"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DGE has the right to terminate the Services Agreement for convenience at any time at its election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of the date of such termination, provided that Marawa shall have an obligation to minimize such fees and payments to the extent practicable after the date of said termination. DGE and Marawa have considered the potential to amend the current contractual arrangements to provide additional mutual benefits in the conduct of operations, though no assurances may be given that any changes will be agreed.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71">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9pt"/>
            </w:pict>
          </mc:Fallback>
        </mc:AlternateContent>
      </w:r>
    </w:p>
    <w:p>
      <w:pPr>
        <w:sectPr>
          <w:pgSz w:w="12240" w:h="15840" w:orient="portrait"/>
          <w:cols w:equalWidth="0" w:num="1">
            <w:col w:w="9620"/>
          </w:cols>
          <w:pgMar w:left="1320" w:top="1337" w:right="130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10">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11">
                      <a:extLst>
                        <a:ext uri="{28A0092B-C50C-407E-A947-70E740481C1C}"/>
                      </a:extLst>
                    </a:blip>
                    <a:srcRect/>
                    <a:stretch>
                      <a:fillRect/>
                    </a:stretch>
                  </pic:blipFill>
                  <pic:spPr bwMode="auto">
                    <a:xfrm>
                      <a:off x="0" y="0"/>
                      <a:ext cx="5080" cy="13970"/>
                    </a:xfrm>
                    <a:prstGeom prst="rect">
                      <a:avLst/>
                    </a:prstGeom>
                    <a:noFill/>
                  </pic:spPr>
                </pic:pic>
              </a:graphicData>
            </a:graphic>
          </wp:anchor>
        </w:drawing>
        <w:t>Royalties and taxes</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Royalties and taxes payable on any future production from the CCZ will be stipulated in the ISA’s exploitation regulations. While the rates of payments are yet to be set by the ISA, the 1994 Implementation Agreement (Section 8(1)(b)) prescribes that the rates of payments “shall be within the range of those prevailing in respect of land-based mining of the same or similar minerals in order to avoid giving deep seabed miners an artificial competitive advantage or imposing on them a competitive disadvantage.”</w:t>
      </w:r>
    </w:p>
    <w:p>
      <w:pPr>
        <w:spacing w:after="0" w:line="160"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An open-ended working group has met several times including most recently in October / November 2022 to discuss potential royalty and taxation regimes supported by modelling conducted by the Massachusetts Institute of Technology. No final recommendations were made. However, a 2% ad valorem royalty increasing to 6% after a period of five years of production was discussed as well as a 1% ad valorem environmental levy. These amounts were used for the economic analysis included in the initial assessment contained in the NORI Technical Report Summary. Additional discussions have considered capping any proposed environmental levy once an agreed total value has been reached and might no longer be collected once sufficient funds are in trust. We can provide no assurances that any such royalties or levies will not be greater than those discussed and could be significantly greater.</w:t>
      </w:r>
    </w:p>
    <w:p>
      <w:pPr>
        <w:spacing w:after="0" w:line="171"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Under the NORI Sponsorship Agreement between Nauru and NORI and under the TOML Sponsorship Agreement between Tonga and TOML, upon reaching a minimum recovery level within the tenement areas, NORI and TOML have agreed to pay Nauru and Tonga a seabed mineral recovery payment for polymetallic nodules recovered from the tenement area, annually adjusted (from year 5) on a compounding basis based on the official inflation rate in the United States. In addition, NORI and TOML will pay an administration fee each year to Nauru and Tonga for such administration and sponsorship, which is subject to review and increase in the event that NORI or TOML are granted an ISA Exploitation Contract. NORI and TOML have both committed to paying corporate income tax within Nauru and Tonga,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Regulation</w:t>
      </w:r>
    </w:p>
    <w:p>
      <w:pPr>
        <w:spacing w:after="0" w:line="22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ISA is mandated through UNCLOS to “preserve and protect the marine environment” while developing the resources within the Area. Given the location of the NORI Contract Area, the ISA is responsible for assessing any ESIA prepared by NORI and for granting the relevant permits.</w:t>
      </w:r>
    </w:p>
    <w:p>
      <w:pPr>
        <w:spacing w:after="0" w:line="15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ISA has issued Regulations on Prospecting and Exploration for Polymetallic Nodules (adopted on July 13, 2000, updated on July 25, 2013). The regulations are complemented by the LTC’s recommendations for the guidance of contractors on assessing the environmental impacts of exploration. The exploitation regulations on deep-seabed collection will be complemented by various standards and guidelines. The ISA is currently developing these Standards and Guidelines which are expected to be finalized by the LTC and adopted by the Council. The ISA has divided the required standards and guidelines in three phases.</w:t>
      </w:r>
    </w:p>
    <w:p>
      <w:pPr>
        <w:spacing w:after="0" w:line="165" w:lineRule="exact"/>
        <w:rPr>
          <w:sz w:val="20"/>
          <w:szCs w:val="20"/>
          <w:color w:val="auto"/>
        </w:rPr>
      </w:pPr>
    </w:p>
    <w:p>
      <w:pPr>
        <w:ind w:left="660" w:hanging="315"/>
        <w:spacing w:after="0" w:line="269"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Standards and guidelines deemed necessary to be in place by the time of adoption of the draft regulations on exploitation.</w:t>
      </w:r>
    </w:p>
    <w:p>
      <w:pPr>
        <w:spacing w:after="0" w:line="200" w:lineRule="exact"/>
        <w:rPr>
          <w:rFonts w:ascii="Times New Roman" w:cs="Times New Roman" w:eastAsia="Times New Roman" w:hAnsi="Times New Roman"/>
          <w:sz w:val="17"/>
          <w:szCs w:val="17"/>
          <w:color w:val="auto"/>
        </w:rPr>
      </w:pPr>
    </w:p>
    <w:p>
      <w:pPr>
        <w:spacing w:after="0" w:line="203" w:lineRule="exact"/>
        <w:rPr>
          <w:rFonts w:ascii="Times New Roman" w:cs="Times New Roman" w:eastAsia="Times New Roman" w:hAnsi="Times New Roman"/>
          <w:sz w:val="17"/>
          <w:szCs w:val="17"/>
          <w:color w:val="auto"/>
        </w:rPr>
      </w:pPr>
    </w:p>
    <w:p>
      <w:pPr>
        <w:ind w:left="660" w:right="20" w:hanging="315"/>
        <w:spacing w:after="0" w:line="298"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2: Standards and guidelines deemed necessary to be in place prior to the receipt of an application of a plan of work for exploitation.</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45" w:name="page46"/>
    <w:bookmarkEnd w:id="45"/>
    <w:p>
      <w:pPr>
        <w:ind w:left="660" w:hanging="315"/>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1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13">
                      <a:extLst>
                        <a:ext uri="{28A0092B-C50C-407E-A947-70E740481C1C}"/>
                      </a:extLst>
                    </a:blip>
                    <a:srcRect/>
                    <a:stretch>
                      <a:fillRect/>
                    </a:stretch>
                  </pic:blipFill>
                  <pic:spPr bwMode="auto">
                    <a:xfrm>
                      <a:off x="0" y="0"/>
                      <a:ext cx="5080" cy="13970"/>
                    </a:xfrm>
                    <a:prstGeom prst="rect">
                      <a:avLst/>
                    </a:prstGeom>
                    <a:noFill/>
                  </pic:spPr>
                </pic:pic>
              </a:graphicData>
            </a:graphic>
          </wp:anchor>
        </w:drawing>
        <w:t>Phase 3: Standards and guidelines deemed necessary to be in place before commercial mining activities commence in the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154305</wp:posOffset>
            </wp:positionV>
            <wp:extent cx="5074285" cy="1703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14">
                      <a:extLst>
                        <a:ext uri="{28A0092B-C50C-407E-A947-70E740481C1C}"/>
                      </a:extLst>
                    </a:blip>
                    <a:srcRect/>
                    <a:stretch>
                      <a:fillRect/>
                    </a:stretch>
                  </pic:blipFill>
                  <pic:spPr bwMode="auto">
                    <a:xfrm>
                      <a:off x="0" y="0"/>
                      <a:ext cx="5074285" cy="170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Ten standards and guidelines have been prepared in Phase 1, provided to stakeholders for comment, reviewed and amended by the LTC and provided to Council for consideration and approval. Additional standards and guidelines will be drafted as part of the development of Phase 2 in 2022 for stakeholder comment and review. After drafting by the LTC, the standards and guidelines will be provided to the Council for review and adoption.</w:t>
      </w:r>
    </w:p>
    <w:p>
      <w:pPr>
        <w:spacing w:after="0" w:line="160"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Although the environmental impact review process has not yet been finalized, all contractors have been made aware that the ISA requires the completion of baseline studies and EIA, culminating in an EIS for proposed commercial operations, prior to collection. Guidance for contractors in terms of what will be expected in the EIS has been provided in ISA Technical Study No. 10 (ISA 2012a). The EIS, along with an EMMP, will be required as part of the application for an ISA Exploitation Contract for operations in the CCZ. Environmental impacts of exploration and potential collection activities have been studied, and NORI is working with several of the deep-sea research institutions that are contributing to our environmental and social impact assessment program, consisting of over 100 discrete studies.</w:t>
      </w:r>
    </w:p>
    <w:p>
      <w:pPr>
        <w:spacing w:after="0" w:line="171"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NORI’s offshore exploration campaigns have included sampling to support environmental studies, collection of high-resolution imagery, full column physical and chemical oceanographic data and environmental baseline studies. All offshore campaigns to support environmental baseline data collection have been completed. An integrated collector test involving trialing of collector vehicle and riser system took place in 2022. A key objective of this test was to monitor the environmental impact of the collection system and use these data to forecast the impacts for a full-scale commercial operation. 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6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NORI’s EMMP will specify the objectives and purpose of all monitoring requirements, the components to be monitored, frequency of monitoring, methods of monitoring, analysis required in each monitoring component, monitoring data management and reporting. The EMMP will be submitted to the ISA as part of the ISA Exploitation Contract application.</w:t>
      </w:r>
    </w:p>
    <w:p>
      <w:pPr>
        <w:spacing w:after="0" w:line="15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Pursuant to Article 165(2)(b) of the Convention and Paragraph 11(a) of the 1994 Agreement, an application for a Plan of Work is first reviewed by the LTC and a recommendation concerning the approval of the Plan of Work is submitted by the LTC to the Council. Rule 44 of the Commission’s Rules of Procedure requires decision making by consensus. If all efforts to reach consensus have been exhausted, however, then a decision by voting shall be taken by a majority of members present and voting. A proposed timeline for the consideration of a Plan of Work by the Commission was developed in “Draft guideline on the preparation and assessment of an application for the approval of a Plan of Work for exploitation” (ISBA/27/C/3).</w:t>
      </w:r>
    </w:p>
    <w:p>
      <w:pPr>
        <w:spacing w:after="0" w:line="166"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If a positive recommendation is submitted by the Commission to the Council concerning the approval of a Plan of Work, the Council is required to approve the Commission’s recommendation unless a two-thirds majority of its members present and voting, including a majority of members present and voting in each of the chambers of the Council, decides to disapprove the Plan of Work. If the Council does not take a decision on the Commission’s recommendation within 60 days, the recommendation shall be deemed to have been approved by the Council.</w:t>
      </w:r>
    </w:p>
    <w:p>
      <w:pPr>
        <w:sectPr>
          <w:pgSz w:w="12240" w:h="15840" w:orient="portrait"/>
          <w:cols w:equalWidth="0" w:num="1">
            <w:col w:w="9620"/>
          </w:cols>
          <w:pgMar w:left="1320" w:top="1337" w:right="130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71">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9pt"/>
            </w:pict>
          </mc:Fallback>
        </mc:AlternateContent>
      </w:r>
    </w:p>
    <w:p>
      <w:pPr>
        <w:sectPr>
          <w:pgSz w:w="12240" w:h="15840" w:orient="portrait"/>
          <w:cols w:equalWidth="0" w:num="1">
            <w:col w:w="9620"/>
          </w:cols>
          <w:pgMar w:left="1320" w:top="1337" w:right="1300" w:bottom="1440" w:gutter="0" w:footer="0" w:header="0"/>
          <w:type w:val="continuous"/>
        </w:sectPr>
      </w:pPr>
    </w:p>
    <w:bookmarkStart w:id="46" w:name="page47"/>
    <w:bookmarkEnd w:id="46"/>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1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16">
                      <a:extLst>
                        <a:ext uri="{28A0092B-C50C-407E-A947-70E740481C1C}"/>
                      </a:extLst>
                    </a:blip>
                    <a:srcRect/>
                    <a:stretch>
                      <a:fillRect/>
                    </a:stretch>
                  </pic:blipFill>
                  <pic:spPr bwMode="auto">
                    <a:xfrm>
                      <a:off x="0" y="0"/>
                      <a:ext cx="5080" cy="13970"/>
                    </a:xfrm>
                    <a:prstGeom prst="rect">
                      <a:avLst/>
                    </a:prstGeom>
                    <a:noFill/>
                  </pic:spPr>
                </pic:pic>
              </a:graphicData>
            </a:graphic>
          </wp:anchor>
        </w:drawing>
        <w:t>In addition, the sponsoring State has a responsibility to put in place legislation to ensure the entity it has sponsored complies with UNCLOS and ISA rules and regulations. Nauru implemented the Nauru International Seabed Minerals Act in 2015 which acts as a second layer of legislation with which NORI is required to comply.</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To date, NORI’s assessment is that it is in compliance with existing exploration permits and contracts. NORI estimates that it is in the middle stages of the exploitation permitting process. In addition to working on key engineering aspects of the project such as designing the final nodule collector and the dewatering facility, NORI is also continuing the following tasks:</w:t>
      </w:r>
    </w:p>
    <w:p>
      <w:pPr>
        <w:spacing w:after="0" w:line="155" w:lineRule="exact"/>
        <w:rPr>
          <w:sz w:val="20"/>
          <w:szCs w:val="20"/>
          <w:color w:val="auto"/>
        </w:rPr>
      </w:pPr>
    </w:p>
    <w:p>
      <w:pPr>
        <w:ind w:left="660" w:hanging="314"/>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delineating nodule mineralization;</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characterizing the nature of the seabed, water column and biology;</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environmental baseline studies and impact assessments;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characterizing the nature of any materials returned to the environment;</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oceanographic and physical information to inform models (e.g., sediment plume models); and</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other plans, including the EMMP and the various subordinate plans.</w:t>
      </w:r>
    </w:p>
    <w:p>
      <w:pPr>
        <w:spacing w:after="0" w:line="219"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The potential future onshore environmental impacts have not yet been assessed because the processing plant that we expect to create or use through a tolling or other arrangement has not been determined or otherwise has not been designed in sufficient detail, and the location and host country (and hence regulatory regime) has not been confirmed. The planned metallurgical process is expected to generate near-zero solid waste products, and the deleterious elements (for example, cadmium and arsenic) content of the nodules is understood to be very low, indicating that with careful management, the environmental impacts of the processing operation is expected to be low.</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Our success depends in part upon our ability to obtain and maintain patent protection of our core technology and intellectual property, as well as that of our strategic partners, and particularly that our freedom to operate is not restricted by patents lodged by competitors or other third parties. Moreover, we rely on a combination of trade secret protection, non-disclosure and licensing agreements and trademarks to establish and protect our proprietary intellectual property. To this end, we maintain a portfolio of issued patents and pending patent applications, which relate to offshore collection systems and to the processing of polymetallic nodules for recovering metals. As we rely on a number of patents to establish and protect our intellectual property, we have obtained and filed patent applications in countries throughout North America, Europe and Asia.</w:t>
      </w:r>
    </w:p>
    <w:p>
      <w:pPr>
        <w:spacing w:after="0" w:line="17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cannot conclusively state that any pending applications, existing or future intellectual property will be definitively useful in protecting or promoting our business and growth plans. Please see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for additional information on the risks associated with our intellectual property strategy and portfolio.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2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As of December 31, 2022, we employed thirty-nine (39) employees and contractors. None of our staff are covered by collective bargaining agreements.</w:t>
      </w:r>
    </w:p>
    <w:p>
      <w:pPr>
        <w:spacing w:after="0" w:line="1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Diversity and Inclusion</w:t>
      </w:r>
      <w:r>
        <w:rPr>
          <w:rFonts w:ascii="Times New Roman" w:cs="Times New Roman" w:eastAsia="Times New Roman" w:hAnsi="Times New Roman"/>
          <w:sz w:val="17"/>
          <w:szCs w:val="17"/>
          <w:color w:val="auto"/>
        </w:rPr>
        <w:t>. We are committed to attracting, developing and retaining diverse talent that is inclusive of every age, gender,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gender identity, race, sexual orientation, physical capability, neurological difference, ethnicity, belief and perspective. Our goal is to develop cultural competency by seeking knowledge, increasing awareness, modeling respect and promoting inclusion. Geographically our staff are located in Tonga, Nauru, United States, Canada, Australia, United Kingdom and United Arab Emirates. Our team is comprised of highly skilled individuals with 61% of our staff holding post-graduate degrees, including 19% who hold a Ph.D. degree. Moreover, 32% of our staff are women and 29% of our staff are racially diverse.</w:t>
      </w:r>
    </w:p>
    <w:p>
      <w:pPr>
        <w:sectPr>
          <w:pgSz w:w="12240" w:h="15840" w:orient="portrait"/>
          <w:cols w:equalWidth="0" w:num="1">
            <w:col w:w="9620"/>
          </w:cols>
          <w:pgMar w:left="1320" w:top="1337" w:right="130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type w:val="continuous"/>
        </w:sectPr>
      </w:pPr>
    </w:p>
    <w:bookmarkStart w:id="47" w:name="page48"/>
    <w:bookmarkEnd w:id="47"/>
    <w:p>
      <w:pPr>
        <w:jc w:val="both"/>
        <w:spacing w:after="0" w:line="260"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1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18">
                      <a:extLst>
                        <a:ext uri="{28A0092B-C50C-407E-A947-70E740481C1C}"/>
                      </a:extLst>
                    </a:blip>
                    <a:srcRect/>
                    <a:stretch>
                      <a:fillRect/>
                    </a:stretch>
                  </pic:blipFill>
                  <pic:spPr bwMode="auto">
                    <a:xfrm>
                      <a:off x="0" y="0"/>
                      <a:ext cx="5080" cy="13970"/>
                    </a:xfrm>
                    <a:prstGeom prst="rect">
                      <a:avLst/>
                    </a:prstGeom>
                    <a:noFill/>
                  </pic:spPr>
                </pic:pic>
              </a:graphicData>
            </a:graphic>
          </wp:anchor>
        </w:drawing>
        <w:t>People Engagement</w:t>
      </w:r>
      <w:r>
        <w:rPr>
          <w:rFonts w:ascii="Times New Roman" w:cs="Times New Roman" w:eastAsia="Times New Roman" w:hAnsi="Times New Roman"/>
          <w:sz w:val="17"/>
          <w:szCs w:val="17"/>
          <w:color w:val="auto"/>
        </w:rPr>
        <w:t>. As a company working to pioneer a new industry and new ways of doing things, our success depends on attracting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retaining strong, independent, entrepreneurial, and multi-talented team members capable of dealing with high levels of uncertainty and adversity. Our team is distributed across several continents and several time zones, with remote working being the norm for most of our staff. Despite physical and temporal separation, we maintain a strong sense of cohesion by attracting people who are intrinsically motivated by the company’s purpose and core values, cultivating a flat organizational structure and deep care for each other. We rely on regular management and company meetings, ongoing communication flows across different technology platforms, frequent </w:t>
      </w:r>
      <w:r>
        <w:rPr>
          <w:rFonts w:ascii="Times New Roman" w:cs="Times New Roman" w:eastAsia="Times New Roman" w:hAnsi="Times New Roman"/>
          <w:sz w:val="17"/>
          <w:szCs w:val="17"/>
          <w:i w:val="1"/>
          <w:iCs w:val="1"/>
          <w:color w:val="auto"/>
        </w:rPr>
        <w:t>ad hoc</w:t>
      </w:r>
      <w:r>
        <w:rPr>
          <w:rFonts w:ascii="Times New Roman" w:cs="Times New Roman" w:eastAsia="Times New Roman" w:hAnsi="Times New Roman"/>
          <w:sz w:val="17"/>
          <w:szCs w:val="17"/>
          <w:color w:val="auto"/>
        </w:rPr>
        <w:t xml:space="preserve"> video communication and creating opportunities for in-person gatherings. We offer our team members flexible work schedules and autonomy in managing their time while encouraging them to set boundaries between work on our shared mission and their home lives.</w:t>
      </w:r>
    </w:p>
    <w:p>
      <w:pPr>
        <w:spacing w:after="0" w:line="1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Compensation and Benefits. </w:t>
      </w:r>
      <w:r>
        <w:rPr>
          <w:rFonts w:ascii="Times New Roman" w:cs="Times New Roman" w:eastAsia="Times New Roman" w:hAnsi="Times New Roman"/>
          <w:sz w:val="17"/>
          <w:szCs w:val="17"/>
          <w:color w:val="auto"/>
        </w:rPr>
        <w:t>We compensate our staff competitively, striving to be in the 50th-60th percentile of our peers for total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and benefits. In addition to salaries, our compensation and benefits program includes annual discretionary bonuses, equity awards, an employee stock purchase plan, a 401(k) contribution/superannuation or RRSP benefit contribution (as applicable jurisdictionally), healthcare and insurance benefits, health savings and flexible spending accounts. Our annual equity compensation is focused on company priorities that we believe create long-term value for our stakeholders.</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Environment, Health &amp; Safety (EHS). </w:t>
      </w:r>
      <w:r>
        <w:rPr>
          <w:rFonts w:ascii="Times New Roman" w:cs="Times New Roman" w:eastAsia="Times New Roman" w:hAnsi="Times New Roman"/>
          <w:sz w:val="17"/>
          <w:szCs w:val="17"/>
          <w:color w:val="auto"/>
        </w:rPr>
        <w:t>Our EHS vision is to fully integrate environmental, health and safety into our operations, and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create a workplace free of incidents. In 2022, we have relied on the EHS programs of our partners Allseas and a new offshore support service provider to conduct our operations in a safe manner and in compliance with applicable safety laws, rules and regulations. These all involve EHS systems incorporating thorough planning, risk assessment and disciplined implementation of controls as well as culturally-based safety observations systems like safe act observations and obligation of “stop work if it is unsafe to proceed”.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22"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 xml:space="preserve">Our internet address is </w:t>
      </w:r>
      <w:r>
        <w:rPr>
          <w:rFonts w:ascii="Times New Roman" w:cs="Times New Roman" w:eastAsia="Times New Roman" w:hAnsi="Times New Roman"/>
          <w:sz w:val="17"/>
          <w:szCs w:val="17"/>
          <w:i w:val="1"/>
          <w:iCs w:val="1"/>
          <w:color w:val="auto"/>
        </w:rPr>
        <w:t>https://themetals.co</w:t>
      </w:r>
      <w:r>
        <w:rPr>
          <w:rFonts w:ascii="Times New Roman" w:cs="Times New Roman" w:eastAsia="Times New Roman" w:hAnsi="Times New Roman"/>
          <w:sz w:val="17"/>
          <w:szCs w:val="17"/>
          <w:color w:val="auto"/>
        </w:rPr>
        <w:t>, to which we regularly post copies of our press releases as well as additional information about us. Our annual reports on Form 10-K, quarterly reports on Form 10-Q, current reports on Form 8-K, and all amendments to those reports, are available to you free of charge through the Investors section of our website as soon as reasonably practicable after such materials have been electronically filed with, or furnished to, the SEC. The SEC maintains an internet site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that contains reports, proxy and information statements, and other information regarding issuers that file electronically with the Securities and Exchange Commission. We include our website address in this Annual Report on Form 10-K only as an inactive textual reference. Information contained in our website does not constitute a part of this report or our other filings with the SEC.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22" w:lineRule="exact"/>
        <w:rPr>
          <w:sz w:val="20"/>
          <w:szCs w:val="20"/>
          <w:color w:val="auto"/>
        </w:rPr>
      </w:pPr>
    </w:p>
    <w:p>
      <w:pPr>
        <w:jc w:val="both"/>
        <w:ind w:firstLine="311"/>
        <w:spacing w:after="0" w:line="307" w:lineRule="auto"/>
        <w:rPr>
          <w:sz w:val="20"/>
          <w:szCs w:val="20"/>
          <w:color w:val="auto"/>
        </w:rPr>
      </w:pPr>
      <w:r>
        <w:rPr>
          <w:rFonts w:ascii="Times New Roman" w:cs="Times New Roman" w:eastAsia="Times New Roman" w:hAnsi="Times New Roman"/>
          <w:sz w:val="17"/>
          <w:szCs w:val="17"/>
          <w:color w:val="auto"/>
        </w:rPr>
        <w:t>TMC is a corporation existing under the laws of British Columbia, Canada. TMC’s registered office is currently located at 595 Howe Street,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Vancouver, British Columbia, Canada V6C 2T5, and its telephone number is: (604) 631-3115.</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2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Our business is subject to numerous risks and uncertainties that you should be aware of in evaluating our business. If any such risks and uncertainties actually occur, our business, prospects, financial condition and results of operations could be materially and adversely affected. The risks described below are not the only risks that we face. Additional risks and uncertainties not currently known to us, or that we currently deem to be immaterial may also materially adversely affect our business, prospects, financial condition and results of operations.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164"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17"/>
          <w:szCs w:val="17"/>
          <w:b w:val="1"/>
          <w:bCs w:val="1"/>
          <w:color w:val="auto"/>
        </w:rPr>
        <w:t>Summary of the Material Risks Associated with Our Business</w:t>
      </w:r>
    </w:p>
    <w:p>
      <w:pPr>
        <w:spacing w:after="0" w:line="222" w:lineRule="exact"/>
        <w:rPr>
          <w:sz w:val="20"/>
          <w:szCs w:val="20"/>
          <w:color w:val="auto"/>
        </w:rPr>
      </w:pPr>
    </w:p>
    <w:p>
      <w:pPr>
        <w:jc w:val="center"/>
        <w:ind w:right="5060"/>
        <w:spacing w:after="0"/>
        <w:rPr>
          <w:sz w:val="20"/>
          <w:szCs w:val="20"/>
          <w:color w:val="auto"/>
        </w:rPr>
      </w:pPr>
      <w:r>
        <w:rPr>
          <w:rFonts w:ascii="Times New Roman" w:cs="Times New Roman" w:eastAsia="Times New Roman" w:hAnsi="Times New Roman"/>
          <w:sz w:val="17"/>
          <w:szCs w:val="17"/>
          <w:color w:val="auto"/>
        </w:rPr>
        <w:t>These risks include, but are not limited to, the following:</w:t>
      </w:r>
    </w:p>
    <w:p>
      <w:pPr>
        <w:spacing w:after="0" w:line="219" w:lineRule="exact"/>
        <w:rPr>
          <w:sz w:val="20"/>
          <w:szCs w:val="20"/>
          <w:color w:val="auto"/>
        </w:rPr>
      </w:pPr>
    </w:p>
    <w:p>
      <w:pPr>
        <w:ind w:left="660" w:hanging="315"/>
        <w:spacing w:after="0" w:line="254" w:lineRule="auto"/>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numerous regulatory uncertainties which, if not resolved in our favor, would have a material adverse impact on our business.</w:t>
      </w:r>
    </w:p>
    <w:p>
      <w:pPr>
        <w:ind w:left="660" w:hanging="315"/>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resource development activities are subject to changes in government regulation and political instability.</w:t>
      </w:r>
    </w:p>
    <w:p>
      <w:pPr>
        <w:spacing w:after="0" w:line="11"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any of the laws, rules, regulations or policies to which we are subject could have a significant impact on our business.</w:t>
      </w:r>
    </w:p>
    <w:p>
      <w:pPr>
        <w:sectPr>
          <w:pgSz w:w="12240" w:h="15840" w:orient="portrait"/>
          <w:cols w:equalWidth="0" w:num="1">
            <w:col w:w="9620"/>
          </w:cols>
          <w:pgMar w:left="1320" w:top="1337" w:right="130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type w:val="continuous"/>
        </w:sectPr>
      </w:pPr>
    </w:p>
    <w:bookmarkStart w:id="48" w:name="page49"/>
    <w:bookmarkEnd w:id="48"/>
    <w:p>
      <w:pPr>
        <w:jc w:val="both"/>
        <w:ind w:left="540" w:hanging="315"/>
        <w:spacing w:after="0" w:line="254" w:lineRule="auto"/>
        <w:tabs>
          <w:tab w:leader="none" w:pos="541"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1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20">
                      <a:extLst>
                        <a:ext uri="{28A0092B-C50C-407E-A947-70E740481C1C}"/>
                      </a:extLst>
                    </a:blip>
                    <a:srcRect/>
                    <a:stretch>
                      <a:fillRect/>
                    </a:stretch>
                  </pic:blipFill>
                  <pic:spPr bwMode="auto">
                    <a:xfrm>
                      <a:off x="0" y="0"/>
                      <a:ext cx="5080" cy="13970"/>
                    </a:xfrm>
                    <a:prstGeom prst="rect">
                      <a:avLst/>
                    </a:prstGeom>
                    <a:noFill/>
                  </pic:spPr>
                </pic:pic>
              </a:graphicData>
            </a:graphic>
          </wp:anchor>
        </w:drawing>
        <w:t>Our exploration, collecting, shipping,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 w:lineRule="exact"/>
        <w:rPr>
          <w:rFonts w:ascii="Times New Roman" w:cs="Times New Roman" w:eastAsia="Times New Roman" w:hAnsi="Times New Roman"/>
          <w:sz w:val="17"/>
          <w:szCs w:val="17"/>
          <w:color w:val="auto"/>
        </w:rPr>
      </w:pPr>
    </w:p>
    <w:p>
      <w:pPr>
        <w:ind w:left="540" w:hanging="31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subject to environmental liabilities as a result of noncompliance or newly imposed regulations.</w:t>
      </w:r>
    </w:p>
    <w:p>
      <w:pPr>
        <w:spacing w:after="0" w:line="11" w:lineRule="exact"/>
        <w:rPr>
          <w:rFonts w:ascii="Times New Roman" w:cs="Times New Roman" w:eastAsia="Times New Roman" w:hAnsi="Times New Roman"/>
          <w:sz w:val="17"/>
          <w:szCs w:val="17"/>
          <w:color w:val="auto"/>
        </w:rPr>
      </w:pPr>
    </w:p>
    <w:p>
      <w:pPr>
        <w:ind w:left="54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grade and quality of the polymetallic nodule deposits that we intend to develop are estimates, and there are no guarantees that such deposits will be suitable for collecting or commercialization.</w:t>
      </w:r>
    </w:p>
    <w:p>
      <w:pPr>
        <w:ind w:left="54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seafloor polymetallic nodule deposit has ever been commercially collected, and our offshore collection technology and development plans and processes may not be sufficient to accomplish our objectives.</w:t>
      </w:r>
    </w:p>
    <w:p>
      <w:pPr>
        <w:spacing w:after="0" w:line="1" w:lineRule="exact"/>
        <w:rPr>
          <w:rFonts w:ascii="Times New Roman" w:cs="Times New Roman" w:eastAsia="Times New Roman" w:hAnsi="Times New Roman"/>
          <w:sz w:val="17"/>
          <w:szCs w:val="17"/>
          <w:color w:val="auto"/>
        </w:rPr>
      </w:pPr>
    </w:p>
    <w:p>
      <w:pPr>
        <w:ind w:left="540" w:hanging="31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Mineral resource estimates from the contract areas of NORI and TOML are only estimates.</w:t>
      </w:r>
    </w:p>
    <w:p>
      <w:pPr>
        <w:spacing w:after="0" w:line="11" w:lineRule="exact"/>
        <w:rPr>
          <w:rFonts w:ascii="Times New Roman" w:cs="Times New Roman" w:eastAsia="Times New Roman" w:hAnsi="Times New Roman"/>
          <w:sz w:val="17"/>
          <w:szCs w:val="17"/>
          <w:color w:val="auto"/>
        </w:rPr>
      </w:pPr>
    </w:p>
    <w:p>
      <w:pPr>
        <w:ind w:left="54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significant risks, and we may never develop minerals in sufficient grade or quantities to justify commercial operations.</w:t>
      </w:r>
    </w:p>
    <w:p>
      <w:pPr>
        <w:ind w:left="540" w:hanging="31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in our estimates of polymetallic nodule deposits could result in lower-than-expected revenues and higher costs.</w:t>
      </w:r>
    </w:p>
    <w:p>
      <w:pPr>
        <w:spacing w:after="0" w:line="12" w:lineRule="exact"/>
        <w:rPr>
          <w:rFonts w:ascii="Times New Roman" w:cs="Times New Roman" w:eastAsia="Times New Roman" w:hAnsi="Times New Roman"/>
          <w:sz w:val="17"/>
          <w:szCs w:val="17"/>
          <w:color w:val="auto"/>
        </w:rPr>
      </w:pPr>
    </w:p>
    <w:p>
      <w:pPr>
        <w:ind w:left="540" w:hanging="31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 highly competitive industry, and there are no assurances that our efforts will be successful.</w:t>
      </w:r>
    </w:p>
    <w:p>
      <w:pPr>
        <w:spacing w:after="0" w:line="11" w:lineRule="exact"/>
        <w:rPr>
          <w:rFonts w:ascii="Times New Roman" w:cs="Times New Roman" w:eastAsia="Times New Roman" w:hAnsi="Times New Roman"/>
          <w:sz w:val="17"/>
          <w:szCs w:val="17"/>
          <w:color w:val="auto"/>
        </w:rPr>
      </w:pPr>
    </w:p>
    <w:p>
      <w:pPr>
        <w:ind w:left="54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prevailing market prices of nickel, manganese, copper, cobalt, and other commodities will have a material impact on our ability to achieve commercial success.</w:t>
      </w:r>
    </w:p>
    <w:p>
      <w:pPr>
        <w:ind w:left="540" w:hanging="31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adversely affected by fluctuations in demand for nickel, manganese, copper, cobalt, and other commodities.</w:t>
      </w:r>
    </w:p>
    <w:p>
      <w:pPr>
        <w:spacing w:after="0" w:line="12" w:lineRule="exact"/>
        <w:rPr>
          <w:rFonts w:ascii="Times New Roman" w:cs="Times New Roman" w:eastAsia="Times New Roman" w:hAnsi="Times New Roman"/>
          <w:sz w:val="17"/>
          <w:szCs w:val="17"/>
          <w:color w:val="auto"/>
        </w:rPr>
      </w:pPr>
    </w:p>
    <w:p>
      <w:pPr>
        <w:ind w:left="540" w:hanging="314"/>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difficulty in creating market acceptance for a novel manganese product.</w:t>
      </w:r>
    </w:p>
    <w:p>
      <w:pPr>
        <w:spacing w:after="0" w:line="11" w:lineRule="exact"/>
        <w:rPr>
          <w:rFonts w:ascii="Times New Roman" w:cs="Times New Roman" w:eastAsia="Times New Roman" w:hAnsi="Times New Roman"/>
          <w:sz w:val="17"/>
          <w:szCs w:val="17"/>
          <w:color w:val="auto"/>
        </w:rPr>
      </w:pPr>
    </w:p>
    <w:p>
      <w:pPr>
        <w:ind w:left="540" w:hanging="31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perceptions related to the collection of polymetallic nodules could have a material adverse effect on our business.</w:t>
      </w:r>
    </w:p>
    <w:p>
      <w:pPr>
        <w:spacing w:after="0" w:line="11" w:lineRule="exact"/>
        <w:rPr>
          <w:rFonts w:ascii="Times New Roman" w:cs="Times New Roman" w:eastAsia="Times New Roman" w:hAnsi="Times New Roman"/>
          <w:sz w:val="17"/>
          <w:szCs w:val="17"/>
          <w:color w:val="auto"/>
        </w:rPr>
      </w:pPr>
    </w:p>
    <w:p>
      <w:pPr>
        <w:ind w:left="540" w:right="2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Offshore nodule collection, shipping and onshore processing and refining operations pose inherent risks and costs that may negatively impact our business.</w:t>
      </w:r>
    </w:p>
    <w:p>
      <w:pPr>
        <w:spacing w:after="0" w:line="1" w:lineRule="exact"/>
        <w:rPr>
          <w:rFonts w:ascii="Times New Roman" w:cs="Times New Roman" w:eastAsia="Times New Roman" w:hAnsi="Times New Roman"/>
          <w:sz w:val="17"/>
          <w:szCs w:val="17"/>
          <w:color w:val="auto"/>
        </w:rPr>
      </w:pPr>
    </w:p>
    <w:p>
      <w:pPr>
        <w:jc w:val="both"/>
        <w:ind w:left="540" w:hanging="314"/>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contingent on our ability to successfully identify, collect, ship and process polymetallic nodules, and in doing so, we will need to rely on certain existing and future strategic relationships, some of which we may be unable to maintain and/or develop.</w:t>
      </w:r>
    </w:p>
    <w:p>
      <w:pPr>
        <w:spacing w:after="0" w:line="1" w:lineRule="exact"/>
        <w:rPr>
          <w:rFonts w:ascii="Times New Roman" w:cs="Times New Roman" w:eastAsia="Times New Roman" w:hAnsi="Times New Roman"/>
          <w:sz w:val="17"/>
          <w:szCs w:val="17"/>
          <w:color w:val="auto"/>
        </w:rPr>
      </w:pPr>
    </w:p>
    <w:p>
      <w:pPr>
        <w:ind w:left="540" w:hanging="314"/>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of the offshore equipment that we will need to accomplish our objectives has not been manufactured and/or tested.</w:t>
      </w:r>
    </w:p>
    <w:p>
      <w:pPr>
        <w:spacing w:after="0" w:line="12" w:lineRule="exact"/>
        <w:rPr>
          <w:rFonts w:ascii="Times New Roman" w:cs="Times New Roman" w:eastAsia="Times New Roman" w:hAnsi="Times New Roman"/>
          <w:sz w:val="17"/>
          <w:szCs w:val="17"/>
          <w:color w:val="auto"/>
        </w:rPr>
      </w:pPr>
    </w:p>
    <w:p>
      <w:pPr>
        <w:ind w:left="540" w:hanging="31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substantially dependent on our strategic relationship with Allseas.</w:t>
      </w:r>
    </w:p>
    <w:p>
      <w:pPr>
        <w:spacing w:after="0" w:line="11" w:lineRule="exact"/>
        <w:rPr>
          <w:rFonts w:ascii="Times New Roman" w:cs="Times New Roman" w:eastAsia="Times New Roman" w:hAnsi="Times New Roman"/>
          <w:sz w:val="17"/>
          <w:szCs w:val="17"/>
          <w:color w:val="auto"/>
        </w:rPr>
      </w:pPr>
    </w:p>
    <w:p>
      <w:pPr>
        <w:jc w:val="both"/>
        <w:ind w:left="54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 w:lineRule="exact"/>
        <w:rPr>
          <w:rFonts w:ascii="Times New Roman" w:cs="Times New Roman" w:eastAsia="Times New Roman" w:hAnsi="Times New Roman"/>
          <w:sz w:val="17"/>
          <w:szCs w:val="17"/>
          <w:color w:val="auto"/>
        </w:rPr>
      </w:pPr>
    </w:p>
    <w:p>
      <w:pPr>
        <w:ind w:left="54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exploration and polymetallic nodule collecting activities may be affected by natural hazards, which could have a material adverse effect on our business.</w:t>
      </w:r>
    </w:p>
    <w:p>
      <w:pPr>
        <w:jc w:val="both"/>
        <w:ind w:left="540" w:hanging="314"/>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 w:lineRule="exact"/>
        <w:rPr>
          <w:rFonts w:ascii="Times New Roman" w:cs="Times New Roman" w:eastAsia="Times New Roman" w:hAnsi="Times New Roman"/>
          <w:sz w:val="17"/>
          <w:szCs w:val="17"/>
          <w:color w:val="auto"/>
        </w:rPr>
      </w:pPr>
    </w:p>
    <w:p>
      <w:pPr>
        <w:ind w:left="540" w:hanging="314"/>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and there can be no assurance that we will be able to commercially develop our resource areas or achieve profitability in the future.</w:t>
      </w:r>
    </w:p>
    <w:p>
      <w:pPr>
        <w:ind w:left="540" w:right="20" w:hanging="314"/>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key personnel for the success of our business. The loss of key personnel or the hiring of ineffective personnel could negatively impact our operations and profitability.</w:t>
      </w:r>
    </w:p>
    <w:p>
      <w:pPr>
        <w:spacing w:after="0" w:line="1" w:lineRule="exact"/>
        <w:rPr>
          <w:rFonts w:ascii="Times New Roman" w:cs="Times New Roman" w:eastAsia="Times New Roman" w:hAnsi="Times New Roman"/>
          <w:sz w:val="17"/>
          <w:szCs w:val="17"/>
          <w:color w:val="auto"/>
        </w:rPr>
      </w:pPr>
    </w:p>
    <w:p>
      <w:pPr>
        <w:ind w:left="540" w:hanging="314"/>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upon information technology systems, which are subject to cyber threats, disruption, damage and failure.</w:t>
      </w:r>
    </w:p>
    <w:p>
      <w:pPr>
        <w:spacing w:after="0" w:line="11" w:lineRule="exact"/>
        <w:rPr>
          <w:rFonts w:ascii="Times New Roman" w:cs="Times New Roman" w:eastAsia="Times New Roman" w:hAnsi="Times New Roman"/>
          <w:sz w:val="17"/>
          <w:szCs w:val="17"/>
          <w:color w:val="auto"/>
        </w:rPr>
      </w:pPr>
    </w:p>
    <w:p>
      <w:pPr>
        <w:ind w:left="540" w:hanging="31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subject to a variety of risks, some of which may not be covered by our future or existing insurance policies.</w:t>
      </w:r>
    </w:p>
    <w:p>
      <w:pPr>
        <w:spacing w:after="0" w:line="11" w:lineRule="exact"/>
        <w:rPr>
          <w:rFonts w:ascii="Times New Roman" w:cs="Times New Roman" w:eastAsia="Times New Roman" w:hAnsi="Times New Roman"/>
          <w:sz w:val="17"/>
          <w:szCs w:val="17"/>
          <w:color w:val="auto"/>
        </w:rPr>
      </w:pPr>
    </w:p>
    <w:p>
      <w:pPr>
        <w:ind w:left="540" w:right="2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adequately protect our intellectual property rights. If we fail to adequately enforce or defend our intellectual property rights, our business may be harmed.</w:t>
      </w:r>
    </w:p>
    <w:p>
      <w:pPr>
        <w:spacing w:after="0" w:line="1" w:lineRule="exact"/>
        <w:rPr>
          <w:rFonts w:ascii="Times New Roman" w:cs="Times New Roman" w:eastAsia="Times New Roman" w:hAnsi="Times New Roman"/>
          <w:sz w:val="17"/>
          <w:szCs w:val="17"/>
          <w:color w:val="auto"/>
        </w:rPr>
      </w:pPr>
    </w:p>
    <w:p>
      <w:pPr>
        <w:ind w:left="54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infringe, or are accused of infringing, on the intellectual property rights of third parties, it may increase our costs or prevent us from being able to commercialize new products.</w:t>
      </w:r>
    </w:p>
    <w:p>
      <w:pPr>
        <w:ind w:left="540" w:hanging="315"/>
        <w:spacing w:after="0"/>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Pandemics, including COVID-19, could have an adverse effect on our business.</w:t>
      </w:r>
    </w:p>
    <w:p>
      <w:pPr>
        <w:spacing w:after="0" w:line="11" w:lineRule="exact"/>
        <w:rPr>
          <w:rFonts w:ascii="Times New Roman" w:cs="Times New Roman" w:eastAsia="Times New Roman" w:hAnsi="Times New Roman"/>
          <w:sz w:val="17"/>
          <w:szCs w:val="17"/>
          <w:color w:val="auto"/>
        </w:rPr>
      </w:pPr>
    </w:p>
    <w:p>
      <w:pPr>
        <w:jc w:val="both"/>
        <w:ind w:left="540" w:hanging="315"/>
        <w:spacing w:after="0" w:line="254"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1" w:lineRule="exact"/>
        <w:rPr>
          <w:rFonts w:ascii="Times New Roman" w:cs="Times New Roman" w:eastAsia="Times New Roman" w:hAnsi="Times New Roman"/>
          <w:sz w:val="17"/>
          <w:szCs w:val="17"/>
          <w:color w:val="auto"/>
        </w:rPr>
      </w:pPr>
    </w:p>
    <w:p>
      <w:pPr>
        <w:ind w:left="540" w:hanging="315"/>
        <w:spacing w:after="0" w:line="298" w:lineRule="auto"/>
        <w:tabs>
          <w:tab w:leader="none" w:pos="5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outstanding warrants are exercised, the number of shares eligible for future resale in the public market will increase and result in dilution to our shareholders.</w:t>
      </w: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5pt"/>
            </w:pict>
          </mc:Fallback>
        </mc:AlternateContent>
      </w:r>
    </w:p>
    <w:p>
      <w:pPr>
        <w:sectPr>
          <w:pgSz w:w="12240" w:h="15840" w:orient="portrait"/>
          <w:cols w:equalWidth="0" w:num="1">
            <w:col w:w="9500"/>
          </w:cols>
          <w:pgMar w:left="1440" w:top="1337" w:right="1300" w:bottom="1440" w:gutter="0" w:footer="0" w:header="0"/>
        </w:sectPr>
      </w:pPr>
    </w:p>
    <w:bookmarkStart w:id="49" w:name="page50"/>
    <w:bookmarkEnd w:id="49"/>
    <w:p>
      <w:pPr>
        <w:jc w:val="both"/>
        <w:ind w:left="660" w:hanging="315"/>
        <w:spacing w:after="0" w:line="254" w:lineRule="auto"/>
        <w:tabs>
          <w:tab w:leader="none" w:pos="6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2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22">
                      <a:extLst>
                        <a:ext uri="{28A0092B-C50C-407E-A947-70E740481C1C}"/>
                      </a:extLst>
                    </a:blip>
                    <a:srcRect/>
                    <a:stretch>
                      <a:fillRect/>
                    </a:stretch>
                  </pic:blipFill>
                  <pic:spPr bwMode="auto">
                    <a:xfrm>
                      <a:off x="0" y="0"/>
                      <a:ext cx="5080" cy="13970"/>
                    </a:xfrm>
                    <a:prstGeom prst="rect">
                      <a:avLst/>
                    </a:prstGeom>
                    <a:noFill/>
                  </pic:spPr>
                </pic:pic>
              </a:graphicData>
            </a:graphic>
          </wp:anchor>
        </w:drawing>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litigation and other risks as a result of the material weaknesses in our internal control over financial reporting.</w:t>
      </w:r>
    </w:p>
    <w:p>
      <w:pPr>
        <w:spacing w:after="0" w:line="11" w:lineRule="exact"/>
        <w:rPr>
          <w:rFonts w:ascii="Times New Roman" w:cs="Times New Roman" w:eastAsia="Times New Roman" w:hAnsi="Times New Roman"/>
          <w:sz w:val="17"/>
          <w:szCs w:val="17"/>
          <w:color w:val="auto"/>
        </w:rPr>
      </w:pPr>
    </w:p>
    <w:p>
      <w:pPr>
        <w:ind w:left="660" w:hanging="314"/>
        <w:spacing w:after="0" w:line="254" w:lineRule="auto"/>
        <w:tabs>
          <w:tab w:leader="none" w:pos="6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involved in class action litigation that may adversely affect us, and we may not be successful in our litigation related to non-performing Private Investment in Public Equity (“PIPE”) investors.</w:t>
      </w:r>
    </w:p>
    <w:p>
      <w:pPr>
        <w:ind w:left="660" w:hanging="314"/>
        <w:spacing w:after="0" w:line="254" w:lineRule="auto"/>
        <w:tabs>
          <w:tab w:leader="none" w:pos="66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capital intensive, and we will be required to raise additional funds in the future in order to accomplish our objectives.</w:t>
      </w:r>
    </w:p>
    <w:p>
      <w:pPr>
        <w:spacing w:after="0" w:line="1" w:lineRule="exact"/>
        <w:rPr>
          <w:rFonts w:ascii="Times New Roman" w:cs="Times New Roman" w:eastAsia="Times New Roman" w:hAnsi="Times New Roman"/>
          <w:sz w:val="17"/>
          <w:szCs w:val="17"/>
          <w:color w:val="auto"/>
        </w:rPr>
      </w:pPr>
    </w:p>
    <w:p>
      <w:pPr>
        <w:ind w:left="660" w:hanging="315"/>
        <w:spacing w:after="0" w:line="254" w:lineRule="auto"/>
        <w:tabs>
          <w:tab w:leader="none" w:pos="6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debt in the future, and our ability to satisfy our obligations thereunder remains subject to a variety of factors, many of which are not within our control.</w:t>
      </w:r>
    </w:p>
    <w:p>
      <w:pPr>
        <w:ind w:left="660" w:hanging="315"/>
        <w:spacing w:after="0" w:line="254" w:lineRule="auto"/>
        <w:tabs>
          <w:tab w:leader="none" w:pos="6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active trading market for our common shares and warrants may not be sustained, which would adversely affect the liquidity and price of our securities.</w:t>
      </w:r>
    </w:p>
    <w:p>
      <w:pPr>
        <w:spacing w:after="0" w:line="1"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can be no assurance that we will be able to comply with the continued listing standards of Nasdaq.</w:t>
      </w:r>
    </w:p>
    <w:p>
      <w:pPr>
        <w:spacing w:after="0" w:line="11"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exposed to risks in our international operations, which could adversely affect our business.</w:t>
      </w:r>
    </w:p>
    <w:p>
      <w:pPr>
        <w:spacing w:after="0" w:line="11" w:lineRule="exact"/>
        <w:rPr>
          <w:rFonts w:ascii="Times New Roman" w:cs="Times New Roman" w:eastAsia="Times New Roman" w:hAnsi="Times New Roman"/>
          <w:sz w:val="17"/>
          <w:szCs w:val="17"/>
          <w:color w:val="auto"/>
        </w:rPr>
      </w:pPr>
    </w:p>
    <w:p>
      <w:pPr>
        <w:ind w:left="660" w:right="20" w:hanging="315"/>
        <w:spacing w:after="0" w:line="298" w:lineRule="auto"/>
        <w:tabs>
          <w:tab w:leader="none" w:pos="66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classified as a PFIC in any taxable year, which could result in adverse U.S. federal income tax consequences to U.S. holders.</w:t>
      </w:r>
    </w:p>
    <w:p>
      <w:pPr>
        <w:spacing w:after="0" w:line="133" w:lineRule="exact"/>
        <w:rPr>
          <w:rFonts w:ascii="Times New Roman" w:cs="Times New Roman" w:eastAsia="Times New Roman" w:hAnsi="Times New Roman"/>
          <w:sz w:val="17"/>
          <w:szCs w:val="17"/>
          <w:color w:val="auto"/>
        </w:rPr>
      </w:pPr>
    </w:p>
    <w:p>
      <w:pPr>
        <w:ind w:left="600" w:hanging="281"/>
        <w:spacing w:after="0"/>
        <w:tabs>
          <w:tab w:leader="none" w:pos="60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Regulatory and Environmental Risks.</w:t>
      </w:r>
    </w:p>
    <w:p>
      <w:pPr>
        <w:spacing w:after="0" w:line="22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numerous regulatory uncertainties which, if not resolved in our favor, would have a material adverse impact on our business.</w:t>
      </w:r>
    </w:p>
    <w:p>
      <w:pPr>
        <w:spacing w:after="0" w:line="137"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To date, no commercial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166"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55"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On June 25, 2021, Nauru submitted its notice to the ISA requesting that it complete the adoption, by July 9, 2023, of rules, regulations and procedures necessary to facilitate the approval of plans of work for exploitation in the Area. In June 2022, a member State submitted a position paper to the ISA urging that the deadline to adopt the exploitation regulations be extended for a period of 15 years. Although we believe that the notice submitted by Nauru to the ISA has increased the likelihood that exploitation regulations and any necessary rules, regulations and procedures to facilitate the approval of a plan of work for exploitation will be adopted by mid-2023, there can be no assurances that the adoption of these regulations will not be delayed or halted paused as a result of the actions of ISA member States. If the ISA Council has not completed the adoption of such regulations within the prescribed time and an application for approval of a plan of work for exploitation is pending, the ISA shall nonetheless consider and provisionally approve such a plan of work for exploitation based on: (i) the provisions of the UNCLOS; (ii) any rules, regulations and procedures that the ISA may have adopted provisionally, (iii) the basis of the norms contained in the UNCLOS and (iv) the terms and principles contained in the Agreement relating to the Implementation of Part XI, including the principle of non-discrimination among contractors. There can be no assurance that the ISA will provisionally approve our plan or that such provisional approval would lead to the issuance of an exploitation contract by the ISA.</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50" w:name="page51"/>
    <w:bookmarkEnd w:id="50"/>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2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24">
                      <a:extLst>
                        <a:ext uri="{28A0092B-C50C-407E-A947-70E740481C1C}"/>
                      </a:extLst>
                    </a:blip>
                    <a:srcRect/>
                    <a:stretch>
                      <a:fillRect/>
                    </a:stretch>
                  </pic:blipFill>
                  <pic:spPr bwMode="auto">
                    <a:xfrm>
                      <a:off x="0" y="0"/>
                      <a:ext cx="5080" cy="13970"/>
                    </a:xfrm>
                    <a:prstGeom prst="rect">
                      <a:avLst/>
                    </a:prstGeom>
                    <a:noFill/>
                  </pic:spPr>
                </pic:pic>
              </a:graphicData>
            </a:graphic>
          </wp:anchor>
        </w:drawing>
        <w:t>We expect the final regulations (“Final Regulations”) to be approved in the second half of 2023,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61"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ESIA, culminating in an EIS, prior to collecting nodules at a commercial scale.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66"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In order to move our exploration projects into commercial production, our wholly-owned subsidiaries, NORI and TOML will each need to obtain an ISA Exploitation Contract, as will our partner, Marawa, in addition to related permits that may be required by our commercial partners. There can be no assurance that the ISA will evaluate any Exploitation Contract application by our subsidiaries in a timely manner or at all. Even if the ISA timely evaluates such applications(s), our subsidiaries may be required to submit a supplementary EIS or perform additional studies or campaigns before obtaining approval. As such, there is a risk that an ISA Exploitation Contract may not be granted by the ISA, may not be granted on a timely basis, thereby delaying our potential timeline for commercial exploitation, or may be granted on uneconomic terms.</w:t>
      </w:r>
    </w:p>
    <w:p>
      <w:pPr>
        <w:spacing w:after="0" w:line="171"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nations, Tonga and Nauru, respectively. Each subsidiary has been registered and incorporated within such host nation and each nation has maintained effective control,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7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While the rates of payments are yet to be set by the ISA, the 1994 Agreement relating to the Implementation of Part XI of the UNCLOS of 10 December 1982 (the “1994 Implementation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resource development activities are subject to changes in government regulation and political instability.</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Parties carrying out exploration and collection operations in the CCZ must be sponsored by a State that is a member of the ISA. The sponsoring States of our subsidiaries NORI and TOML are Nauru and Tonga, respectively. In addition, our subsidiary, DGE, has an exclusive contract with Marawa, which is sponsored by Kiribati, that permits DGE to conduct activities in connection with the exploration contract held by Marawa with the ISA. If any of these countries cease such sponsorship, our subsidiaries or their partners (as applicable) would need to seek sponsorship elsewhere, which could impact our operations as a group.</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97">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9pt"/>
            </w:pict>
          </mc:Fallback>
        </mc:AlternateContent>
      </w:r>
    </w:p>
    <w:p>
      <w:pPr>
        <w:sectPr>
          <w:pgSz w:w="12240" w:h="15840" w:orient="portrait"/>
          <w:cols w:equalWidth="0" w:num="1">
            <w:col w:w="9620"/>
          </w:cols>
          <w:pgMar w:left="1320" w:top="1337" w:right="1300" w:bottom="1440" w:gutter="0" w:footer="0" w:header="0"/>
        </w:sectPr>
      </w:pPr>
    </w:p>
    <w:bookmarkStart w:id="51" w:name="page52"/>
    <w:bookmarkEnd w:id="51"/>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2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26">
                      <a:extLst>
                        <a:ext uri="{28A0092B-C50C-407E-A947-70E740481C1C}"/>
                      </a:extLst>
                    </a:blip>
                    <a:srcRect/>
                    <a:stretch>
                      <a:fillRect/>
                    </a:stretch>
                  </pic:blipFill>
                  <pic:spPr bwMode="auto">
                    <a:xfrm>
                      <a:off x="0" y="0"/>
                      <a:ext cx="5080" cy="13970"/>
                    </a:xfrm>
                    <a:prstGeom prst="rect">
                      <a:avLst/>
                    </a:prstGeom>
                    <a:noFill/>
                  </pic:spPr>
                </pic:pic>
              </a:graphicData>
            </a:graphic>
          </wp:anchor>
        </w:drawing>
        <w:t>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CCZ.</w:t>
      </w:r>
    </w:p>
    <w:p>
      <w:pPr>
        <w:spacing w:after="0" w:line="370"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171"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natural disasters in the region,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CCZ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to any of the laws, rules, regulations or policies to which we are subject could have a significant impact on our business.</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66"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5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5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All phases of exploring for and collecting and processing polymetallic nodules are subject to environmental regulation in various jurisdictions and under national as well as international laws and conventions. No seafloor polymetallic nodule deposit has been developed commercially, and it is not clear what environmental parameters may need to be measured to satisfy regulatory authorities for an ISA Exploitation Contract to be granted. A full ESIA for deep-sea collecting operations has yet to be completed and approved by the ISA, and the full impact of any polymetallic nodule collecting operation on the environment has yet to be determined. Further, the required standards for an ESIA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52" w:name="page53"/>
    <w:bookmarkEnd w:id="52"/>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2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28">
                      <a:extLst>
                        <a:ext uri="{28A0092B-C50C-407E-A947-70E740481C1C}"/>
                      </a:extLst>
                    </a:blip>
                    <a:srcRect/>
                    <a:stretch>
                      <a:fillRect/>
                    </a:stretch>
                  </pic:blipFill>
                  <pic:spPr bwMode="auto">
                    <a:xfrm>
                      <a:off x="0" y="0"/>
                      <a:ext cx="5080" cy="13970"/>
                    </a:xfrm>
                    <a:prstGeom prst="rect">
                      <a:avLst/>
                    </a:prstGeom>
                    <a:noFill/>
                  </pic:spPr>
                </pic:pic>
              </a:graphicData>
            </a:graphic>
          </wp:anchor>
        </w:drawing>
        <w:t>Nodule collection operations in the CCZ are certain to disturb wildlife in the operating area and may impact ecosystem function. The nature and severity of these impacts on CCZ wildlife are expected to vary by species and are currently subject to significant uncertainty. Our campaigns to baseline wildlife and ecosystem function, pilot the nodule collection system and monitor impacts arising from the use of this system have been completed. Data processing and analysis is in progress and, similar to studies conducted in respect of land-based mining, may not definitively establish the impacts of activities on the biodiversity in the CCZ. Given the significant volume of deep water and the difficulty of sampling and retrieving biological specimens,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6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It is also currently not definitively known whether the risk of biodiversity loss in the CCZ could be eliminated through setting aside large representative areas of CCZ under protection (13 areas currently set aside by ISA covering 43% of the CCZ) or reduced through mitigation strategies inside operating areas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partial nodule cover and setting aside no-take zones, would aid recruitment and recovery of nodule-dependent species in impacted areas will depend on factors like habitat connectivity, which is an area that is still under study.</w:t>
      </w:r>
    </w:p>
    <w:p>
      <w:pPr>
        <w:spacing w:after="0" w:line="17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While we intend to collect seafloor polymetallic nodules in a way that mitigates and reduces potential damage to the seafloor, marine life and ecosystem function, we do not know whether the ISA or any other regulatory body will seek to impose onerous methods for the restoration of the disturbed area or rehabilitation obligations on our collecting process. Any such obligations, to the extent they are overly burdensome, could result in material changes to our business as currently contemplated.</w:t>
      </w:r>
    </w:p>
    <w:p>
      <w:pPr>
        <w:spacing w:after="0" w:line="160" w:lineRule="exact"/>
        <w:rPr>
          <w:sz w:val="20"/>
          <w:szCs w:val="20"/>
          <w:color w:val="auto"/>
        </w:rPr>
      </w:pPr>
    </w:p>
    <w:p>
      <w:pPr>
        <w:jc w:val="both"/>
        <w:ind w:firstLine="312"/>
        <w:spacing w:after="0" w:line="264" w:lineRule="auto"/>
        <w:rPr>
          <w:sz w:val="20"/>
          <w:szCs w:val="20"/>
          <w:color w:val="auto"/>
        </w:rPr>
      </w:pPr>
      <w:r>
        <w:rPr>
          <w:rFonts w:ascii="Times New Roman" w:cs="Times New Roman" w:eastAsia="Times New Roman" w:hAnsi="Times New Roman"/>
          <w:sz w:val="17"/>
          <w:szCs w:val="17"/>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37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evaluates and approves an application in a timely manner, any aspect of such application and approval theoretically could be subject to legal challenges which could result in further delays that could detrimentally impact our business. For example, certain conservation groups have called for a ten-year moratorium on all deep-sea mineral exploration and exploitation activities. While this agenda does not appear to have directly impacted the development of proposed Final Regulations and Standards and Guidelines by the ISA, any such moratorium would have a material adverse effect on our business.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53" w:name="page54"/>
    <w:bookmarkEnd w:id="53"/>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2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30">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environmental permitting process, which includes considerations of the impacts of our activities on the biodiversity of the CCZ, is expected to involve a series of checks and balances with reviews being conducted by the ISA, including technical evaluations by the ISA Secretariat and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environmental liabilities as a result of noncompliance or newly imposed regulations.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155"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374"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374"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II.</w:t>
        <w:tab/>
        <w:t>Resource and Market Risks.</w:t>
      </w:r>
    </w:p>
    <w:p>
      <w:pPr>
        <w:spacing w:after="0" w:line="22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37"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grades and abundances of the seafloor polymetallic nodule deposits that we intend to develop and commercialize are estimates that may prove to be inaccurate. While limited samples have been collected and analyzed, there are no guarantees that our estimates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6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addition, the precise form of mineral occurrence, grade, abundance, and tonnage, which is projected based on the mapping and analysis of samples, is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ectPr>
          <w:pgSz w:w="12240" w:h="15840" w:orient="portrait"/>
          <w:cols w:equalWidth="0" w:num="1">
            <w:col w:w="9620"/>
          </w:cols>
          <w:pgMar w:left="1320" w:top="1337" w:right="130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54" w:name="page55"/>
    <w:bookmarkEnd w:id="54"/>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32">
                      <a:extLst>
                        <a:ext uri="{28A0092B-C50C-407E-A947-70E740481C1C}"/>
                      </a:extLst>
                    </a:blip>
                    <a:srcRect/>
                    <a:stretch>
                      <a:fillRect/>
                    </a:stretch>
                  </pic:blipFill>
                  <pic:spPr bwMode="auto">
                    <a:xfrm>
                      <a:off x="0" y="0"/>
                      <a:ext cx="5080" cy="13970"/>
                    </a:xfrm>
                    <a:prstGeom prst="rect">
                      <a:avLst/>
                    </a:prstGeom>
                    <a:noFill/>
                  </pic:spPr>
                </pic:pic>
              </a:graphicData>
            </a:graphic>
          </wp:anchor>
        </w:drawing>
        <w:t>No seafloor polymetallic nodule deposit has ever been commercially collected, and our offshore collection technology and development plans and processes may not be sufficient to accomplish our objectives.</w:t>
      </w:r>
    </w:p>
    <w:p>
      <w:pPr>
        <w:spacing w:after="0" w:line="13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Seafloor polymetallic nodules have never been commercially mined, and there is a risk that our offshore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and surface production vessel have been tested. Although the pilot collection system test was successful, there can be no assurance that their technology will eventually be adequate for full scale commercial production.</w:t>
      </w:r>
    </w:p>
    <w:p>
      <w:pPr>
        <w:spacing w:after="0" w:line="168"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On March 16, 2022, NORI and Allseas entered into a non-binding term sheet for the development and operation of the Project Zero System. NORI and Allseas intend to equally finance all costs related to developing and getting Project Zero System into production currently. The parties intend to detail and revise these cost estimates in binding Heads of Terms which the parties expect to enter into in the second half of 2023, and three definitive agreements for the engineering, build and operations phases. There can be no assurances, however, that we will enter into the binding Heads of Terms and definitive agreements with Allseas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 and hence, we may be delayed in obtaining offshore collection equipment in the event we do not reach agreement with Allseas and have to develop such equipment on our own or through new third-party contractual relationships.</w:t>
      </w:r>
    </w:p>
    <w:p>
      <w:pPr>
        <w:spacing w:after="0" w:line="16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reliant on third parties to conduct independent analyses with respect to our business, and any inaccuracies in such analyses could have a material adverse effect on our offshore collection and onshore processing and refining objectives.</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resource estimates from the contract areas of NORI and TOML are only estimates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6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estimation of mineral reserves and mineral resources is an iterative process and is, at times,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97">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9pt"/>
            </w:pict>
          </mc:Fallback>
        </mc:AlternateContent>
      </w:r>
    </w:p>
    <w:p>
      <w:pPr>
        <w:sectPr>
          <w:pgSz w:w="12240" w:h="15840" w:orient="portrait"/>
          <w:cols w:equalWidth="0" w:num="1">
            <w:col w:w="9620"/>
          </w:cols>
          <w:pgMar w:left="1320" w:top="1338" w:right="1300" w:bottom="1440" w:gutter="0" w:footer="0" w:header="0"/>
        </w:sectPr>
      </w:pPr>
    </w:p>
    <w:bookmarkStart w:id="55" w:name="page56"/>
    <w:bookmarkEnd w:id="55"/>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3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4">
                      <a:extLst>
                        <a:ext uri="{28A0092B-C50C-407E-A947-70E740481C1C}"/>
                      </a:extLst>
                    </a:blip>
                    <a:srcRect/>
                    <a:stretch>
                      <a:fillRect/>
                    </a:stretch>
                  </pic:blipFill>
                  <pic:spPr bwMode="auto">
                    <a:xfrm>
                      <a:off x="0" y="0"/>
                      <a:ext cx="5080" cy="13970"/>
                    </a:xfrm>
                    <a:prstGeom prst="rect">
                      <a:avLst/>
                    </a:prstGeom>
                    <a:noFill/>
                  </pic:spPr>
                </pic:pic>
              </a:graphicData>
            </a:graphic>
          </wp:anchor>
        </w:drawing>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16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61"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 Area D resource is classified into indicated and measured categories.</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significant risks, and we may never develop minerals in sufficient grade or quantities to justify commercial operations.</w:t>
      </w:r>
    </w:p>
    <w:p>
      <w:pPr>
        <w:spacing w:after="0" w:line="137"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66"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No deep-sea polymetallic properties in the CCZ that have been identified have as of today been developed into production. Exploration and exploitation risks exist in the discovery, location, definition and recovery of seafloor polymetallic nodule deposits.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6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6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ectPr>
          <w:pgSz w:w="12240" w:h="15840" w:orient="portrait"/>
          <w:cols w:equalWidth="0" w:num="1">
            <w:col w:w="9620"/>
          </w:cols>
          <w:pgMar w:left="1320" w:top="1337" w:right="130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97">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9pt"/>
            </w:pict>
          </mc:Fallback>
        </mc:AlternateContent>
      </w:r>
    </w:p>
    <w:p>
      <w:pPr>
        <w:sectPr>
          <w:pgSz w:w="12240" w:h="15840" w:orient="portrait"/>
          <w:cols w:equalWidth="0" w:num="1">
            <w:col w:w="9620"/>
          </w:cols>
          <w:pgMar w:left="1320" w:top="1337" w:right="130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3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36">
                      <a:extLst>
                        <a:ext uri="{28A0092B-C50C-407E-A947-70E740481C1C}"/>
                      </a:extLst>
                    </a:blip>
                    <a:srcRect/>
                    <a:stretch>
                      <a:fillRect/>
                    </a:stretch>
                  </pic:blipFill>
                  <pic:spPr bwMode="auto">
                    <a:xfrm>
                      <a:off x="0" y="0"/>
                      <a:ext cx="5080" cy="13970"/>
                    </a:xfrm>
                    <a:prstGeom prst="rect">
                      <a:avLst/>
                    </a:prstGeom>
                    <a:noFill/>
                  </pic:spPr>
                </pic:pic>
              </a:graphicData>
            </a:graphic>
          </wp:anchor>
        </w:drawing>
        <w:t>Uncertainty in our estimates of polymetallic nodule deposits could result in lower than expected revenues and higher costs.</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71" w:lineRule="exact"/>
        <w:rPr>
          <w:sz w:val="20"/>
          <w:szCs w:val="20"/>
          <w:color w:val="auto"/>
        </w:rPr>
      </w:pPr>
    </w:p>
    <w:p>
      <w:pPr>
        <w:ind w:left="660" w:right="20" w:hanging="315"/>
        <w:spacing w:after="0" w:line="298"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geological, geotechnical, collecting and processing conditions that may not be fully identified by available data or that may differ from experience;</w:t>
      </w:r>
    </w:p>
    <w:p>
      <w:pPr>
        <w:spacing w:after="0" w:line="136" w:lineRule="exact"/>
        <w:rPr>
          <w:rFonts w:ascii="Times New Roman" w:cs="Times New Roman" w:eastAsia="Times New Roman" w:hAnsi="Times New Roman"/>
          <w:sz w:val="17"/>
          <w:szCs w:val="17"/>
          <w:color w:val="auto"/>
        </w:rPr>
      </w:pPr>
    </w:p>
    <w:p>
      <w:pPr>
        <w:ind w:left="660" w:right="400" w:hanging="315"/>
        <w:spacing w:after="0" w:line="298"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the strategic approach to collecting and processing, which will depend in large part on market demand, corporate strategy and other prevailing economic and financial conditions;</w:t>
      </w:r>
    </w:p>
    <w:p>
      <w:pPr>
        <w:spacing w:after="0" w:line="136" w:lineRule="exact"/>
        <w:rPr>
          <w:rFonts w:ascii="Times New Roman" w:cs="Times New Roman" w:eastAsia="Times New Roman" w:hAnsi="Times New Roman"/>
          <w:sz w:val="17"/>
          <w:szCs w:val="17"/>
          <w:color w:val="auto"/>
        </w:rPr>
      </w:pPr>
    </w:p>
    <w:p>
      <w:pPr>
        <w:ind w:left="660" w:right="120" w:hanging="315"/>
        <w:spacing w:after="0" w:line="298"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concerning future prices of products (including, most notably, battery metals and manganese ore) foreign exchange rates, production rates, process recovery rates, transportation costs, operating costs, capital costs and reclamation costs; and</w:t>
      </w:r>
    </w:p>
    <w:p>
      <w:pPr>
        <w:spacing w:after="0" w:line="136" w:lineRule="exact"/>
        <w:rPr>
          <w:rFonts w:ascii="Times New Roman" w:cs="Times New Roman" w:eastAsia="Times New Roman" w:hAnsi="Times New Roman"/>
          <w:sz w:val="17"/>
          <w:szCs w:val="17"/>
          <w:color w:val="auto"/>
        </w:rPr>
      </w:pPr>
    </w:p>
    <w:p>
      <w:pPr>
        <w:ind w:left="660" w:right="520" w:hanging="315"/>
        <w:spacing w:after="0" w:line="298" w:lineRule="auto"/>
        <w:tabs>
          <w:tab w:leader="none" w:pos="6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Uncertainty in estimates related to the availability of polymetallic nodules could result in lower-than-expected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a competitive industry, and there are no assurances that our efforts will be successful.</w:t>
      </w:r>
    </w:p>
    <w:p>
      <w:pPr>
        <w:spacing w:after="0" w:line="218"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The battery metals production industry is capital intensive and competitive. Production of battery materials and manganese alloys is largely dominated by Chinese competitors.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In addition to three contracts held by our subsidiaries and partners, 16 other entities (ISA Member States and private companies sponsored by ISA Member States) currently hold ISA Exploration Contracts for polymetallic nodules. If and when they move into the exploitation phase, each of these contract-holders could become potential competitors with respect to the collection of polymetallic nodules and the production of nickel, manganese, copper and cobalt products. Some of these contract holders may possess greater financial and/or technical resources. Furthermore, several nation states are working on developing polymetallic nodule resources inside their EEZs, with the Cook Islands granting three exploration contracts for polymetallic nodules in February 2022. There is increasing competition from new and existing marine mineral players for the availability of marine exploration and support vessels, related marine equipment and specialized personnel, desirable exploration areas, suitable offshore collection and onshore processing equipment, and available capital. There is a risk that competitors may find more promising resources, identify or develop more economic technologies, enter into strategic partnerships that constrain our optionality, or may develop novel methods to collect nodules from the seafloor or process nodules into metals that are more economic than we currently contemplate.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8" w:right="1300" w:bottom="1440" w:gutter="0" w:footer="0" w:header="0"/>
        </w:sectPr>
      </w:pPr>
    </w:p>
    <w:bookmarkStart w:id="57" w:name="page58"/>
    <w:bookmarkEnd w:id="57"/>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3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8">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prevailing market prices of nickel, manganese, copper, cobalt, and other commodities will have a material impact on our ability to achieve commercial success.</w:t>
      </w:r>
    </w:p>
    <w:p>
      <w:pPr>
        <w:spacing w:after="0" w:line="137"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The profitability of our nodule collection operations is significantly affected by changes in the market price of battery metals (nickel, copper and cobalt) and manganese ores and the cost of power, natural gas, coal, marine fuels, among other commodities and supply requirements. Prices of such metals are affected by numerous factors beyond our control, including: military conflict;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natural gas has fluctuated widely in recent years. Depending on the prevailing price of nickel, manganese, copper, and cobalt, and the cost of power, natural gas, chemical reagents, marine fuels, cash flow from our metal production operations may not be sufficient to cover our operating costs or the costs to service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38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We are not currently party to any commodity hedging contracts, as we do not yet have any production. Debt financing may not be available on commercially reasonable terms, or at all.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adversely affected by fluctuations in demand for nickel, manganese, copper, cobalt, and other commodities.</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6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Demand for our minerals may be impacted by changes in supply dynamics and sources, and changes in demand for downstream products, including batteries for EV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7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difficulty in creating market acceptance for a novel manganese product.</w:t>
      </w:r>
    </w:p>
    <w:p>
      <w:pPr>
        <w:spacing w:after="0" w:line="21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We will be producing a novel manganese silicate product which does not yet have recognition in the marketplace with customers. Metallurgical testwork, market studies by CRU International Limited, value-in-use studies by SINTEF and initial engagement with customers indicate that this manganese silicate product will be a premium product with high value in use as an input into silicomanganese alloy production that we believe will receive strong market acceptance. However, mineral processing industries may be slow to change feed stocks and suppliers, even in the face of potential advantages.</w:t>
      </w:r>
    </w:p>
    <w:p>
      <w:pPr>
        <w:spacing w:after="0" w:line="16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Additionally, manganese silicate is not a conventional mineral product and may require additional approvals for export and import from our processing facilities to our future customers.</w:t>
      </w:r>
    </w:p>
    <w:p>
      <w:pPr>
        <w:sectPr>
          <w:pgSz w:w="12240" w:h="15840" w:orient="portrait"/>
          <w:cols w:equalWidth="0" w:num="1">
            <w:col w:w="9620"/>
          </w:cols>
          <w:pgMar w:left="1320" w:top="1338" w:right="1300"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97">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9pt"/>
            </w:pict>
          </mc:Fallback>
        </mc:AlternateContent>
      </w:r>
    </w:p>
    <w:p>
      <w:pPr>
        <w:sectPr>
          <w:pgSz w:w="12240" w:h="15840" w:orient="portrait"/>
          <w:cols w:equalWidth="0" w:num="1">
            <w:col w:w="9620"/>
          </w:cols>
          <w:pgMar w:left="1320" w:top="1338" w:right="1300" w:bottom="1440" w:gutter="0" w:footer="0" w:header="0"/>
          <w:type w:val="continuous"/>
        </w:sectPr>
      </w:pPr>
    </w:p>
    <w:bookmarkStart w:id="58" w:name="page59"/>
    <w:bookmarkEnd w:id="58"/>
    <w:p>
      <w:pPr>
        <w:ind w:right="3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3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40">
                      <a:extLst>
                        <a:ext uri="{28A0092B-C50C-407E-A947-70E740481C1C}"/>
                      </a:extLst>
                    </a:blip>
                    <a:srcRect/>
                    <a:stretch>
                      <a:fillRect/>
                    </a:stretch>
                  </pic:blipFill>
                  <pic:spPr bwMode="auto">
                    <a:xfrm>
                      <a:off x="0" y="0"/>
                      <a:ext cx="5080" cy="13970"/>
                    </a:xfrm>
                    <a:prstGeom prst="rect">
                      <a:avLst/>
                    </a:prstGeom>
                    <a:noFill/>
                  </pic:spPr>
                </pic:pic>
              </a:graphicData>
            </a:graphic>
          </wp:anchor>
        </w:drawing>
        <w:t>Our ability to generate revenue will be diminished if we are unable to compete with substitutions for the minerals that we intend to process.</w:t>
      </w:r>
    </w:p>
    <w:p>
      <w:pPr>
        <w:spacing w:after="0" w:line="1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Technology changes rapidly in the industries and end markets that utilize our materials. If these industries shift to new technologies or products such as lithium iron phosphate (LFP) batteries that no longer require or use less of the metals that we intend to collect and process, or if suitable substitutes become available, it could result in a decline in demand for our metal products. If the demand for our metal products decreases, it will have a material adverse effect on our business and the results of our operations and financial condition.</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III. Social License and Public Perceptions Risks.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Negative perceptions related to the offshore collection of polymetallic nodules could have a material adverse effect on our business.</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There exist certain negative perceptions related to acquiring metals produced from deep-sea minerals. Under pressure from non-governmental organizations, some governments and companies in the EV supply chain have expressed reservations about using battery metals derived from deep-sea minerals (including polymetallic nodules), pending more research on the impacts of deep-sea mineral extraction operations on marine biodiversity and ecosystem function. If this position gains broad traction by governments and commercial customers alike in relation to battery metals sourced from polymetallic nodules, it could have a material impact on our business and operations.</w:t>
      </w:r>
    </w:p>
    <w:p>
      <w:pPr>
        <w:spacing w:after="0" w:line="168"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Reduced growth in the adoption of electric vehicles by consumers may change our strategy and our business and operating results may be impacted.</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Given that we have focused part of our operating plan on the sale of nodule-derived battery metals into the EV supply chain, our growth may be affected by the consumer adoption of EVs. The market for EV is relatively new, rapidly evolving, characterized by rapidly changing technologies, price competition, additional competitors, evolving government regulation and industry standards, frequent new vehicle announcements and changing consumer demands and behaviors. While it has been projected that demand for EVs will surge over time, if the market for EVs does not develop as we expect, or develops more slowly than we expect, our business and operating results may be impacted, as we refocus on other industrial uses of the metals we plan to produce.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our partners and our shareholders may be adversely impacted by pressure and lobbying from non-governmental organizations.</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Like other businesses that operate in the resources industry, our company, our partners, and our shareholders are subject to pressure and lobbying from non-governmental organizations, particularly with respect to impacts on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non-governmental environmental groups could physically impact ongoing operation during exploration, project development and commercial operations.</w:t>
      </w:r>
    </w:p>
    <w:p>
      <w:pPr>
        <w:spacing w:after="0" w:line="162" w:lineRule="exact"/>
        <w:rPr>
          <w:sz w:val="20"/>
          <w:szCs w:val="20"/>
          <w:color w:val="auto"/>
        </w:rPr>
      </w:pPr>
    </w:p>
    <w:p>
      <w:pPr>
        <w:ind w:left="320"/>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IV.</w:t>
        <w:tab/>
        <w:t>Offshore and Onshore Technology Risks and Operational Risks.</w:t>
      </w:r>
    </w:p>
    <w:p>
      <w:pPr>
        <w:spacing w:after="0" w:line="223" w:lineRule="exact"/>
        <w:rPr>
          <w:sz w:val="20"/>
          <w:szCs w:val="20"/>
          <w:color w:val="auto"/>
        </w:rPr>
      </w:pPr>
    </w:p>
    <w:p>
      <w:pPr>
        <w:ind w:right="4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Offshore collection and onshore processing and refining operations pose inherent risks and costs that may negatively impact our business.</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Offshore collection and onshore processing and refining operations involve many hazards and uncertainties, including, among others:</w:t>
      </w:r>
    </w:p>
    <w:p>
      <w:pPr>
        <w:spacing w:after="0" w:line="219" w:lineRule="exact"/>
        <w:rPr>
          <w:sz w:val="20"/>
          <w:szCs w:val="20"/>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and operational challenges in the offshore collection operations and scaling up of such operations;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transferring nodules to transport vessels and delivering nodules to port;</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 accidents;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unusual and unexpected maritime conditions;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59" w:name="page60"/>
    <w:bookmarkEnd w:id="59"/>
    <w:p>
      <w:pPr>
        <w:ind w:left="660" w:hanging="315"/>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4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42">
                      <a:extLst>
                        <a:ext uri="{28A0092B-C50C-407E-A947-70E740481C1C}"/>
                      </a:extLst>
                    </a:blip>
                    <a:srcRect/>
                    <a:stretch>
                      <a:fillRect/>
                    </a:stretch>
                  </pic:blipFill>
                  <pic:spPr bwMode="auto">
                    <a:xfrm>
                      <a:off x="0" y="0"/>
                      <a:ext cx="5080" cy="13970"/>
                    </a:xfrm>
                    <a:prstGeom prst="rect">
                      <a:avLst/>
                    </a:prstGeom>
                    <a:noFill/>
                  </pic:spPr>
                </pic:pic>
              </a:graphicData>
            </a:graphic>
          </wp:anchor>
        </w:drawing>
        <w:t>unexpected seafloor conditions;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onshore metallurgical or other processing problems;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environmental conditions, including contamination or leakage;</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periodic interruptions due to inclement or hazardous weather conditions or other acts of nature;</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fire;</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piracy and disruptive action by non-governmental actors opposed to deep-sea mineral extraction;</w:t>
      </w:r>
    </w:p>
    <w:p>
      <w:pPr>
        <w:spacing w:after="0" w:line="218"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organized labor disputes or work slowdowns;</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mechanical equipment failure and facility performance problems;</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financing, market demand, critical technology and equipment, and skilled labor; and</w:t>
      </w:r>
    </w:p>
    <w:p>
      <w:pPr>
        <w:spacing w:after="0" w:line="219" w:lineRule="exact"/>
        <w:rPr>
          <w:rFonts w:ascii="Times New Roman" w:cs="Times New Roman" w:eastAsia="Times New Roman" w:hAnsi="Times New Roman"/>
          <w:sz w:val="17"/>
          <w:szCs w:val="17"/>
          <w:color w:val="auto"/>
        </w:rPr>
      </w:pPr>
    </w:p>
    <w:p>
      <w:pPr>
        <w:ind w:left="660" w:right="180" w:hanging="314"/>
        <w:spacing w:after="0" w:line="298" w:lineRule="auto"/>
        <w:tabs>
          <w:tab w:leader="none" w:pos="6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suppliers to provide key process inputs like electricity, gas, coal and processing reagents on a timely basis at the prices that have been forecast.</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68" w:lineRule="exact"/>
        <w:rPr>
          <w:sz w:val="20"/>
          <w:szCs w:val="20"/>
          <w:color w:val="auto"/>
        </w:rPr>
      </w:pPr>
    </w:p>
    <w:p>
      <w:pPr>
        <w:jc w:val="both"/>
        <w:ind w:right="2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is contingent on our ability to successfully identify, collect, ship and process polymetallic nodules, and in doing so, we will need to rely on certain existing and future strategic relationships, some of which we may be unable to maintain and/or develop.</w:t>
      </w:r>
    </w:p>
    <w:p>
      <w:pPr>
        <w:spacing w:after="0" w:line="1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conducting our business, we will rely on continuing existing strategic relationships as well as new relationships in a variety of disciplines, including the offshore equipment and services industries,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60"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sulfates for the electric vehicle battery markets. In connection therewith, Hatch has developed a near-zero solid waste flowsheet. We are also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 If we are unable to enter into definitive agreements with Allseas for the use of its technology for the collection, transport and commercial production of polymetallic nodules, it will have a material adverse effect on our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60" w:name="page61"/>
    <w:bookmarkEnd w:id="60"/>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4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44">
                      <a:extLst>
                        <a:ext uri="{28A0092B-C50C-407E-A947-70E740481C1C}"/>
                      </a:extLst>
                    </a:blip>
                    <a:srcRect/>
                    <a:stretch>
                      <a:fillRect/>
                    </a:stretch>
                  </pic:blipFill>
                  <pic:spPr bwMode="auto">
                    <a:xfrm>
                      <a:off x="0" y="0"/>
                      <a:ext cx="5080" cy="13970"/>
                    </a:xfrm>
                    <a:prstGeom prst="rect">
                      <a:avLst/>
                    </a:prstGeom>
                    <a:noFill/>
                  </pic:spPr>
                </pic:pic>
              </a:graphicData>
            </a:graphic>
          </wp:anchor>
        </w:drawing>
        <w:t>There can be no assurance that we will be able to continue to maintain and develop our existing relationships, or that we will be able to form the new relationships that are required for our business to be successful. For example, our agreement with Maersk Supply Services A/S to provide marine cruises and management services expired in January 2022, following the completion of the NORI Area D baseline campaigns. The next phase of our offshore campaigns required a different set of capabilities, and we contracted with a new service provider to provide a survey vessel and specialized services required to support the implementation of the recently conducted collector test monitoring survey. There can be no assurances that we will be able to find additional partners with the correct capabilities to support our development efforts or whether we will be able to engage these partners on acceptable terms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the offshore equipment that we will need to accomplish our objectives has not been manufactured and/or tested.</w:t>
      </w:r>
    </w:p>
    <w:p>
      <w:pPr>
        <w:spacing w:after="0" w:line="21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Our subsidiaries will need to rely on high-value equipment for the offshore collection and transport of materials. Notwithstanding the successful collector test completed in 2022, much of the commercial-scale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commercial-scale subsea engineering and recovery systems have yet to be fully determined, and as such, the capital costs, performance, reliability, and maintenance associated with the necessary equipment is currently unknown. There can be no guarantees that the necessary commercial-scale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there is a risk that certain vessels and equipment will be under long-term charter and will thus not be available to them when needed, if at all.</w:t>
      </w:r>
    </w:p>
    <w:p>
      <w:pPr>
        <w:spacing w:after="0" w:line="16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substantially dependent on our strategic relationship with Allseas. If we and Allseas are unable to successfully maintain and expand this relationship, our business may be materially harmed.</w:t>
      </w:r>
    </w:p>
    <w:p>
      <w:pPr>
        <w:spacing w:after="0" w:line="137"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We have partnered with Allseas, a leading global offshore contractor and significant shareholder in our company, to undertake the development of many of the offshore systems we expect to utilize in our potential commercialization efforts. We are also in discussions with Allseas to enter into binding agreements with them for the future development and operation of the Project Zero System and other services. Allseas also provides us with access to the Hidden Gem, the converted drillship expected to be converted into a production vessel by Allseas for our commercial use. In addition, Allseas has invested $5 million in our August 2022 private placement of common shares and recently entered into an unsecured credit facility with us under an affiliate of Allseas agreed to lend us up to $25 million through May 2024. We cannot provide any assurance with respect to the success of our continued relationship with Allseas, that we will be able to enter into additional binding agreements with Allseas on commercially reasonable terms, or at all, that Allseas will continue to devote its resources to its relationship with us or otherwise perform its obligations under its current and future arrangements with us as expected, the result of any of which would have a material adverse effect on our business, financial condition, liquidity, and results of operations. As a result, we may need to engage and depend on other third parties for the services and funding Allseas currently and is expected to provide us. If these new relationships are not a timely entered into or not entered into on commercially reasonable terms, or at all, of if any such relationship is not successful, this would likely have a material adverse effect on our business, financial condition, liquidity, and results of operations.</w:t>
      </w:r>
    </w:p>
    <w:p>
      <w:pPr>
        <w:spacing w:after="0" w:line="380"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polymetallic nodules that we may recover will require specialized onshore processing and refining, and there is no certainty that such processes will result in a recovery of metals that is consistent with our expectations, or that we will be able to develop or otherwise access processing plants that are suitable for our purposes.</w:t>
      </w:r>
    </w:p>
    <w:p>
      <w:pPr>
        <w:spacing w:after="0" w:line="154"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polymetallic nodules that our subsidiaries may collect, contain several base metals in varying concentrations, which will require processing and refining in metallurgical plants. To date, no nodules have been processed and refined into metal products commercially, and there is a risk that such processing and refining may not be economically viable and/or that the nodules will contain elements or compounds that would render them unsuitable for selected processing and refining flowsheet.</w:t>
      </w:r>
    </w:p>
    <w:p>
      <w:pPr>
        <w:spacing w:after="0" w:line="160"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While Hatch, a global engineering, project management, and professional services firm, has helped us to develop a processing flowsheet with near-zero solid waste and is working with us on a pilot plant program, the actual percentage recovery of metals may vary significantly from that forecast, and we are in the process of conducting a pilot scale metallurgical test-work program to determine our ability to expand such program into a full operational system.</w:t>
      </w:r>
    </w:p>
    <w:p>
      <w:pPr>
        <w:sectPr>
          <w:pgSz w:w="12240" w:h="15840" w:orient="portrait"/>
          <w:cols w:equalWidth="0" w:num="1">
            <w:col w:w="9620"/>
          </w:cols>
          <w:pgMar w:left="1320" w:top="1337" w:right="130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type w:val="continuous"/>
        </w:sectPr>
      </w:pPr>
    </w:p>
    <w:bookmarkStart w:id="61" w:name="page62"/>
    <w:bookmarkEnd w:id="61"/>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4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46">
                      <a:extLst>
                        <a:ext uri="{28A0092B-C50C-407E-A947-70E740481C1C}"/>
                      </a:extLst>
                    </a:blip>
                    <a:srcRect/>
                    <a:stretch>
                      <a:fillRect/>
                    </a:stretch>
                  </pic:blipFill>
                  <pic:spPr bwMode="auto">
                    <a:xfrm>
                      <a:off x="0" y="0"/>
                      <a:ext cx="5080" cy="13970"/>
                    </a:xfrm>
                    <a:prstGeom prst="rect">
                      <a:avLst/>
                    </a:prstGeom>
                    <a:noFill/>
                  </pic:spPr>
                </pic:pic>
              </a:graphicData>
            </a:graphic>
          </wp:anchor>
        </w:drawing>
        <w:t>Should our offshore nodule collection plans become successful, we intend to partner with existing onshore processing partners to produce and develop new build onshore processing plants as we scale up production. Our future needs with respect to such processing plants have yet to be fully determined, and as such, the capital costs, performance, reliability, and maintenance of such plants is currently uncertain.</w:t>
      </w:r>
    </w:p>
    <w:p>
      <w:pPr>
        <w:spacing w:after="0" w:line="370"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have identified potential tolling facilities to process nodules into two products, manganese silicate and copper-nickel-cobalt alloy, or matte and developed a marketing strategy to place the latter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(through tolling arrangements), there is no guarantee that we will be able to provide them with the required nodule feedstocks at the required times.</w:t>
      </w:r>
    </w:p>
    <w:p>
      <w:pPr>
        <w:spacing w:after="0" w:line="165"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While we believe that we have identified specific sites for the potential construction of nodule processing plants (based on factors such as proximity to deep-water ports, cost access to renewable electric power and natural gas, and proximity to customers), there is a risk that we will be unable to secure one or more of these sites on suitable terms. For example, having faced significant issues in securing process engineering capacity in 2022, we moved away from collaborating with Epsilon Carbon for the development of a new Project Zero Plant in India and instead are now reviewing the feasibility of utilizing existing facilities as an alternative.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72"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36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exploration and polymetallic nodule collecting activities may be affected by natural hazards, which could have a material adverse effect on our business.</w:t>
      </w:r>
    </w:p>
    <w:p>
      <w:pPr>
        <w:spacing w:after="0" w:line="137"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Deep-sea mineral exploration and collection activities are inherently difficult and dangerous and may be delayed or suspended by severe weather events, sea conditions or other natural hazards, including volcanos, storms, hurricanes, tsunamis and unpredictable weather patterns. In addition, even though sea conditions in a particular location may be somewhat predictable, the possibility exists that unexpected conditions may occur that adversely affect our operations. Nodule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16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156"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Once our subsidiaries have been able to successfully collect the polymetallic nodules, they will be required to transport them to onshore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sanctions,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62" w:name="page63"/>
    <w:bookmarkEnd w:id="62"/>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4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48">
                      <a:extLst>
                        <a:ext uri="{28A0092B-C50C-407E-A947-70E740481C1C}"/>
                      </a:extLst>
                    </a:blip>
                    <a:srcRect/>
                    <a:stretch>
                      <a:fillRect/>
                    </a:stretch>
                  </pic:blipFill>
                  <pic:spPr bwMode="auto">
                    <a:xfrm>
                      <a:off x="0" y="0"/>
                      <a:ext cx="5080" cy="13970"/>
                    </a:xfrm>
                    <a:prstGeom prst="rect">
                      <a:avLst/>
                    </a:prstGeom>
                    <a:noFill/>
                  </pic:spPr>
                </pic:pic>
              </a:graphicData>
            </a:graphic>
          </wp:anchor>
        </w:drawing>
        <w:t>Actual capital costs, financing strategies, operating costs, production and economic returns may differ significantly from those we have anticipated and there can be no assurance that any future development activities will result in profitable metal production operations.</w:t>
      </w:r>
    </w:p>
    <w:p>
      <w:pPr>
        <w:spacing w:after="0" w:line="137"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 actual operating costs of our subsidiaries to collect polymetallic nodules, transport, process and refine such nodules commercially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this Annual Report on Form 10-K.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and there can be no assurance that we will be able to commercially develop our resource areas or achieve profitability in the future.</w:t>
      </w:r>
    </w:p>
    <w:p>
      <w:pPr>
        <w:spacing w:after="0" w:line="137"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expects to achieve early-stage commercial production for the NORI Area D end of 2024 / start of 2025, there can be no assurance that it will be able to commercially develop these properties or that it will be able to generate profits in the future.</w:t>
      </w:r>
    </w:p>
    <w:p>
      <w:pPr>
        <w:spacing w:after="0" w:line="171"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In addition, as part of DGE’s Marawa Option Agreement and Services Agreement with Marawa with respect to the Marawa Contract Area, Marawa committed to spend Australian dollar (“AUD”) $3 million and AUD $2 million in fiscal 2023 and 2024, respectively. Limited offshore marine resource definition activities in the Marawa Contract Area, however, have occurred to date and we expect to collaborate with Marawa to assess the viability of any potential project in the Marawa Contract Area, although the timing of such assessment is unclear. Marawa has also delayed certain of its efforts in the Marawa Contract Area while it determines how it will move forward with additional assessment work. There are no assurances that we will be able to come to an agreement with Marawa on the future development of the Marawa Contract Area or that we will be able to keep our rights in the Marawa Contract Area as a result of our efforts there, either of which could have a material and adverse effect on our future business prospects and financial condition.</w:t>
      </w:r>
    </w:p>
    <w:p>
      <w:pPr>
        <w:spacing w:after="0" w:line="17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16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Work stoppages or similar difficulties could significantly disrupt our operations, reduce our revenues and materially adversely affect our results of operations.</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8" w:right="1300" w:bottom="1440" w:gutter="0" w:footer="0" w:header="0"/>
        </w:sectPr>
      </w:pPr>
    </w:p>
    <w:bookmarkStart w:id="63" w:name="page64"/>
    <w:bookmarkEnd w:id="63"/>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4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50">
                      <a:extLst>
                        <a:ext uri="{28A0092B-C50C-407E-A947-70E740481C1C}"/>
                      </a:extLst>
                    </a:blip>
                    <a:srcRect/>
                    <a:stretch>
                      <a:fillRect/>
                    </a:stretch>
                  </pic:blipFill>
                  <pic:spPr bwMode="auto">
                    <a:xfrm>
                      <a:off x="0" y="0"/>
                      <a:ext cx="5080" cy="13970"/>
                    </a:xfrm>
                    <a:prstGeom prst="rect">
                      <a:avLst/>
                    </a:prstGeom>
                    <a:noFill/>
                  </pic:spPr>
                </pic:pic>
              </a:graphicData>
            </a:graphic>
          </wp:anchor>
        </w:drawing>
        <w:t>A shortage of skilled technicians and engineers may further increase operating costs, which could materially adversely affect our results of operations.</w:t>
      </w:r>
    </w:p>
    <w:p>
      <w:pPr>
        <w:spacing w:after="0" w:line="137"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66" w:lineRule="exact"/>
        <w:rPr>
          <w:sz w:val="20"/>
          <w:szCs w:val="20"/>
          <w:color w:val="auto"/>
        </w:rPr>
      </w:pPr>
    </w:p>
    <w:p>
      <w:pPr>
        <w:jc w:val="both"/>
        <w:ind w:firstLine="1"/>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37"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376" w:lineRule="exact"/>
        <w:rPr>
          <w:sz w:val="20"/>
          <w:szCs w:val="20"/>
          <w:color w:val="auto"/>
        </w:rPr>
      </w:pPr>
    </w:p>
    <w:p>
      <w:pPr>
        <w:ind w:right="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growth will depend on our ability to execute on our plans and expand our operations and controls while maintaining effective cost controls.</w:t>
      </w:r>
    </w:p>
    <w:p>
      <w:pPr>
        <w:spacing w:after="0" w:line="137"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Deep-sea exploration, nodule collection, and processing is an emerging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upon information technology systems, which are subject to cyber threats, disruption, damage and failure.</w:t>
      </w:r>
    </w:p>
    <w:p>
      <w:pPr>
        <w:spacing w:after="0" w:line="21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subject to a variety of risks, some of which may not be covered by our future or existing insurance policies.</w:t>
      </w:r>
    </w:p>
    <w:p>
      <w:pPr>
        <w:spacing w:after="0" w:line="218" w:lineRule="exact"/>
        <w:rPr>
          <w:sz w:val="20"/>
          <w:szCs w:val="20"/>
          <w:color w:val="auto"/>
        </w:rPr>
      </w:pPr>
    </w:p>
    <w:p>
      <w:pPr>
        <w:jc w:val="both"/>
        <w:ind w:firstLine="311"/>
        <w:spacing w:after="0" w:line="254" w:lineRule="auto"/>
        <w:rPr>
          <w:sz w:val="20"/>
          <w:szCs w:val="20"/>
          <w:color w:val="auto"/>
        </w:rPr>
      </w:pPr>
      <w:r>
        <w:rPr>
          <w:rFonts w:ascii="Times New Roman" w:cs="Times New Roman" w:eastAsia="Times New Roman" w:hAnsi="Times New Roman"/>
          <w:sz w:val="17"/>
          <w:szCs w:val="17"/>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 (iv) delays in collecting, transporting or processing, (v) monetary losses, (vi) natural disasters,</w:t>
      </w:r>
    </w:p>
    <w:p>
      <w:pPr>
        <w:spacing w:after="0" w:line="1" w:lineRule="exact"/>
        <w:rPr>
          <w:sz w:val="20"/>
          <w:szCs w:val="20"/>
          <w:color w:val="auto"/>
        </w:rPr>
      </w:pPr>
    </w:p>
    <w:p>
      <w:pPr>
        <w:jc w:val="both"/>
        <w:ind w:firstLine="9"/>
        <w:spacing w:after="0" w:line="265" w:lineRule="auto"/>
        <w:tabs>
          <w:tab w:leader="none" w:pos="34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ectPr>
          <w:pgSz w:w="12240" w:h="15840" w:orient="portrait"/>
          <w:cols w:equalWidth="0" w:num="1">
            <w:col w:w="9620"/>
          </w:cols>
          <w:pgMar w:left="1320" w:top="1338" w:right="130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type w:val="continuous"/>
        </w:sectPr>
      </w:pPr>
    </w:p>
    <w:bookmarkStart w:id="64" w:name="page65"/>
    <w:bookmarkEnd w:id="64"/>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5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52">
                      <a:extLst>
                        <a:ext uri="{28A0092B-C50C-407E-A947-70E740481C1C}"/>
                      </a:extLst>
                    </a:blip>
                    <a:srcRect/>
                    <a:stretch>
                      <a:fillRect/>
                    </a:stretch>
                  </pic:blipFill>
                  <pic:spPr bwMode="auto">
                    <a:xfrm>
                      <a:off x="0" y="0"/>
                      <a:ext cx="5080" cy="13970"/>
                    </a:xfrm>
                    <a:prstGeom prst="rect">
                      <a:avLst/>
                    </a:prstGeom>
                    <a:noFill/>
                  </pic:spPr>
                </pic:pic>
              </a:graphicData>
            </a:graphic>
          </wp:anchor>
        </w:drawing>
        <w:t>We may not be able to adequately protect our intellectual property rights. If we fail to adequately enforce or defend our intellectual property rights, our business may be harmed.</w:t>
      </w:r>
    </w:p>
    <w:p>
      <w:pPr>
        <w:spacing w:after="0" w:line="137"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169"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37"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37"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97">
                          <a:solidFill>
                            <a:srgbClr val="000000"/>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9pt"/>
            </w:pict>
          </mc:Fallback>
        </mc:AlternateContent>
      </w:r>
    </w:p>
    <w:p>
      <w:pPr>
        <w:sectPr>
          <w:pgSz w:w="12240" w:h="15840" w:orient="portrait"/>
          <w:cols w:equalWidth="0" w:num="1">
            <w:col w:w="9620"/>
          </w:cols>
          <w:pgMar w:left="1320" w:top="1338" w:right="1300" w:bottom="1440" w:gutter="0" w:footer="0" w:header="0"/>
        </w:sectPr>
      </w:pPr>
    </w:p>
    <w:bookmarkStart w:id="65" w:name="page66"/>
    <w:bookmarkEnd w:id="65"/>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5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54">
                      <a:extLst>
                        <a:ext uri="{28A0092B-C50C-407E-A947-70E740481C1C}"/>
                      </a:extLst>
                    </a:blip>
                    <a:srcRect/>
                    <a:stretch>
                      <a:fillRect/>
                    </a:stretch>
                  </pic:blipFill>
                  <pic:spPr bwMode="auto">
                    <a:xfrm>
                      <a:off x="0" y="0"/>
                      <a:ext cx="5080" cy="13970"/>
                    </a:xfrm>
                    <a:prstGeom prst="rect">
                      <a:avLst/>
                    </a:prstGeom>
                    <a:noFill/>
                  </pic:spPr>
                </pic:pic>
              </a:graphicData>
            </a:graphic>
          </wp:anchor>
        </w:drawing>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61" w:lineRule="exact"/>
        <w:rPr>
          <w:sz w:val="20"/>
          <w:szCs w:val="20"/>
          <w:color w:val="auto"/>
        </w:rPr>
      </w:pPr>
    </w:p>
    <w:p>
      <w:pPr>
        <w:ind w:left="660" w:right="400" w:hanging="315"/>
        <w:spacing w:after="0" w:line="298"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prohibited from, or delayed in, selling or licensing some of our products or using some of our processes unless the patent holder licenses the patent to us, which it is not required to do;</w:t>
      </w:r>
    </w:p>
    <w:p>
      <w:pPr>
        <w:spacing w:after="0" w:line="13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required to pay substantial royalties or grant a cross license to our patents to another patent holder; or</w:t>
      </w:r>
    </w:p>
    <w:p>
      <w:pPr>
        <w:spacing w:after="0" w:line="219" w:lineRule="exact"/>
        <w:rPr>
          <w:rFonts w:ascii="Times New Roman" w:cs="Times New Roman" w:eastAsia="Times New Roman" w:hAnsi="Times New Roman"/>
          <w:sz w:val="17"/>
          <w:szCs w:val="17"/>
          <w:color w:val="auto"/>
        </w:rPr>
      </w:pPr>
    </w:p>
    <w:p>
      <w:pPr>
        <w:ind w:left="660" w:right="360" w:hanging="314"/>
        <w:spacing w:after="0" w:line="298" w:lineRule="auto"/>
        <w:tabs>
          <w:tab w:leader="none" w:pos="6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required to redesign a product or process so it does not infringe a third-party’s patent, which may not be possible or could require substantial funds and time.</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 addition, we could be subject to claims that our employees, or we, have inadvertently or otherwise used or disclosed trade secrets or other proprietary information of third parties.</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Pandemics, including COVID-19, could have an adverse effect on our business.</w:t>
      </w:r>
    </w:p>
    <w:p>
      <w:pPr>
        <w:spacing w:after="0" w:line="21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Any outbreak of contagious diseases, such as COVID-19, or other adverse public health developments, could have a material and adverse effect on our business operations. The continued evolution of COVID-19 and its variants, as well as periodic spikes in infection rates and local outbreaks, in spite of safety measures or vaccinations, could cause disruptions to our operations or those of third parties with whom we engage. The COVID-19 pandemic has led to global supply chain challenges, which could adversely impact our ability to conduct business in the manner and timelines presently planned. As new variants of the virus appear, especially variants that are more easily spread, cause more serious outcomes, or are resistant to existing vaccines, new health orders and safety protocols could further impact our operations. We will continue to monitor developments of the pandemic and continuously assess its potential further impact on our operations to prevent any disruptions to the conduct of our business. In the event of a prolonged continuation of the pandemic, it is not clear what the potential impact may be on our business, financial position and financial performance.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66" w:name="page67"/>
    <w:bookmarkEnd w:id="66"/>
    <w:p>
      <w:pPr>
        <w:ind w:left="640" w:hanging="317"/>
        <w:spacing w:after="0"/>
        <w:tabs>
          <w:tab w:leader="none" w:pos="640" w:val="left"/>
        </w:tabs>
        <w:numPr>
          <w:ilvl w:val="0"/>
          <w:numId w:val="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5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56">
                      <a:extLst>
                        <a:ext uri="{28A0092B-C50C-407E-A947-70E740481C1C}"/>
                      </a:extLst>
                    </a:blip>
                    <a:srcRect/>
                    <a:stretch>
                      <a:fillRect/>
                    </a:stretch>
                  </pic:blipFill>
                  <pic:spPr bwMode="auto">
                    <a:xfrm>
                      <a:off x="0" y="0"/>
                      <a:ext cx="5080" cy="13970"/>
                    </a:xfrm>
                    <a:prstGeom prst="rect">
                      <a:avLst/>
                    </a:prstGeom>
                    <a:noFill/>
                  </pic:spPr>
                </pic:pic>
              </a:graphicData>
            </a:graphic>
          </wp:anchor>
        </w:drawing>
        <w:t>Public Company Risks and Risks Related to our Securities</w:t>
      </w:r>
    </w:p>
    <w:p>
      <w:pPr>
        <w:spacing w:after="0" w:line="22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business is capital intensive, and we will be required to raise additional funds in the future to accomplish our objectives. This additional financing may not be available on acceptable terms or at all. Failure to obtain this necessary capital when needed may force us to reduce or terminate our operations.</w:t>
      </w:r>
    </w:p>
    <w:p>
      <w:pPr>
        <w:spacing w:after="0" w:line="156"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 in order to preserve our cash. The continuing exploration and development of the NORI, TOML and Marawa contract areas, however, will depend upon our ability to obtain dilutive and/or non-dilutive financing through stake sales in our assets, offtakes with prepayments, debt financing, equity financing, joint ventures, or other means. Additionally, the actual amount of capital raised for our projects may vary materially from our current estimates. We currently expect that we will raise additional funds to finance our operations.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financing may not be available on acceptable terms or at all. Failure to obtain additional financing on a timely basis could cause us to reduce or terminate our operations. Organizations such as the United Nations Environment Programme Finance Initiative, warn against investing in activities focused on exploitation of deep-sea nodules as a result of the potential environmental impact of the activities. The influence of these groups could negatively impact our operations and ability to raise capital on acceptable terms or at all.</w:t>
      </w:r>
    </w:p>
    <w:p>
      <w:pPr>
        <w:spacing w:after="0" w:line="387"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Additionally, United States and global economic uncertainty, higher interest rates and diminished credit availability may limit our ability to incur indebtedness on favorable terms.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67"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Furthermore, the impact of geopolitical tension, such as a deterioration in the bilateral relationship between the United States and China or an escalation in conflict between Russia and Ukraine, including any resulting sanctions, export controls or other restrictive actions, could also lead to disruption, instability and volatility in the global markets, which may have an impact on our ability to obtain additional funding.</w:t>
      </w:r>
    </w:p>
    <w:p>
      <w:pPr>
        <w:spacing w:after="0" w:line="37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may issue additional common shares or other equity securities without shareholder approval, which would dilute your ownership interests and may depress the market price of our common shares and sales of a substantial amount of our common shares may cause the price of our common shares to fall.</w:t>
      </w:r>
    </w:p>
    <w:p>
      <w:pPr>
        <w:spacing w:after="0" w:line="154"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As at December 31, 2022, we had 266,812,131 common shares and 24,500,000 warrants to acquire common shares issued and outstanding, which does not include the 37,978,680 common shares issuable in the private placement financing we announced in August 2022. In addition, the Allseas Warrant is exercisable for up to 11,600,000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44,372,170 common shares are reserved for issuance under the TMC Incentive Equity Plan, including 10,672,485 shares added to the plan in January 2023 pursuant to the plan’s evergreen provision, and 7,922,445 common shares are reserved for issuance under our 2021 Employee Stock Purchase Plan, in each case (the “ESPP”), including 2,668,121 shares added to the plan in January 2023, pursuant to the plan’s evergreen provision, in each case, subject to adjustment in certain events. In addition, up to 136,239,964 common shares, subject to adjustment in certain events, may be issued to the holders of special shares and holders of options underlying special shares upon conversion of special shares if certain common share price thresholds are met (“Special Shares”). Any common shares issued, including in connection with the private placement financing, upon exercise of warrants, upon conversion of the Special Shares or under the TMC Incentive Equity Plan, the ESPP or other equity incentive plans that we may adopt in the future, would dilute the percentage ownership held by you.</w:t>
      </w:r>
    </w:p>
    <w:p>
      <w:pPr>
        <w:sectPr>
          <w:pgSz w:w="12240" w:h="15840" w:orient="portrait"/>
          <w:cols w:equalWidth="0" w:num="1">
            <w:col w:w="9620"/>
          </w:cols>
          <w:pgMar w:left="1320" w:top="1334" w:right="130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type w:val="continuous"/>
        </w:sectPr>
      </w:pPr>
    </w:p>
    <w:bookmarkStart w:id="67" w:name="page68"/>
    <w:bookmarkEnd w:id="67"/>
    <w:p>
      <w:pPr>
        <w:ind w:left="3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5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58">
                      <a:extLst>
                        <a:ext uri="{28A0092B-C50C-407E-A947-70E740481C1C}"/>
                      </a:extLst>
                    </a:blip>
                    <a:srcRect/>
                    <a:stretch>
                      <a:fillRect/>
                    </a:stretch>
                  </pic:blipFill>
                  <pic:spPr bwMode="auto">
                    <a:xfrm>
                      <a:off x="0" y="0"/>
                      <a:ext cx="5080" cy="13970"/>
                    </a:xfrm>
                    <a:prstGeom prst="rect">
                      <a:avLst/>
                    </a:prstGeom>
                    <a:noFill/>
                  </pic:spPr>
                </pic:pic>
              </a:graphicData>
            </a:graphic>
          </wp:anchor>
        </w:drawing>
        <w:t>Our issuance of additional common shares or other equity securities of equal or senior rank would have the following effects:</w:t>
      </w:r>
    </w:p>
    <w:p>
      <w:pPr>
        <w:spacing w:after="0" w:line="219" w:lineRule="exact"/>
        <w:rPr>
          <w:sz w:val="20"/>
          <w:szCs w:val="20"/>
          <w:color w:val="auto"/>
        </w:rPr>
      </w:pPr>
    </w:p>
    <w:p>
      <w:pPr>
        <w:ind w:left="660" w:hanging="315"/>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shareholders’ proportionate ownership interest in the Company will decrease;</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cash available per share, including for payment of dividends in the future, may decrease;</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voting strength of each previously outstanding common share may be diminished; and</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shares may decline.</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addition, the contractual lock-up agreements on certain of our securities entered into in connection with the Business Combination have all expired. As a result, all of our public shares are freely transferable. Sales of substantial amounts of our common shares in the public market, or the perception that such sales will occur, could adversely affect the market price of our common shares.</w:t>
      </w:r>
    </w:p>
    <w:p>
      <w:pPr>
        <w:spacing w:after="0" w:line="156" w:lineRule="exact"/>
        <w:rPr>
          <w:sz w:val="20"/>
          <w:szCs w:val="20"/>
          <w:color w:val="auto"/>
        </w:rPr>
      </w:pPr>
    </w:p>
    <w:p>
      <w:pPr>
        <w:jc w:val="both"/>
        <w:ind w:right="8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our outstanding warrants are exercised, the number of shares eligible for future resale in the public market will increase and result in dilution to our shareholders. You will likely experience further dilution if we issue common shares in future financing transactions.</w:t>
      </w:r>
    </w:p>
    <w:p>
      <w:pPr>
        <w:spacing w:after="0" w:line="137"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shares of our common shares at an exercise price of $11.50 per share. In certain circumstances, the Public Warrants and Private Warrants may be exercised on a cashless basis and the proceeds from the exercise of such warrants will decrease. The Allseas Warrant is also exercisable for up to 11,600,000 common shares subject to the terms and conditions thereof.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 Furthermore, if we raise additional funds by issuing additional common shares, or securities convertible into or exchangeable or exercisable for common stock, our shareholders will experience additional dilution, and new investors could have rights superior to existing stockholders.</w:t>
      </w:r>
    </w:p>
    <w:p>
      <w:pPr>
        <w:spacing w:after="0" w:line="16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the Public Warrants and Private Warrants will be in the money at the time they become exercisable, and they may expire worthless.</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 exercise price for the outstanding Public Warrants and Private Warrants is $11.50 per common share. There can be no assurance that such warrants will be in the money prior to their expiration, and as such, such warrants may expire worthless. Since the closing of the Business Combination through March 24, 2023, the price of our common shares has ranged from a high of $10.38 to a low of $0.55 and as of March 24, 2023, the closing price of our common shares was $0.8063. Based on the current trading price of our common shares we do not expect to receive any proceeds from exercise of the Public Warrants and Private Warrants unless there is a significant increase in the price of our common shares.</w:t>
      </w:r>
    </w:p>
    <w:p>
      <w:pPr>
        <w:spacing w:after="0" w:line="16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There are currently outstanding an aggregate of 24,500,000 warrants to acquire our common shares (not including the Allseas Warrant), which comprise 9,500,000 Private Warrants initially issued in connection with SOAC’s initial public offering, which were transferred to permitted transferees of the initial holders thereof, and 15,000,000 Public Warrants. Each of our outstanding whole warrants is exercisable commencing on October 9, 2021, for one common share in accordance with its terms. Therefore, as of December 31, 2022, if we assume that each outstanding whole warrant is exercised and one common share is issued as a result of such exercise, with payment of the exercise price of $11.50 per share, our fully-diluted share capital would increase by a total of 24,500,000 shares, with approximately $281.8 million paid to us to exercise the warrants. Furthermore, even if the warrants are in the money following the time they become exercisable, the holders of the warrants are not obligated to exercise their warrants, and we cannot predict whether holders of the warrants will choose to exercise all or any of their warrants.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68" w:name="page69"/>
    <w:bookmarkEnd w:id="68"/>
    <w:p>
      <w:pPr>
        <w:jc w:val="both"/>
        <w:ind w:firstLine="1"/>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5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60">
                      <a:extLst>
                        <a:ext uri="{28A0092B-C50C-407E-A947-70E740481C1C}"/>
                      </a:extLst>
                    </a:blip>
                    <a:srcRect/>
                    <a:stretch>
                      <a:fillRect/>
                    </a:stretch>
                  </pic:blipFill>
                  <pic:spPr bwMode="auto">
                    <a:xfrm>
                      <a:off x="0" y="0"/>
                      <a:ext cx="5080" cy="13970"/>
                    </a:xfrm>
                    <a:prstGeom prst="rect">
                      <a:avLst/>
                    </a:prstGeom>
                    <a:noFill/>
                  </pic:spPr>
                </pic:pic>
              </a:graphicData>
            </a:graphic>
          </wp:anchor>
        </w:drawing>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62"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our Quarterly Report on Form 10-Q for the quarter ended September 30, 2021, filed with the SEC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379"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The Company presented its plan for remediation of the material weaknesses in internal control over financial reporting that existed as of the end of 2021 in its Annual Report on Form 10-K for the year ended December 31, 2021 filed with the SEC on March 25, 2022 and has updated its progress in implementing such plan in its subsequent Quarterly Reports on Form 10-Q for the first three quarters of 2022. Management has implemented the identified remediation steps over the course of 2022. More specifically, the following action items were implemented by the end of 2022:</w:t>
      </w:r>
    </w:p>
    <w:p>
      <w:pPr>
        <w:spacing w:after="0" w:line="165" w:lineRule="exact"/>
        <w:rPr>
          <w:sz w:val="20"/>
          <w:szCs w:val="20"/>
          <w:color w:val="auto"/>
        </w:rPr>
      </w:pPr>
    </w:p>
    <w:p>
      <w:pPr>
        <w:ind w:left="660" w:hanging="315"/>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appointed a Chief Financial Officer to oversee the finance and accounting function;</w:t>
      </w:r>
    </w:p>
    <w:p>
      <w:pPr>
        <w:spacing w:after="0" w:line="219" w:lineRule="exact"/>
        <w:rPr>
          <w:rFonts w:ascii="Times New Roman" w:cs="Times New Roman" w:eastAsia="Times New Roman" w:hAnsi="Times New Roman"/>
          <w:sz w:val="17"/>
          <w:szCs w:val="17"/>
          <w:color w:val="auto"/>
        </w:rPr>
      </w:pPr>
    </w:p>
    <w:p>
      <w:pPr>
        <w:ind w:left="660" w:right="140" w:hanging="315"/>
        <w:spacing w:after="0" w:line="298"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hired individuals for the core accounting function with the requisite education, designation, and technical accounting and public company experience;</w:t>
      </w:r>
    </w:p>
    <w:p>
      <w:pPr>
        <w:spacing w:after="0" w:line="136"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transition from our outsourced accounting service provider to our in-house finance and accounting function;</w:t>
      </w:r>
    </w:p>
    <w:p>
      <w:pPr>
        <w:spacing w:after="0" w:line="219" w:lineRule="exact"/>
        <w:rPr>
          <w:rFonts w:ascii="Times New Roman" w:cs="Times New Roman" w:eastAsia="Times New Roman" w:hAnsi="Times New Roman"/>
          <w:sz w:val="17"/>
          <w:szCs w:val="17"/>
          <w:color w:val="auto"/>
        </w:rPr>
      </w:pPr>
    </w:p>
    <w:p>
      <w:pPr>
        <w:jc w:val="both"/>
        <w:ind w:left="660" w:right="60" w:hanging="315"/>
        <w:spacing w:after="0" w:line="276"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hired external experts to work with our internal team to assist with the design and implementation of robust controls over all our key processes and address all key company risks: the external experts completed their evaluation of our key controls as of end of 2022 and provided their report to management with recommendations for improvements to non-key controls; and</w:t>
      </w:r>
    </w:p>
    <w:p>
      <w:pPr>
        <w:spacing w:after="0" w:line="155" w:lineRule="exact"/>
        <w:rPr>
          <w:rFonts w:ascii="Times New Roman" w:cs="Times New Roman" w:eastAsia="Times New Roman" w:hAnsi="Times New Roman"/>
          <w:sz w:val="17"/>
          <w:szCs w:val="17"/>
          <w:color w:val="auto"/>
        </w:rPr>
      </w:pPr>
    </w:p>
    <w:p>
      <w:pPr>
        <w:ind w:left="660" w:right="380" w:hanging="315"/>
        <w:spacing w:after="0" w:line="298" w:lineRule="auto"/>
        <w:tabs>
          <w:tab w:leader="none" w:pos="6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added formality and rigor to our financial reporting process by continuously developing structured roles, policies, processes, procedures and controls.</w:t>
      </w:r>
    </w:p>
    <w:p>
      <w:pPr>
        <w:spacing w:after="0" w:line="13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 xml:space="preserve">As of December 31, 2022, under the supervision and with the participation of our management, including our Chief Executive Officer and Chief Financial Officer, we conducted an evaluation of the effectiveness of our internal controls over financial reporting based on the framework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this assessment, our management concluded that, as of December 31, 2022, our internal controls over financial reporting, including changes thereto as a result of the material weaknesses discussed above, newly implemented policies and procedures over key functional areas had not been in operation long enough over the 2022 year to be deemed effective. The material weaknesses will not be considered fully remediated until sufficient time has elapsed to provide sufficient sample evidence that the newly designed and implemented controls are operating effectively. We will continue to review the effectiveness of our newly implemented controls and make improvements as warranted. There are no assurances that these control modifications will ultimately have the intended effects.</w:t>
      </w:r>
    </w:p>
    <w:p>
      <w:pPr>
        <w:spacing w:after="0" w:line="16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If the material weaknesses are not remediated in a timely manner, this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ectPr>
          <w:pgSz w:w="12240" w:h="15840" w:orient="portrait"/>
          <w:cols w:equalWidth="0" w:num="1">
            <w:col w:w="9620"/>
          </w:cols>
          <w:pgMar w:left="1320" w:top="1338" w:right="130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6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62">
                      <a:extLst>
                        <a:ext uri="{28A0092B-C50C-407E-A947-70E740481C1C}"/>
                      </a:extLst>
                    </a:blip>
                    <a:srcRect/>
                    <a:stretch>
                      <a:fillRect/>
                    </a:stretch>
                  </pic:blipFill>
                  <pic:spPr bwMode="auto">
                    <a:xfrm>
                      <a:off x="0" y="0"/>
                      <a:ext cx="5080" cy="13970"/>
                    </a:xfrm>
                    <a:prstGeom prst="rect">
                      <a:avLst/>
                    </a:prstGeom>
                    <a:noFill/>
                  </pic:spPr>
                </pic:pic>
              </a:graphicData>
            </a:graphic>
          </wp:anchor>
        </w:drawing>
        <w:t>We may face litigation and other risks as a result of the material weaknesses in our internal control over financial reporting.</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have restated our financial statements as of and for the three-month period ended March 31, 2021, and as of and for the six-month period ended June 30, 2021 in the unaudited condensed financial statements included in our Quarterly Report on Form 10-Q filed on November 15, 2021 as a result of deficiencies in the design and operation of the financial statement close and reporting controls, including maintaining sufficient written policies and procedures and the need to use appropriate technical expertise when accounting for complex or non-routine transactions.</w:t>
      </w:r>
    </w:p>
    <w:p>
      <w:pPr>
        <w:spacing w:after="0" w:line="165"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As a result of the material weaknesses, the restatements, the adjustments relating to the accrual of exploration expenses and stock option accounting, and other matters raised or that may in the future be raised by the SEC, we may be subject to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16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37" w:lineRule="exact"/>
        <w:rPr>
          <w:sz w:val="20"/>
          <w:szCs w:val="20"/>
          <w:color w:val="auto"/>
        </w:rPr>
      </w:pPr>
    </w:p>
    <w:p>
      <w:pPr>
        <w:jc w:val="both"/>
        <w:ind w:firstLine="312"/>
        <w:spacing w:after="0" w:line="256" w:lineRule="auto"/>
        <w:rPr>
          <w:sz w:val="20"/>
          <w:szCs w:val="20"/>
          <w:color w:val="auto"/>
        </w:rPr>
      </w:pPr>
      <w:r>
        <w:rPr>
          <w:rFonts w:ascii="Times New Roman" w:cs="Times New Roman" w:eastAsia="Times New Roman" w:hAnsi="Times New Roman"/>
          <w:sz w:val="17"/>
          <w:szCs w:val="17"/>
          <w:color w:val="auto"/>
        </w:rPr>
        <w:t xml:space="preserve">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in federal district court for the Eastern District of New York, captioned Caper v. TMC The Metals Company Inc. F/K/A Sustainable Opportunities Acquisition Corp., Gerard Barron and Scott Leonard.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to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We deny any allegations of wrongdoing and we filed a motion to dismiss on July 12, 2022 and intend to defend against this lawsuit. On September 26, 2022, the motion to dismiss was fully briefed and the parties are awaiting a ruling. In addition, on January 23, 2023, an investor in the 2021 PIPE from the Business Combination filed a lawsuit against us in New York Supreme Court, New York County, captioned </w:t>
      </w:r>
      <w:r>
        <w:rPr>
          <w:rFonts w:ascii="Times New Roman" w:cs="Times New Roman" w:eastAsia="Times New Roman" w:hAnsi="Times New Roman"/>
          <w:sz w:val="17"/>
          <w:szCs w:val="17"/>
          <w:i w:val="1"/>
          <w:iCs w:val="1"/>
          <w:color w:val="auto"/>
        </w:rPr>
        <w:t>Atalaya 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Purpose Investment Fund II LP et al. v. Sustainable Opportunities Acquisition Corp. n/k/a TMC The Metals Company Inc</w:t>
      </w:r>
      <w:r>
        <w:rPr>
          <w:rFonts w:ascii="Times New Roman" w:cs="Times New Roman" w:eastAsia="Times New Roman" w:hAnsi="Times New Roman"/>
          <w:sz w:val="17"/>
          <w:szCs w:val="17"/>
          <w:color w:val="auto"/>
        </w:rPr>
        <w:t>., Index No.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650449/2023 (N.Y. Sup. Ct.). The complaint alleges that we breached the representations and warranties in the plaintiff’s PIPE Subscription Agreement and breached the covenant of good faith and fair dealing. The Plaintiffs are seeking to recover compensable damages caused by the alleged wrongdoings. There have been no substantive developments in this case. We deny any allegations of wrongdoing and are preparing to file a motion to dismiss. There is no assurance, however, that we or the other defendants will be successful in defense of these lawsuits or that insurance will be available or adequate to fund any settlement or judgment or the litigation costs of these actions. If either of the motions to dismiss is unsuccessful, there is a possibility that we may incur a loss in one of these matters. Such losses or range of possible losses either cannot be reliably estimated. A resolution of either of these lawsuits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70" w:name="page71"/>
    <w:bookmarkEnd w:id="70"/>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6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64">
                      <a:extLst>
                        <a:ext uri="{28A0092B-C50C-407E-A947-70E740481C1C}"/>
                      </a:extLst>
                    </a:blip>
                    <a:srcRect/>
                    <a:stretch>
                      <a:fillRect/>
                    </a:stretch>
                  </pic:blipFill>
                  <pic:spPr bwMode="auto">
                    <a:xfrm>
                      <a:off x="0" y="0"/>
                      <a:ext cx="5080" cy="13970"/>
                    </a:xfrm>
                    <a:prstGeom prst="rect">
                      <a:avLst/>
                    </a:prstGeom>
                    <a:noFill/>
                  </pic:spPr>
                </pic:pic>
              </a:graphicData>
            </a:graphic>
          </wp:anchor>
        </w:drawing>
        <w:t>We expected to receive approximately $330 million of proceeds in the private placement that closed on September 9, 2021 in connection with the Closing but only received $110.3 million (net of transactions costs). On September 20, 2021, we commenced litigation in the New York Superior Court, New York County against two investors who failed to fund their commitments pursuant to subscription agreements entered into in connection with the expected financing.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expenses, costs, and attorneys’ fees. There can be no assurances, however, that we will be successful in our efforts against these investors.</w:t>
      </w:r>
    </w:p>
    <w:p>
      <w:pPr>
        <w:spacing w:after="0" w:line="169" w:lineRule="exact"/>
        <w:rPr>
          <w:sz w:val="20"/>
          <w:szCs w:val="20"/>
          <w:color w:val="auto"/>
        </w:rPr>
      </w:pPr>
    </w:p>
    <w:p>
      <w:pPr>
        <w:ind w:right="20" w:firstLine="1"/>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62" w:lineRule="exact"/>
        <w:rPr>
          <w:sz w:val="20"/>
          <w:szCs w:val="20"/>
          <w:color w:val="auto"/>
        </w:rPr>
      </w:pPr>
    </w:p>
    <w:p>
      <w:pPr>
        <w:jc w:val="both"/>
        <w:ind w:firstLine="312"/>
        <w:spacing w:after="0" w:line="258" w:lineRule="auto"/>
        <w:rPr>
          <w:sz w:val="20"/>
          <w:szCs w:val="20"/>
          <w:color w:val="auto"/>
        </w:rPr>
      </w:pPr>
      <w:r>
        <w:rPr>
          <w:rFonts w:ascii="Times New Roman" w:cs="Times New Roman" w:eastAsia="Times New Roman" w:hAnsi="Times New Roman"/>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4"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7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71" w:name="page72"/>
    <w:bookmarkEnd w:id="71"/>
    <w:p>
      <w:pPr>
        <w:ind w:right="22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6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66">
                      <a:extLst>
                        <a:ext uri="{28A0092B-C50C-407E-A947-70E740481C1C}"/>
                      </a:extLst>
                    </a:blip>
                    <a:srcRect/>
                    <a:stretch>
                      <a:fillRect/>
                    </a:stretch>
                  </pic:blipFill>
                  <pic:spPr bwMode="auto">
                    <a:xfrm>
                      <a:off x="0" y="0"/>
                      <a:ext cx="5080" cy="13970"/>
                    </a:xfrm>
                    <a:prstGeom prst="rect">
                      <a:avLst/>
                    </a:prstGeom>
                    <a:noFill/>
                  </pic:spPr>
                </pic:pic>
              </a:graphicData>
            </a:graphic>
          </wp:anchor>
        </w:drawing>
        <w:t>We may incur debt in the future, and our ability to satisfy our obligations thereunder remains subject to a variety of factors, many of which are not within our control.</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We may seek to incur debt in the future to fund our exploration and operational programs, which would reduce our financial flexibility and could have a material adverse effect on our business, financial condition or results of operation.</w:t>
      </w:r>
    </w:p>
    <w:p>
      <w:pPr>
        <w:spacing w:after="0" w:line="137"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68"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360"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shares and warrants may not be sustained, which would adversely affect the liquidity and price of our securities.</w:t>
      </w:r>
    </w:p>
    <w:p>
      <w:pPr>
        <w:spacing w:after="0" w:line="137"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An active trading market for our securities may not be sustained. In addition, the price of our securities could fluctuate significantly for various reasons, many of which are outside our control, such as our stock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be able to comply with the continued listing standards of Nasdaq.</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55" w:lineRule="exact"/>
        <w:rPr>
          <w:sz w:val="20"/>
          <w:szCs w:val="20"/>
          <w:color w:val="auto"/>
        </w:rPr>
      </w:pPr>
    </w:p>
    <w:p>
      <w:pPr>
        <w:ind w:left="660" w:hanging="315"/>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availability of market quotations for our securities;</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for our securities;</w:t>
      </w:r>
    </w:p>
    <w:p>
      <w:pPr>
        <w:spacing w:after="0" w:line="219" w:lineRule="exact"/>
        <w:rPr>
          <w:rFonts w:ascii="Times New Roman" w:cs="Times New Roman" w:eastAsia="Times New Roman" w:hAnsi="Times New Roman"/>
          <w:sz w:val="17"/>
          <w:szCs w:val="17"/>
          <w:color w:val="auto"/>
        </w:rPr>
      </w:pPr>
    </w:p>
    <w:p>
      <w:pPr>
        <w:ind w:left="660" w:right="20" w:hanging="315"/>
        <w:spacing w:after="0" w:line="298" w:lineRule="auto"/>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3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amount of news and analyst coverage; and</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to issue additional securities or obtain additional financing in the future.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72" w:name="page73"/>
    <w:bookmarkEnd w:id="72"/>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6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68">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closing bid price of our common shares has been below the Nasdaq’s minimum $1.00 per share for extended periods of time in 2022 and into 2023. As a result, on December 5, 2022, we received a written notice from the Nasdaq notifying us that the closing bid price of the common shares over the 30 consecutive trading days from October 21, 2022 through December 2, 2022 had fallen below the minimum $1.00 per share. Although we have since regained compliance with the Nasdaq’s minimum closing bid price, we may not be able to continue to meet this Nasdaq listing requirement. If the closing bid price of our common shares falls below $1.00 per share for another consecutive 30 trading days, we expect to receive another notification from the Nasdaq to that effect. If this were to happen,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7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securities may be volatile, which could cause the value of your investment to decline.</w:t>
      </w:r>
    </w:p>
    <w:p>
      <w:pPr>
        <w:spacing w:after="0" w:line="218"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and the conflict between Russia and Ukraine),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7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73" w:name="page74"/>
    <w:bookmarkEnd w:id="73"/>
    <w:p>
      <w:pPr>
        <w:ind w:right="4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6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70">
                      <a:extLst>
                        <a:ext uri="{28A0092B-C50C-407E-A947-70E740481C1C}"/>
                      </a:extLst>
                    </a:blip>
                    <a:srcRect/>
                    <a:stretch>
                      <a:fillRect/>
                    </a:stretch>
                  </pic:blipFill>
                  <pic:spPr bwMode="auto">
                    <a:xfrm>
                      <a:off x="0" y="0"/>
                      <a:ext cx="5080" cy="13970"/>
                    </a:xfrm>
                    <a:prstGeom prst="rect">
                      <a:avLst/>
                    </a:prstGeom>
                    <a:noFill/>
                  </pic:spPr>
                </pic:pic>
              </a:graphicData>
            </a:graphic>
          </wp:anchor>
        </w:drawing>
        <w:t>We may redeem your unexpired warrants prior to their exercise at a time that is disadvantageous to you, thereby making your warrants worthless.</w:t>
      </w:r>
    </w:p>
    <w:p>
      <w:pPr>
        <w:spacing w:after="0" w:line="137"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We have the ability to redeem outstanding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permitted transferees.</w:t>
      </w:r>
    </w:p>
    <w:p>
      <w:pPr>
        <w:spacing w:after="0" w:line="17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 we are not a reporting issuer in Canada, our common shares and Special Shares may be subject to restrictions on resale in Canada.</w:t>
      </w:r>
    </w:p>
    <w:p>
      <w:pPr>
        <w:spacing w:after="0" w:line="218"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or trades of our securities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On September 7, 2021, we received exemptive relief from the prospectus requirements in Canada such that the common shares and Special Shares issued to Canadian Owners in connection with the Business Combination are not subject to resale restrictions in Canada, subject to the terms and conditions set forth in the exemptive relief order. There can be no assurance that any future securities offered to Canadian Owners will be freely transferable by the Canadian Owners.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risks in our international operations, which could adversely affect our business.</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97">
                          <a:solidFill>
                            <a:srgbClr val="000000"/>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9pt"/>
            </w:pict>
          </mc:Fallback>
        </mc:AlternateContent>
      </w:r>
    </w:p>
    <w:p>
      <w:pPr>
        <w:sectPr>
          <w:pgSz w:w="12240" w:h="15840" w:orient="portrait"/>
          <w:cols w:equalWidth="0" w:num="1">
            <w:col w:w="9620"/>
          </w:cols>
          <w:pgMar w:left="1320" w:top="1338" w:right="130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7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72">
                      <a:extLst>
                        <a:ext uri="{28A0092B-C50C-407E-A947-70E740481C1C}"/>
                      </a:extLst>
                    </a:blip>
                    <a:srcRect/>
                    <a:stretch>
                      <a:fillRect/>
                    </a:stretch>
                  </pic:blipFill>
                  <pic:spPr bwMode="auto">
                    <a:xfrm>
                      <a:off x="0" y="0"/>
                      <a:ext cx="5080" cy="13970"/>
                    </a:xfrm>
                    <a:prstGeom prst="rect">
                      <a:avLst/>
                    </a:prstGeom>
                    <a:noFill/>
                  </pic:spPr>
                </pic:pic>
              </a:graphicData>
            </a:graphic>
          </wp:anchor>
        </w:drawing>
        <w:t>We may be classified as a PFIC in any taxable year which could result in adverse U.S. federal income tax consequences to U.S.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w:t>
      </w:r>
    </w:p>
    <w:p>
      <w:pPr>
        <w:spacing w:after="0" w:line="218" w:lineRule="exact"/>
        <w:rPr>
          <w:sz w:val="20"/>
          <w:szCs w:val="20"/>
          <w:color w:val="auto"/>
        </w:rPr>
      </w:pPr>
    </w:p>
    <w:p>
      <w:pPr>
        <w:jc w:val="both"/>
        <w:ind w:firstLine="312"/>
        <w:spacing w:after="0" w:line="254" w:lineRule="auto"/>
        <w:rPr>
          <w:sz w:val="20"/>
          <w:szCs w:val="20"/>
          <w:color w:val="auto"/>
        </w:rPr>
      </w:pPr>
      <w:r>
        <w:rPr>
          <w:rFonts w:ascii="Times New Roman" w:cs="Times New Roman" w:eastAsia="Times New Roman" w:hAnsi="Times New Roman"/>
          <w:sz w:val="17"/>
          <w:szCs w:val="17"/>
          <w:color w:val="auto"/>
        </w:rPr>
        <w:t>If we are classified as a PFIC, such status may have adverse U.S. federal income tax consequences to U.S. Holders (as defined in the section titled “Material U.S. Federal Income Tax Considerations”). The rules governing PFICs can have adverse effects for U.S. federal income tax purposes. The tests for determining PFIC status for a taxable year depend upon the relative values of certain categories of assets and the relative amounts of certain kinds of income. The determination of whether we are a PFIC depends on the particular facts and circumstances (such as the valuation of our assets, including goodwill and other intangible assets) and may also be affected by the application of the PFIC rules, which are subject to differing interpretations. Based on our initial assessment, we do not believe that we were classified as a PFIC for U.S. federal income tax purposes for the taxable year ending December 31, 2022. However, the application of the PFIC rules is subject to uncertainty in several respects, and we cannot assure you the U.S. Internal Revenue Service will not take a contrary position. Furthermore, where we are classified as a PFIC this is a factual determination that must be made annually after the close of each taxable year. Accordingly, there can be no assurance with respect to our PFIC status for the current year or any future taxable year. If we are a PFIC for any taxable year during which a U.S. holder holds our common shares or Public Warrants, certain adverse U.S. federal income tax consequences could apply to such U.S. holder and such holders may be subject to additional reporting requirements. See “</w:t>
      </w:r>
      <w:r>
        <w:rPr>
          <w:rFonts w:ascii="Times New Roman" w:cs="Times New Roman" w:eastAsia="Times New Roman" w:hAnsi="Times New Roman"/>
          <w:sz w:val="17"/>
          <w:szCs w:val="17"/>
          <w:i w:val="1"/>
          <w:iCs w:val="1"/>
          <w:color w:val="auto"/>
        </w:rPr>
        <w:t>U.S. Federal Income Tax Considerations — Tax Consequences of Ownership and Disposition of Public Shares and Public Warrants</w:t>
      </w:r>
    </w:p>
    <w:p>
      <w:pPr>
        <w:spacing w:after="0" w:line="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i w:val="1"/>
          <w:iCs w:val="1"/>
          <w:color w:val="auto"/>
        </w:rPr>
        <w:t>— Passive Foreign Investment Company Rules</w:t>
      </w:r>
      <w:r>
        <w:rPr>
          <w:rFonts w:ascii="Times New Roman" w:cs="Times New Roman" w:eastAsia="Times New Roman" w:hAnsi="Times New Roman"/>
          <w:sz w:val="17"/>
          <w:szCs w:val="17"/>
          <w:color w:val="auto"/>
        </w:rPr>
        <w:t>” included in our registration statement on Form S-1 filed with the SEC on October 7,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a more detailed discussion with respect to our PFIC status and the application of the PFIC rules. U.S. Holders of our common shares and Public Warrants are urged to consult their tax advisors regarding the application of the PFIC rules to them.</w:t>
      </w:r>
    </w:p>
    <w:p>
      <w:pPr>
        <w:spacing w:after="0" w:line="157" w:lineRule="exact"/>
        <w:rPr>
          <w:sz w:val="20"/>
          <w:szCs w:val="20"/>
          <w:color w:val="auto"/>
        </w:rPr>
      </w:pPr>
    </w:p>
    <w:p>
      <w:pPr>
        <w:jc w:val="both"/>
        <w:ind w:right="560"/>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For instance, our Notice of Articles and Articles contain provisions that establish certain advance notice procedures for nomination of candidates for election as directors at shareholders’ meetings.</w:t>
      </w:r>
    </w:p>
    <w:p>
      <w:pPr>
        <w:spacing w:after="0" w:line="137"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 xml:space="preserve">Limitations on the ability to acquire and hold common shares may also be imposed by the </w:t>
      </w:r>
      <w:r>
        <w:rPr>
          <w:rFonts w:ascii="Times New Roman" w:cs="Times New Roman" w:eastAsia="Times New Roman" w:hAnsi="Times New Roman"/>
          <w:sz w:val="17"/>
          <w:szCs w:val="17"/>
          <w:i w:val="1"/>
          <w:iCs w:val="1"/>
          <w:color w:val="auto"/>
        </w:rPr>
        <w:t>Competition Act</w:t>
      </w:r>
      <w:r>
        <w:rPr>
          <w:rFonts w:ascii="Times New Roman" w:cs="Times New Roman" w:eastAsia="Times New Roman" w:hAnsi="Times New Roman"/>
          <w:sz w:val="17"/>
          <w:szCs w:val="17"/>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xml:space="preserve"> and obtain approval of the Minister prior to acquiring control of a “Canadian business” within the meaning of the </w:t>
      </w:r>
      <w:r>
        <w:rPr>
          <w:rFonts w:ascii="Times New Roman" w:cs="Times New Roman" w:eastAsia="Times New Roman" w:hAnsi="Times New Roman"/>
          <w:sz w:val="17"/>
          <w:szCs w:val="17"/>
          <w:i w:val="1"/>
          <w:iCs w:val="1"/>
          <w:color w:val="auto"/>
        </w:rPr>
        <w:t>Investment Canada Act</w:t>
      </w:r>
      <w:r>
        <w:rPr>
          <w:rFonts w:ascii="Times New Roman" w:cs="Times New Roman" w:eastAsia="Times New Roman" w:hAnsi="Times New Roman"/>
          <w:sz w:val="17"/>
          <w:szCs w:val="17"/>
          <w:color w:val="auto"/>
        </w:rPr>
        <w:t>, where prescribed financial thresholds are exceeded.</w:t>
      </w:r>
    </w:p>
    <w:p>
      <w:pPr>
        <w:spacing w:after="0" w:line="16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75" w:name="page76"/>
    <w:bookmarkEnd w:id="75"/>
    <w:p>
      <w:pPr>
        <w:jc w:val="both"/>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7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74">
                      <a:extLst>
                        <a:ext uri="{28A0092B-C50C-407E-A947-70E740481C1C}"/>
                      </a:extLst>
                    </a:blip>
                    <a:srcRect/>
                    <a:stretch>
                      <a:fillRect/>
                    </a:stretch>
                  </pic:blipFill>
                  <pic:spPr bwMode="auto">
                    <a:xfrm>
                      <a:off x="0" y="0"/>
                      <a:ext cx="5080" cy="13970"/>
                    </a:xfrm>
                    <a:prstGeom prst="rect">
                      <a:avLst/>
                    </a:prstGeom>
                    <a:noFill/>
                  </pic:spPr>
                </pic:pic>
              </a:graphicData>
            </a:graphic>
          </wp:anchor>
        </w:drawing>
        <w:t>Our Notice of Articles and Articles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62" w:lineRule="exact"/>
        <w:rPr>
          <w:sz w:val="20"/>
          <w:szCs w:val="20"/>
          <w:color w:val="auto"/>
        </w:rPr>
      </w:pPr>
    </w:p>
    <w:p>
      <w:pPr>
        <w:jc w:val="both"/>
        <w:ind w:firstLine="311"/>
        <w:spacing w:after="0" w:line="254" w:lineRule="auto"/>
        <w:rPr>
          <w:sz w:val="20"/>
          <w:szCs w:val="20"/>
          <w:color w:val="auto"/>
        </w:rPr>
      </w:pPr>
      <w:r>
        <w:rPr>
          <w:rFonts w:ascii="Times New Roman" w:cs="Times New Roman" w:eastAsia="Times New Roman" w:hAnsi="Times New Roman"/>
          <w:sz w:val="17"/>
          <w:szCs w:val="17"/>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w:t>
      </w:r>
    </w:p>
    <w:p>
      <w:pPr>
        <w:spacing w:after="0" w:line="2" w:lineRule="exact"/>
        <w:rPr>
          <w:sz w:val="20"/>
          <w:szCs w:val="20"/>
          <w:color w:val="auto"/>
        </w:rPr>
      </w:pPr>
    </w:p>
    <w:p>
      <w:pPr>
        <w:jc w:val="both"/>
        <w:ind w:firstLine="9"/>
        <w:spacing w:after="0" w:line="263" w:lineRule="auto"/>
        <w:tabs>
          <w:tab w:leader="none" w:pos="333"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6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6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61"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38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Our Notice and Articles permit us to issue an unlimited number of common shares and preferred shares without seeking approval of the holders of our common shares.</w:t>
      </w:r>
    </w:p>
    <w:p>
      <w:pPr>
        <w:spacing w:after="0" w:line="137"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Our Notice of Articles and Articles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160"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The TMC Notice of Articles and Articles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ectPr>
          <w:pgSz w:w="12240" w:h="15840" w:orient="portrait"/>
          <w:cols w:equalWidth="0" w:num="1">
            <w:col w:w="9620"/>
          </w:cols>
          <w:pgMar w:left="1320" w:top="1338" w:right="130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type w:val="continuous"/>
        </w:sectPr>
      </w:pPr>
    </w:p>
    <w:bookmarkStart w:id="76" w:name="page77"/>
    <w:bookmarkEnd w:id="76"/>
    <w:p>
      <w:pPr>
        <w:jc w:val="both"/>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7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76">
                      <a:extLst>
                        <a:ext uri="{28A0092B-C50C-407E-A947-70E740481C1C}"/>
                      </a:extLst>
                    </a:blip>
                    <a:srcRect/>
                    <a:stretch>
                      <a:fillRect/>
                    </a:stretch>
                  </pic:blipFill>
                  <pic:spPr bwMode="auto">
                    <a:xfrm>
                      <a:off x="0" y="0"/>
                      <a:ext cx="5080" cy="13970"/>
                    </a:xfrm>
                    <a:prstGeom prst="rect">
                      <a:avLst/>
                    </a:prstGeom>
                    <a:noFill/>
                  </pic:spPr>
                </pic:pic>
              </a:graphicData>
            </a:graphic>
          </wp:anchor>
        </w:drawing>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37"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 (i) would enforce judgments of U.S. courts obtained in actions against us or such persons predicated upon the civil liability provisions of the U.S. federal securities laws or the securities or blue-sky laws of any state within the U.S. or (ii) would enforce, in original actions, liabilities against us or such persons predicated upon the U.S. federal securities laws or any such state securities or blue-sky laws.</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NORI Contract Area</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information that follows relating to the NORI Contract Area of the CCZ is derived, for the most part, from, and in some instances is an extract from, the NORI Technical Report Summary prepared in compliance with the SEC Mining Rules. Portions of the following information are based on assumptions, qualifications and procedures which are not fully described herein. Reference should be made to the full text of the NORI Technical Report Summary, which has been filed as Exhibit 96.1 to this Annual Report on Form 10-K. The NORI Technical Report Summary is incorporated herein by reference and made a part hereof. In the event that we determine that any modifying factors, estimates and other scientific and technical information in the report materially change, we may update or file a new technical report in the future. The NORI Contract Area is an exploration stage property.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7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78">
                      <a:extLst>
                        <a:ext uri="{28A0092B-C50C-407E-A947-70E740481C1C}"/>
                      </a:extLst>
                    </a:blip>
                    <a:srcRect/>
                    <a:stretch>
                      <a:fillRect/>
                    </a:stretch>
                  </pic:blipFill>
                  <pic:spPr bwMode="auto">
                    <a:xfrm>
                      <a:off x="0" y="0"/>
                      <a:ext cx="5080" cy="13970"/>
                    </a:xfrm>
                    <a:prstGeom prst="rect">
                      <a:avLst/>
                    </a:prstGeom>
                    <a:noFill/>
                  </pic:spPr>
                </pic:pic>
              </a:graphicData>
            </a:graphic>
          </wp:anchor>
        </w:drawing>
        <w:t>Location of the NORI Area and access</w:t>
      </w:r>
    </w:p>
    <w:p>
      <w:pPr>
        <w:spacing w:after="0" w:line="218" w:lineRule="exact"/>
        <w:rPr>
          <w:sz w:val="20"/>
          <w:szCs w:val="20"/>
          <w:color w:val="auto"/>
        </w:rPr>
      </w:pPr>
    </w:p>
    <w:p>
      <w:pPr>
        <w:jc w:val="both"/>
        <w:ind w:firstLine="311"/>
        <w:spacing w:after="0" w:line="275" w:lineRule="auto"/>
        <w:rPr>
          <w:sz w:val="20"/>
          <w:szCs w:val="20"/>
          <w:color w:val="auto"/>
        </w:rPr>
      </w:pPr>
      <w:r>
        <w:rPr>
          <w:rFonts w:ascii="Times New Roman" w:cs="Times New Roman" w:eastAsia="Times New Roman" w:hAnsi="Times New Roman"/>
          <w:sz w:val="17"/>
          <w:szCs w:val="17"/>
          <w:color w:val="auto"/>
        </w:rPr>
        <w:t>The NORI Contract Area is located within the CCZ of the northeast Pacific Ocean. The CCZ is located in international waters between Hawaii and Mexico. The western-end of the CCZ is approximately 1,000 km south of the Hawaiian island group. From here, the CCZ extends almost 5,000 km east-northeast, in an approximately 600 km wide trend, with the eastern limits approximately 2,000 km west of southern Mexico. The region is well-located to ship nodules to the American continent or across the Pacific to Asian markets. The NORI Contract Area comprises four separate blocks (A, B, C and D) in the CCZ with a combined area of 74,830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27305</wp:posOffset>
            </wp:positionV>
            <wp:extent cx="4712970" cy="36544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79">
                      <a:extLst>
                        <a:ext uri="{28A0092B-C50C-407E-A947-70E740481C1C}"/>
                      </a:extLst>
                    </a:blip>
                    <a:srcRect/>
                    <a:stretch>
                      <a:fillRect/>
                    </a:stretch>
                  </pic:blipFill>
                  <pic:spPr bwMode="auto">
                    <a:xfrm>
                      <a:off x="0" y="0"/>
                      <a:ext cx="4712970" cy="365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NORI Contract Area extents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14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Maximum</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Minimum</w:t>
            </w:r>
          </w:p>
        </w:tc>
        <w:tc>
          <w:tcPr>
            <w:tcW w:w="1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4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UTM</w:t>
            </w:r>
          </w:p>
        </w:tc>
        <w:tc>
          <w:tcPr>
            <w:tcW w:w="0" w:type="dxa"/>
            <w:vAlign w:val="bottom"/>
          </w:tcPr>
          <w:p>
            <w:pPr>
              <w:spacing w:after="0"/>
              <w:rPr>
                <w:sz w:val="1"/>
                <w:szCs w:val="1"/>
                <w:color w:val="auto"/>
              </w:rPr>
            </w:pPr>
          </w:p>
        </w:tc>
      </w:tr>
      <w:tr>
        <w:trPr>
          <w:trHeight w:val="143"/>
        </w:trPr>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Latitude</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Latitude</w:t>
            </w:r>
          </w:p>
        </w:tc>
        <w:tc>
          <w:tcPr>
            <w:tcW w:w="98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rPr>
              <w:t>Longitude</w:t>
            </w:r>
          </w:p>
        </w:tc>
        <w:tc>
          <w:tcPr>
            <w:tcW w:w="9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Longitude</w:t>
            </w:r>
          </w:p>
        </w:tc>
        <w:tc>
          <w:tcPr>
            <w:tcW w:w="7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X</w:t>
            </w:r>
          </w:p>
        </w:tc>
        <w:tc>
          <w:tcPr>
            <w:tcW w:w="140" w:type="dxa"/>
            <w:vAlign w:val="bottom"/>
          </w:tcPr>
          <w:p>
            <w:pPr>
              <w:spacing w:after="0"/>
              <w:rPr>
                <w:sz w:val="12"/>
                <w:szCs w:val="12"/>
                <w:color w:val="auto"/>
              </w:rPr>
            </w:pPr>
          </w:p>
        </w:tc>
        <w:tc>
          <w:tcPr>
            <w:tcW w:w="7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X</w:t>
            </w: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4"/>
              </w:rPr>
              <w:t>UTM Y</w:t>
            </w: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60" w:type="dxa"/>
            <w:vAlign w:val="bottom"/>
            <w:gridSpan w:val="3"/>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(DD)</w:t>
            </w: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(DD)</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(DD)</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14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Zone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A</w:t>
            </w:r>
          </w:p>
        </w:tc>
        <w:tc>
          <w:tcPr>
            <w:tcW w:w="140" w:type="dxa"/>
            <w:vAlign w:val="bottom"/>
            <w:tcBorders>
              <w:top w:val="single" w:sz="8" w:color="C7EAF2"/>
            </w:tcBorders>
            <w:shd w:val="clear" w:color="auto" w:fill="C7EAF2"/>
          </w:tcPr>
          <w:p>
            <w:pPr>
              <w:spacing w:after="0"/>
              <w:rPr>
                <w:sz w:val="17"/>
                <w:szCs w:val="17"/>
                <w:color w:val="auto"/>
              </w:rPr>
            </w:pPr>
          </w:p>
        </w:tc>
        <w:tc>
          <w:tcPr>
            <w:tcW w:w="6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11.5000</w:t>
            </w:r>
          </w:p>
        </w:tc>
        <w:tc>
          <w:tcPr>
            <w:tcW w:w="140" w:type="dxa"/>
            <w:vAlign w:val="bottom"/>
            <w:tcBorders>
              <w:top w:val="single" w:sz="8" w:color="C7EAF2"/>
            </w:tcBorders>
            <w:shd w:val="clear" w:color="auto" w:fill="C7EAF2"/>
          </w:tcPr>
          <w:p>
            <w:pPr>
              <w:spacing w:after="0"/>
              <w:rPr>
                <w:sz w:val="17"/>
                <w:szCs w:val="17"/>
                <w:color w:val="auto"/>
              </w:rPr>
            </w:pPr>
          </w:p>
        </w:tc>
        <w:tc>
          <w:tcPr>
            <w:tcW w:w="7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40" w:type="dxa"/>
            <w:vAlign w:val="bottom"/>
            <w:tcBorders>
              <w:top w:val="single" w:sz="8" w:color="C7EAF2"/>
            </w:tcBorders>
            <w:shd w:val="clear" w:color="auto" w:fill="C7EAF2"/>
          </w:tcPr>
          <w:p>
            <w:pPr>
              <w:spacing w:after="0"/>
              <w:rPr>
                <w:sz w:val="17"/>
                <w:szCs w:val="17"/>
                <w:color w:val="auto"/>
              </w:rPr>
            </w:pPr>
          </w:p>
        </w:tc>
        <w:tc>
          <w:tcPr>
            <w:tcW w:w="8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(134.5830)</w:t>
            </w:r>
          </w:p>
        </w:tc>
        <w:tc>
          <w:tcPr>
            <w:tcW w:w="160" w:type="dxa"/>
            <w:vAlign w:val="bottom"/>
            <w:tcBorders>
              <w:top w:val="single" w:sz="8" w:color="C7EAF2"/>
            </w:tcBorders>
            <w:shd w:val="clear" w:color="auto" w:fill="C7EAF2"/>
          </w:tcPr>
          <w:p>
            <w:pPr>
              <w:spacing w:after="0"/>
              <w:rPr>
                <w:sz w:val="17"/>
                <w:szCs w:val="17"/>
                <w:color w:val="auto"/>
              </w:rPr>
            </w:pPr>
          </w:p>
        </w:tc>
        <w:tc>
          <w:tcPr>
            <w:tcW w:w="8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(133.8330)</w:t>
            </w:r>
          </w:p>
        </w:tc>
        <w:tc>
          <w:tcPr>
            <w:tcW w:w="140" w:type="dxa"/>
            <w:vAlign w:val="bottom"/>
            <w:tcBorders>
              <w:top w:val="single" w:sz="8" w:color="C7EAF2"/>
            </w:tcBorders>
            <w:shd w:val="clear" w:color="auto" w:fill="C7EAF2"/>
          </w:tcPr>
          <w:p>
            <w:pPr>
              <w:spacing w:after="0"/>
              <w:rPr>
                <w:sz w:val="17"/>
                <w:szCs w:val="17"/>
                <w:color w:val="auto"/>
              </w:rPr>
            </w:pPr>
          </w:p>
        </w:tc>
        <w:tc>
          <w:tcPr>
            <w:tcW w:w="72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545220.4</w:t>
            </w:r>
          </w:p>
        </w:tc>
        <w:tc>
          <w:tcPr>
            <w:tcW w:w="140" w:type="dxa"/>
            <w:vAlign w:val="bottom"/>
            <w:tcBorders>
              <w:top w:val="single" w:sz="8" w:color="C7EAF2"/>
            </w:tcBorders>
            <w:shd w:val="clear" w:color="auto" w:fill="C7EAF2"/>
          </w:tcPr>
          <w:p>
            <w:pPr>
              <w:spacing w:after="0"/>
              <w:rPr>
                <w:sz w:val="17"/>
                <w:szCs w:val="17"/>
                <w:color w:val="auto"/>
              </w:rPr>
            </w:pPr>
          </w:p>
        </w:tc>
        <w:tc>
          <w:tcPr>
            <w:tcW w:w="72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627276.0</w:t>
            </w:r>
          </w:p>
        </w:tc>
        <w:tc>
          <w:tcPr>
            <w:tcW w:w="140" w:type="dxa"/>
            <w:vAlign w:val="bottom"/>
            <w:tcBorders>
              <w:top w:val="single" w:sz="8" w:color="C7EAF2"/>
            </w:tcBorders>
            <w:shd w:val="clear" w:color="auto" w:fill="C7EAF2"/>
          </w:tcPr>
          <w:p>
            <w:pPr>
              <w:spacing w:after="0"/>
              <w:rPr>
                <w:sz w:val="17"/>
                <w:szCs w:val="17"/>
                <w:color w:val="auto"/>
              </w:rPr>
            </w:pPr>
          </w:p>
        </w:tc>
        <w:tc>
          <w:tcPr>
            <w:tcW w:w="70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1271339</w:t>
            </w:r>
          </w:p>
        </w:tc>
        <w:tc>
          <w:tcPr>
            <w:tcW w:w="140" w:type="dxa"/>
            <w:vAlign w:val="bottom"/>
            <w:tcBorders>
              <w:top w:val="single" w:sz="8" w:color="C7EAF2"/>
            </w:tcBorders>
            <w:shd w:val="clear" w:color="auto" w:fill="C7EAF2"/>
          </w:tcPr>
          <w:p>
            <w:pPr>
              <w:spacing w:after="0"/>
              <w:rPr>
                <w:sz w:val="17"/>
                <w:szCs w:val="17"/>
                <w:color w:val="auto"/>
              </w:rPr>
            </w:pPr>
          </w:p>
        </w:tc>
        <w:tc>
          <w:tcPr>
            <w:tcW w:w="68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1437255</w:t>
            </w:r>
          </w:p>
        </w:tc>
        <w:tc>
          <w:tcPr>
            <w:tcW w:w="140" w:type="dxa"/>
            <w:vAlign w:val="bottom"/>
            <w:tcBorders>
              <w:top w:val="single" w:sz="8" w:color="C7EAF2"/>
            </w:tcBorders>
            <w:shd w:val="clear" w:color="auto" w:fill="C7EAF2"/>
          </w:tcPr>
          <w:p>
            <w:pPr>
              <w:spacing w:after="0"/>
              <w:rPr>
                <w:sz w:val="17"/>
                <w:szCs w:val="17"/>
                <w:color w:val="auto"/>
              </w:rPr>
            </w:pPr>
          </w:p>
        </w:tc>
        <w:tc>
          <w:tcPr>
            <w:tcW w:w="3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14.00000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(134.0000)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(133.2000)</w:t>
            </w:r>
          </w:p>
        </w:tc>
        <w:tc>
          <w:tcPr>
            <w:tcW w:w="14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607995.7</w:t>
            </w:r>
          </w:p>
        </w:tc>
        <w:tc>
          <w:tcPr>
            <w:tcW w:w="8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694759.8</w:t>
            </w:r>
          </w:p>
        </w:tc>
        <w:tc>
          <w:tcPr>
            <w:tcW w:w="8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1501590</w:t>
            </w:r>
          </w:p>
        </w:tc>
        <w:tc>
          <w:tcPr>
            <w:tcW w:w="14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1548425</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24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w:t>
            </w:r>
          </w:p>
        </w:tc>
        <w:tc>
          <w:tcPr>
            <w:tcW w:w="6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9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14.93500</w:t>
            </w:r>
          </w:p>
        </w:tc>
        <w:tc>
          <w:tcPr>
            <w:tcW w:w="140" w:type="dxa"/>
            <w:vAlign w:val="bottom"/>
            <w:shd w:val="clear" w:color="auto" w:fill="C7EAF2"/>
          </w:tcPr>
          <w:p>
            <w:pPr>
              <w:spacing w:after="0"/>
              <w:rPr>
                <w:sz w:val="18"/>
                <w:szCs w:val="18"/>
                <w:color w:val="auto"/>
              </w:rPr>
            </w:pPr>
          </w:p>
        </w:tc>
        <w:tc>
          <w:tcPr>
            <w:tcW w:w="8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(123.0000)</w:t>
            </w:r>
          </w:p>
        </w:tc>
        <w:tc>
          <w:tcPr>
            <w:tcW w:w="160" w:type="dxa"/>
            <w:vAlign w:val="bottom"/>
            <w:shd w:val="clear" w:color="auto" w:fill="C7EAF2"/>
          </w:tcPr>
          <w:p>
            <w:pPr>
              <w:spacing w:after="0"/>
              <w:rPr>
                <w:sz w:val="18"/>
                <w:szCs w:val="18"/>
                <w:color w:val="auto"/>
              </w:rPr>
            </w:pPr>
          </w:p>
        </w:tc>
        <w:tc>
          <w:tcPr>
            <w:tcW w:w="8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(120.5000)</w:t>
            </w:r>
          </w:p>
        </w:tc>
        <w:tc>
          <w:tcPr>
            <w:tcW w:w="140" w:type="dxa"/>
            <w:vAlign w:val="bottom"/>
            <w:shd w:val="clear" w:color="auto" w:fill="C7EAF2"/>
          </w:tcPr>
          <w:p>
            <w:pPr>
              <w:spacing w:after="0"/>
              <w:rPr>
                <w:sz w:val="18"/>
                <w:szCs w:val="18"/>
                <w:color w:val="auto"/>
              </w:rPr>
            </w:pPr>
          </w:p>
        </w:tc>
        <w:tc>
          <w:tcPr>
            <w:tcW w:w="72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500000.0</w:t>
            </w:r>
          </w:p>
        </w:tc>
        <w:tc>
          <w:tcPr>
            <w:tcW w:w="860" w:type="dxa"/>
            <w:vAlign w:val="bottom"/>
            <w:gridSpan w:val="2"/>
            <w:shd w:val="clear" w:color="auto" w:fill="C7EAF2"/>
          </w:tcPr>
          <w:p>
            <w:pPr>
              <w:jc w:val="center"/>
              <w:ind w:left="14"/>
              <w:spacing w:after="0"/>
              <w:rPr>
                <w:sz w:val="20"/>
                <w:szCs w:val="20"/>
                <w:color w:val="auto"/>
              </w:rPr>
            </w:pPr>
            <w:r>
              <w:rPr>
                <w:rFonts w:ascii="Times New Roman" w:cs="Times New Roman" w:eastAsia="Times New Roman" w:hAnsi="Times New Roman"/>
                <w:sz w:val="17"/>
                <w:szCs w:val="17"/>
                <w:color w:val="auto"/>
              </w:rPr>
              <w:t>769458.3</w:t>
            </w:r>
          </w:p>
        </w:tc>
        <w:tc>
          <w:tcPr>
            <w:tcW w:w="840" w:type="dxa"/>
            <w:vAlign w:val="bottom"/>
            <w:gridSpan w:val="2"/>
            <w:shd w:val="clear" w:color="auto" w:fill="C7EAF2"/>
          </w:tcPr>
          <w:p>
            <w:pPr>
              <w:jc w:val="center"/>
              <w:ind w:left="14"/>
              <w:spacing w:after="0"/>
              <w:rPr>
                <w:sz w:val="20"/>
                <w:szCs w:val="20"/>
                <w:color w:val="auto"/>
              </w:rPr>
            </w:pPr>
            <w:r>
              <w:rPr>
                <w:rFonts w:ascii="Times New Roman" w:cs="Times New Roman" w:eastAsia="Times New Roman" w:hAnsi="Times New Roman"/>
                <w:sz w:val="17"/>
                <w:szCs w:val="17"/>
                <w:color w:val="auto"/>
              </w:rPr>
              <w:t>1326941</w:t>
            </w:r>
          </w:p>
        </w:tc>
        <w:tc>
          <w:tcPr>
            <w:tcW w:w="140" w:type="dxa"/>
            <w:vAlign w:val="bottom"/>
            <w:shd w:val="clear" w:color="auto" w:fill="C7EAF2"/>
          </w:tcPr>
          <w:p>
            <w:pPr>
              <w:spacing w:after="0"/>
              <w:rPr>
                <w:sz w:val="18"/>
                <w:szCs w:val="18"/>
                <w:color w:val="auto"/>
              </w:rPr>
            </w:pPr>
          </w:p>
        </w:tc>
        <w:tc>
          <w:tcPr>
            <w:tcW w:w="68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1652649</w:t>
            </w:r>
          </w:p>
        </w:tc>
        <w:tc>
          <w:tcPr>
            <w:tcW w:w="140" w:type="dxa"/>
            <w:vAlign w:val="bottom"/>
            <w:shd w:val="clear" w:color="auto" w:fill="C7EAF2"/>
          </w:tcPr>
          <w:p>
            <w:pPr>
              <w:spacing w:after="0"/>
              <w:rPr>
                <w:sz w:val="18"/>
                <w:szCs w:val="18"/>
                <w:color w:val="auto"/>
              </w:rPr>
            </w:pPr>
          </w:p>
        </w:tc>
        <w:tc>
          <w:tcPr>
            <w:tcW w:w="3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9.8950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11.08333</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(117.8167)</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(116.0667)</w:t>
            </w:r>
          </w:p>
        </w:tc>
        <w:tc>
          <w:tcPr>
            <w:tcW w:w="1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410465.2</w:t>
            </w:r>
          </w:p>
        </w:tc>
        <w:tc>
          <w:tcPr>
            <w:tcW w:w="86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602326.1</w:t>
            </w:r>
          </w:p>
        </w:tc>
        <w:tc>
          <w:tcPr>
            <w:tcW w:w="84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1093913</w:t>
            </w:r>
          </w:p>
        </w:tc>
        <w:tc>
          <w:tcPr>
            <w:tcW w:w="14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1225353</w:t>
            </w:r>
          </w:p>
        </w:tc>
        <w:tc>
          <w:tcPr>
            <w:tcW w:w="1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w:t>
            </w:r>
          </w:p>
        </w:tc>
        <w:tc>
          <w:tcPr>
            <w:tcW w:w="0" w:type="dxa"/>
            <w:vAlign w:val="bottom"/>
          </w:tcPr>
          <w:p>
            <w:pPr>
              <w:spacing w:after="0"/>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DD — Decimal degrees, UTM — Universal Transverse Mercator map projection</w:t>
      </w:r>
    </w:p>
    <w:p>
      <w:pPr>
        <w:spacing w:after="0" w:line="220"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Section 3 of the NORI Technical Report Summary for further specific information of the location of the NORI Contract Area.</w:t>
      </w:r>
    </w:p>
    <w:p>
      <w:pPr>
        <w:sectPr>
          <w:pgSz w:w="12240" w:h="15840" w:orient="portrait"/>
          <w:cols w:equalWidth="0" w:num="1">
            <w:col w:w="9620"/>
          </w:cols>
          <w:pgMar w:left="1320" w:top="1338" w:right="130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80">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81">
                      <a:extLst>
                        <a:ext uri="{28A0092B-C50C-407E-A947-70E740481C1C}"/>
                      </a:extLst>
                    </a:blip>
                    <a:srcRect/>
                    <a:stretch>
                      <a:fillRect/>
                    </a:stretch>
                  </pic:blipFill>
                  <pic:spPr bwMode="auto">
                    <a:xfrm>
                      <a:off x="0" y="0"/>
                      <a:ext cx="5080" cy="13970"/>
                    </a:xfrm>
                    <a:prstGeom prst="rect">
                      <a:avLst/>
                    </a:prstGeom>
                    <a:noFill/>
                  </pic:spPr>
                </pic:pic>
              </a:graphicData>
            </a:graphic>
          </wp:anchor>
        </w:drawing>
        <w:t>Tenements and permits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See Business-Government Regulations-The NORI Exploration Contract, Business-Government Regulations-The NORI Sponsorship Agreement and Business-Government Regulations- International Seabed Authority above for information related to tenements and permits in the NORI Contract Area.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NORI obligations and sponsorship</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Business-Government Regulations-The NORI Exploration Contract, Business-Government Regulations-The NORI Sponsorship Agreement above for information related to this agreement in the NORI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Royalties and taxes</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 -Government Regulations-Royalties and taxes above for information with respect to our obligations for royalties and taxes in the NORI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History of previous exploration activities in the NORI Contract Area</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self-propelled and several towed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6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NORI Area D was originally explored by Arbeitsgemeinschaft Meerestechnisch Rohstoffe (“AMR”). AMR subsequently joined Ocean Management Inc. (“OMI”). The OMI consortium comprised Inco Ltd (Canada), AMR (Federal Republic of Germany), SEDCO Inc. (US), and Deep Ocean Mining Co. Ltd (Japan). OMI completed a successful trial collection operation in 1978. Hydraulic pumps, an air lift system, and towed collectors were tested in approximately 4,500 m of water. Approximately 800 tonnes of nodules were recovered.</w:t>
      </w:r>
    </w:p>
    <w:p>
      <w:pPr>
        <w:spacing w:after="0" w:line="16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Kennecott consortium (now a division of Rio Tinto) first became seriously interested in seafloor polymetallic nodules in 1962 (Agarwal et al. 1979). In the 1970s, Kennecott developed and tested components and subsystems of a seafloor collection system, and also carried out significant polymetallic nodule metallurgical processing test work.</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Using a different system to OMI, Ocean Mining Associates recovered approximately 500 tonnes of nodules during its trial collection in the 1970s.</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Between 1969 and 1974, Deepsea Ventures Inc. carried out 16 survey cruises of three to four weeks’ duration each, to define the extent of the polymetallic nodule deposit discovered by them in 1969 in the CCZ. As reported by Deepsea Ventures Inc.:</w:t>
      </w:r>
    </w:p>
    <w:p>
      <w:pPr>
        <w:spacing w:after="0" w:line="1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“These activities included the taking of some 294 discrete samples, including the bulk dredging of some 164 tons of manganese nodules from some 263 dredge stations, 28 core stations and three grab sample stations, cutting of some 28 cores, approximately 1000 lineal miles of survey of seafloor recorded by television and still photography, etc. As a result, the deposit of nodules identified with the discovery has been proved to extend generally throughout the entire area (American Society of International Law, 1975).”</w:t>
      </w:r>
    </w:p>
    <w:p>
      <w:pPr>
        <w:spacing w:after="0" w:line="161"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Also active in the CCZ was the Ocean Minerals Company (“OMCO”), comprising Amoco Minerals Co. (United States), Lockheed Missiles and Space Company Inc. (United States), Billiton International Metals BV, and dredging company Bos Kalis Westminster (Netherlands). In a program lasting 16 years, OMCO collected thousands of free-fall grab and box core samples of nodules from its claim area and carried out trial collection operations. Lockheed’s design efforts resulted in over 80 patents, a seafloor production system that consisted of a remote-controlled collector and crusher, a seafloor to surface slurry riser system, the first industrial-scale dynamic positioning system for a vessel, and a metallurgical processing plant.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79" w:name="page80"/>
    <w:bookmarkEnd w:id="79"/>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8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83">
                      <a:extLst>
                        <a:ext uri="{28A0092B-C50C-407E-A947-70E740481C1C}"/>
                      </a:extLst>
                    </a:blip>
                    <a:srcRect/>
                    <a:stretch>
                      <a:fillRect/>
                    </a:stretch>
                  </pic:blipFill>
                  <pic:spPr bwMode="auto">
                    <a:xfrm>
                      <a:off x="0" y="0"/>
                      <a:ext cx="5080" cy="13970"/>
                    </a:xfrm>
                    <a:prstGeom prst="rect">
                      <a:avLst/>
                    </a:prstGeom>
                    <a:noFill/>
                  </pic:spPr>
                </pic:pic>
              </a:graphicData>
            </a:graphic>
          </wp:anchor>
        </w:drawing>
        <w:t>Upon making an application, the pioneer investors were required to submit sufficient data and information to enable designation of a reserved area based on the estimated commercial value. These sample data provide the basis of a database held by the ISA and were used initially to define the areas of the NORI application.</w:t>
      </w:r>
    </w:p>
    <w:p>
      <w:pPr>
        <w:spacing w:after="0" w:line="155"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See Section 5 of the NORI Technical Report Summary for further specific information of the history of previous exploration of the NORI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Geology and sampling</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Seafloor polymetallic nodules occur in all oceans, but the CCZ hosts a relatively high abundance of high Ni and Cu grade nodules.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CCZ seafloor forms part of the Abyssal Plains, which are the largest physiographic province on Earth.</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average depth of the seafloor in the Project Area is 3,800 to 4,200 m. Overall, the seafloor slopes at approximately 0.57˚ (1 m per km) but the Abyssal Plains are traversed by ridges, with amplitude of 50 to 300 m (maximum 1,000 m) and wavelength of 1 to 10 km. The Abyssal Plains are punctuated by extinct volcanoes rising 500 to 2,000 m above the seafloor.</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Nodules are abundant in abyssal areas with oxygenated bottom waters and low sedimentation rates (less than 10 cm per thousand years). Nodules generally range from about 1 to 12 cm in their longest dimension. Nodules of 1 to 5 cm are typically the most common in NORI Area D, where they have been classified as Type 1 nodules.</w:t>
      </w:r>
    </w:p>
    <w:p>
      <w:pPr>
        <w:spacing w:after="0" w:line="155" w:lineRule="exact"/>
        <w:rPr>
          <w:sz w:val="20"/>
          <w:szCs w:val="20"/>
          <w:color w:val="auto"/>
        </w:rPr>
      </w:pPr>
    </w:p>
    <w:p>
      <w:pPr>
        <w:jc w:val="both"/>
        <w:ind w:right="20" w:firstLine="310"/>
        <w:spacing w:after="0" w:line="298" w:lineRule="auto"/>
        <w:rPr>
          <w:sz w:val="20"/>
          <w:szCs w:val="20"/>
          <w:color w:val="auto"/>
        </w:rPr>
      </w:pPr>
      <w:r>
        <w:rPr>
          <w:rFonts w:ascii="Times New Roman" w:cs="Times New Roman" w:eastAsia="Times New Roman" w:hAnsi="Times New Roman"/>
          <w:sz w:val="17"/>
          <w:szCs w:val="17"/>
          <w:color w:val="auto"/>
        </w:rPr>
        <w:t>The specific conditions of the CCZ (water depth, latitude, and seafloor sediment type) are considered to be the key controls for the formation of polymetallic nodules.</w:t>
      </w:r>
    </w:p>
    <w:p>
      <w:pPr>
        <w:spacing w:after="0" w:line="137"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Information on the mineralization within NORI Area D comprises a combination of sampling undertaken by NORI as well as free-fall grab sampler (“FFG”) and box core sampler (“BC”) data supplied by the ISA at the time of the NORI application and also supplied by the ISA to NORI in 2012. Additional regional data, assembled by the ISA as part of its Geological Model Project during 2008 to 2010 (“ISA 2010”), are available. The data provide significant coverage over NORI Area D and indicate a high abundance of nodules in this region, as has been confirmed by NORI’s exploration.</w:t>
      </w:r>
    </w:p>
    <w:p>
      <w:pPr>
        <w:spacing w:after="0" w:line="165"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During the 2018 NORI campaign, 91% of nodules sampled were situated at surface. These include nodules on the surface and nodules with their top surfaces in the upper 1 cm of sediment. A few nodules were found at depth; most of these were usually clustered around the edges of the box core and are considered to have been pushed below surface by the box coring process. Significant nodule abundance below surface was only recorded in one out of 45 samples. The nodules vary in abundance, in some cases touching one another and covering more than 70% of the seafloor. They can occur at any depth, but the highest concentrations have been found on abyssal plains between 4,000 and 6,000 mbsl. Data analysis in Section 9 of the NORI Technical Report Summary shows that nodule abundance variability is significantly higher than metal grades, suggesting that abundance estimation will be the key variable in mineral resource estimation.</w:t>
      </w:r>
    </w:p>
    <w:p>
      <w:pPr>
        <w:spacing w:after="0" w:line="378" w:lineRule="exact"/>
        <w:rPr>
          <w:sz w:val="20"/>
          <w:szCs w:val="20"/>
          <w:color w:val="auto"/>
        </w:rPr>
      </w:pPr>
    </w:p>
    <w:p>
      <w:pPr>
        <w:jc w:val="both"/>
        <w:ind w:firstLine="312"/>
        <w:spacing w:after="0" w:line="299" w:lineRule="auto"/>
        <w:rPr>
          <w:sz w:val="20"/>
          <w:szCs w:val="20"/>
          <w:color w:val="auto"/>
        </w:rPr>
      </w:pPr>
      <w:r>
        <w:rPr>
          <w:rFonts w:ascii="Times New Roman" w:cs="Times New Roman" w:eastAsia="Times New Roman" w:hAnsi="Times New Roman"/>
          <w:sz w:val="17"/>
          <w:szCs w:val="17"/>
          <w:color w:val="auto"/>
        </w:rPr>
        <w:t>NORI completed offshore exploration campaigns in 2012, 2013, 2018, 2019 and 2020. During these campaigns a variety of data was collected including:</w:t>
      </w:r>
    </w:p>
    <w:p>
      <w:pPr>
        <w:spacing w:after="0" w:line="135" w:lineRule="exact"/>
        <w:rPr>
          <w:sz w:val="20"/>
          <w:szCs w:val="20"/>
          <w:color w:val="auto"/>
        </w:rPr>
      </w:pPr>
    </w:p>
    <w:p>
      <w:pPr>
        <w:ind w:left="660" w:right="300" w:hanging="314"/>
        <w:spacing w:after="0" w:line="276"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bathymetric mapping of most of NORI Areas A, B and C and all of NORI Area D using a hull-mounted Kongsberg Simrad EM120 12 kHz, full-ocean depth multibeam echo-sounding system (MBES). This system also provided backscatter data with which seafloor characteristics could be interpreted;</w:t>
      </w:r>
    </w:p>
    <w:p>
      <w:pPr>
        <w:spacing w:after="0" w:line="155" w:lineRule="exact"/>
        <w:rPr>
          <w:rFonts w:ascii="Times New Roman" w:cs="Times New Roman" w:eastAsia="Times New Roman" w:hAnsi="Times New Roman"/>
          <w:sz w:val="17"/>
          <w:szCs w:val="17"/>
          <w:color w:val="auto"/>
        </w:rPr>
      </w:pPr>
    </w:p>
    <w:p>
      <w:pPr>
        <w:ind w:left="660" w:right="120" w:hanging="314"/>
        <w:spacing w:after="0" w:line="298"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detailed seafloor survey work with an autonomous underwater vehicle (AUV), utilizing an MBES, Side Scan Sonar (SSS), Sub-Bottom Profiler (SBP), and camera payload; and</w:t>
      </w:r>
    </w:p>
    <w:p>
      <w:pPr>
        <w:spacing w:after="0" w:line="129" w:lineRule="exact"/>
        <w:rPr>
          <w:rFonts w:ascii="Times New Roman" w:cs="Times New Roman" w:eastAsia="Times New Roman" w:hAnsi="Times New Roman"/>
          <w:sz w:val="17"/>
          <w:szCs w:val="17"/>
          <w:color w:val="auto"/>
        </w:rPr>
      </w:pPr>
    </w:p>
    <w:p>
      <w:pPr>
        <w:ind w:left="660" w:right="440" w:hanging="314"/>
        <w:spacing w:after="0" w:line="221" w:lineRule="auto"/>
        <w:tabs>
          <w:tab w:leader="none" w:pos="6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total of 252 box core samples collected using a 0.75 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box corer, mainly on a 10 km by 10 km square grid were used for resource evaluation.</w:t>
      </w:r>
    </w:p>
    <w:p>
      <w:pPr>
        <w:sectPr>
          <w:pgSz w:w="12240" w:h="15840" w:orient="portrait"/>
          <w:cols w:equalWidth="0" w:num="1">
            <w:col w:w="9620"/>
          </w:cols>
          <w:pgMar w:left="1320" w:top="1337" w:right="130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80" w:name="page81"/>
    <w:bookmarkEnd w:id="80"/>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84">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85">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nodules in the box cores were collected, and their characteristics measured and recorded in detail. Samples of nodules were collected in duplicate and assayed at two reputable, well-qualified laboratories: ALS and Bureau Veritas. Certified reference material, and blank samples were inserted to provide additional levels of quality control. No significant issues were identified with the assay results.</w:t>
      </w:r>
    </w:p>
    <w:p>
      <w:pPr>
        <w:spacing w:after="0" w:line="15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backscatter data and the sidescan sonar and seafloor photography indicate strong continuity of nodule abundance across NORI Area D. There is a clear relationship between nodule long axis length and nodule weight and therefore it is possible to estimate nodule abundance from photographs. Several estimation techniques were tested, and methodologies were developed that are suitable for closely-packed (Type 1) and less closely-packed (Type 2 and 3) nodules.</w:t>
      </w:r>
    </w:p>
    <w:p>
      <w:pPr>
        <w:spacing w:after="0" w:line="160"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For more information about the NORI exploration campaigns in 2012, 2013, 2018, 2019 and 2020, see Section 7 of the NORI Technical Report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resource estimate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Mineral resources were estimated using a two-dimensional block model. Estimates of nodule abundance and nickel, manganese, cobalt, and copper grades were performed using kriging. A variety of methods was used to validate the estimates, including conditional simulation. The estimates of nodule abundance were used to calculate the tonnage of the mineral resources.</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bathymetric mapping enabled the interpretation of parts of seafloor that are possibly too steep for recovery of nodules using the systems considered by the NORI Technical Report Summary. Seafloor areas with slopes steeper than 6° were excised from the mineral resource estimate.</w:t>
      </w:r>
    </w:p>
    <w:p>
      <w:pPr>
        <w:spacing w:after="0" w:line="155"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The measured mineral resource was assigned to the area within NORI Area D where box-core sampling was conducted on a nominal 7 km by 7 km spacing and infilled with estimates of nodule abundance from seafloor photography to a spacing of 3.5 km by 3.5 km.</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indicated mineral resource was assigned to the area within NORI Area D where box-core sampling was conducted on a nominal spacing of 7 km by 7 km or 10 km by 10 km but without additional photo-estimates of nodule abundance.</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inferred mineral resource was assigned to the areas of abyssal plain in the southeast corner of NORI Area D that are largely unsampled. The volcanic high in the southeast corner was excluded from the mineral resource estimate due to the high level of uncertainty about nodule abundance and grades in this domain.</w:t>
      </w:r>
    </w:p>
    <w:p>
      <w:pPr>
        <w:spacing w:after="0" w:line="148" w:lineRule="exact"/>
        <w:rPr>
          <w:sz w:val="20"/>
          <w:szCs w:val="20"/>
          <w:color w:val="auto"/>
        </w:rPr>
      </w:pPr>
    </w:p>
    <w:p>
      <w:pPr>
        <w:jc w:val="both"/>
        <w:ind w:firstLine="312"/>
        <w:spacing w:after="0"/>
        <w:rPr>
          <w:sz w:val="20"/>
          <w:szCs w:val="20"/>
          <w:color w:val="auto"/>
        </w:rPr>
      </w:pPr>
      <w:r>
        <w:rPr>
          <w:rFonts w:ascii="Times New Roman" w:cs="Times New Roman" w:eastAsia="Times New Roman" w:hAnsi="Times New Roman"/>
          <w:sz w:val="17"/>
          <w:szCs w:val="17"/>
          <w:color w:val="auto"/>
        </w:rPr>
        <w:t>The mineral resource estimate for NORI Area D at a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cut-off is set forth below. This cut-off is derived from the estimates of costs and revenues presented in the NORI Technical Report Summary, generalized as follows: 1.7 Mt minimum annual tonnage mined; $0.25 million/km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for offshore operating costs; 1,036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method of calculation for the cut-off determines the minimum average nodule abundance needed during steady state operations such that the revenue minus costs (excluding capital) is greater than zero. Revenue includes metal pricing and metallurgical processing recoveries, and the costs include the collection, transport, processing, corporate costs and royalties.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81" w:name="page82"/>
    <w:bookmarkEnd w:id="81"/>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86">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87">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estimated mineral resources were determined in 2021 as of December 31, 2020 and also reflect the estimated mineral resources as of December 31, 2022, as none of the mineral resources in these areas were depleted by mining or any other activities.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NORI December 31, 2022 In-Situ Mineral Resource estimate for NORI Area D at 4 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abundance cut-off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NORI Area</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40" w:type="dxa"/>
            <w:vAlign w:val="bottom"/>
          </w:tcPr>
          <w:p>
            <w:pPr>
              <w:spacing w:after="0"/>
              <w:rPr>
                <w:sz w:val="13"/>
                <w:szCs w:val="13"/>
                <w:color w:val="auto"/>
              </w:rPr>
            </w:pPr>
          </w:p>
        </w:tc>
        <w:tc>
          <w:tcPr>
            <w:tcW w:w="6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Tonnes</w:t>
            </w:r>
          </w:p>
        </w:tc>
        <w:tc>
          <w:tcPr>
            <w:tcW w:w="9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Nickel</w:t>
            </w:r>
          </w:p>
        </w:tc>
        <w:tc>
          <w:tcPr>
            <w:tcW w:w="14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Copper</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Cobalt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Manganese</w:t>
            </w:r>
          </w:p>
        </w:tc>
        <w:tc>
          <w:tcPr>
            <w:tcW w:w="5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Silicon</w:t>
            </w:r>
          </w:p>
        </w:tc>
        <w:tc>
          <w:tcPr>
            <w:tcW w:w="0" w:type="dxa"/>
            <w:vAlign w:val="bottom"/>
          </w:tcPr>
          <w:p>
            <w:pPr>
              <w:spacing w:after="0"/>
              <w:rPr>
                <w:sz w:val="1"/>
                <w:szCs w:val="1"/>
                <w:color w:val="auto"/>
              </w:rPr>
            </w:pPr>
          </w:p>
        </w:tc>
      </w:tr>
      <w:tr>
        <w:trPr>
          <w:trHeight w:val="168"/>
        </w:trPr>
        <w:tc>
          <w:tcPr>
            <w:tcW w:w="3340" w:type="dxa"/>
            <w:vAlign w:val="bottom"/>
            <w:gridSpan w:val="3"/>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(Mt (wet))</w:t>
            </w:r>
          </w:p>
        </w:tc>
        <w:tc>
          <w:tcPr>
            <w:tcW w:w="960" w:type="dxa"/>
            <w:vAlign w:val="bottom"/>
            <w:gridSpan w:val="3"/>
          </w:tcPr>
          <w:p>
            <w:pPr>
              <w:ind w:left="140"/>
              <w:spacing w:after="0" w:line="169" w:lineRule="exact"/>
              <w:rPr>
                <w:sz w:val="20"/>
                <w:szCs w:val="20"/>
                <w:color w:val="auto"/>
              </w:rPr>
            </w:pPr>
            <w:r>
              <w:rPr>
                <w:rFonts w:ascii="Times New Roman" w:cs="Times New Roman" w:eastAsia="Times New Roman" w:hAnsi="Times New Roman"/>
                <w:sz w:val="13"/>
                <w:szCs w:val="13"/>
                <w:b w:val="1"/>
                <w:bCs w:val="1"/>
                <w:color w:val="auto"/>
              </w:rPr>
              <w:t>(wet kg/m</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3"/>
                <w:szCs w:val="13"/>
                <w:b w:val="1"/>
                <w:bCs w:val="1"/>
                <w:color w:val="auto"/>
              </w:rPr>
              <w:t>)</w:t>
            </w: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58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8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D</w:t>
            </w:r>
          </w:p>
        </w:tc>
        <w:tc>
          <w:tcPr>
            <w:tcW w:w="140" w:type="dxa"/>
            <w:vAlign w:val="bottom"/>
            <w:tcBorders>
              <w:top w:val="single" w:sz="8" w:color="C7EAF2"/>
            </w:tcBorders>
            <w:shd w:val="clear" w:color="auto" w:fill="C7EAF2"/>
          </w:tcPr>
          <w:p>
            <w:pPr>
              <w:spacing w:after="0"/>
              <w:rPr>
                <w:sz w:val="17"/>
                <w:szCs w:val="17"/>
                <w:color w:val="auto"/>
              </w:rPr>
            </w:pPr>
          </w:p>
        </w:tc>
        <w:tc>
          <w:tcPr>
            <w:tcW w:w="88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Measured</w:t>
            </w:r>
          </w:p>
        </w:tc>
        <w:tc>
          <w:tcPr>
            <w:tcW w:w="140" w:type="dxa"/>
            <w:vAlign w:val="bottom"/>
            <w:tcBorders>
              <w:top w:val="single" w:sz="8" w:color="C7EAF2"/>
            </w:tcBorders>
            <w:shd w:val="clear" w:color="auto" w:fill="C7EAF2"/>
          </w:tcPr>
          <w:p>
            <w:pPr>
              <w:spacing w:after="0"/>
              <w:rPr>
                <w:sz w:val="17"/>
                <w:szCs w:val="17"/>
                <w:color w:val="auto"/>
              </w:rPr>
            </w:pPr>
          </w:p>
        </w:tc>
        <w:tc>
          <w:tcPr>
            <w:tcW w:w="6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40" w:type="dxa"/>
            <w:vAlign w:val="bottom"/>
            <w:tcBorders>
              <w:top w:val="single" w:sz="8" w:color="C7EAF2"/>
            </w:tcBorders>
            <w:shd w:val="clear" w:color="auto" w:fill="C7EAF2"/>
          </w:tcPr>
          <w:p>
            <w:pPr>
              <w:spacing w:after="0"/>
              <w:rPr>
                <w:sz w:val="17"/>
                <w:szCs w:val="17"/>
                <w:color w:val="auto"/>
              </w:rPr>
            </w:pPr>
          </w:p>
        </w:tc>
        <w:tc>
          <w:tcPr>
            <w:tcW w:w="6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40" w:type="dxa"/>
            <w:vAlign w:val="bottom"/>
            <w:tcBorders>
              <w:top w:val="single" w:sz="8" w:color="C7EAF2"/>
            </w:tcBorders>
            <w:shd w:val="clear" w:color="auto" w:fill="C7EAF2"/>
          </w:tcPr>
          <w:p>
            <w:pPr>
              <w:spacing w:after="0"/>
              <w:rPr>
                <w:sz w:val="17"/>
                <w:szCs w:val="17"/>
                <w:color w:val="auto"/>
              </w:rPr>
            </w:pPr>
          </w:p>
        </w:tc>
        <w:tc>
          <w:tcPr>
            <w:tcW w:w="6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40" w:type="dxa"/>
            <w:vAlign w:val="bottom"/>
            <w:tcBorders>
              <w:top w:val="single" w:sz="8" w:color="C7EAF2"/>
            </w:tcBorders>
            <w:shd w:val="clear" w:color="auto" w:fill="C7EAF2"/>
          </w:tcPr>
          <w:p>
            <w:pPr>
              <w:spacing w:after="0"/>
              <w:rPr>
                <w:sz w:val="17"/>
                <w:szCs w:val="17"/>
                <w:color w:val="auto"/>
              </w:rPr>
            </w:pPr>
          </w:p>
        </w:tc>
        <w:tc>
          <w:tcPr>
            <w:tcW w:w="6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Borders>
              <w:top w:val="single" w:sz="8" w:color="C7EAF2"/>
            </w:tcBorders>
            <w:shd w:val="clear" w:color="auto" w:fill="C7EAF2"/>
          </w:tcPr>
          <w:p>
            <w:pPr>
              <w:spacing w:after="0"/>
              <w:rPr>
                <w:sz w:val="17"/>
                <w:szCs w:val="17"/>
                <w:color w:val="auto"/>
              </w:rPr>
            </w:pPr>
          </w:p>
        </w:tc>
        <w:tc>
          <w:tcPr>
            <w:tcW w:w="6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0.13</w:t>
            </w:r>
          </w:p>
        </w:tc>
        <w:tc>
          <w:tcPr>
            <w:tcW w:w="140" w:type="dxa"/>
            <w:vAlign w:val="bottom"/>
            <w:tcBorders>
              <w:top w:val="single" w:sz="8" w:color="C7EAF2"/>
            </w:tcBorders>
            <w:shd w:val="clear" w:color="auto" w:fill="C7EAF2"/>
          </w:tcPr>
          <w:p>
            <w:pPr>
              <w:spacing w:after="0"/>
              <w:rPr>
                <w:sz w:val="17"/>
                <w:szCs w:val="17"/>
                <w:color w:val="auto"/>
              </w:rPr>
            </w:pPr>
          </w:p>
        </w:tc>
        <w:tc>
          <w:tcPr>
            <w:tcW w:w="7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60" w:type="dxa"/>
            <w:vAlign w:val="bottom"/>
            <w:tcBorders>
              <w:top w:val="single" w:sz="8" w:color="C7EAF2"/>
            </w:tcBorders>
            <w:shd w:val="clear" w:color="auto" w:fill="C7EAF2"/>
          </w:tcPr>
          <w:p>
            <w:pPr>
              <w:spacing w:after="0"/>
              <w:rPr>
                <w:sz w:val="17"/>
                <w:szCs w:val="17"/>
                <w:color w:val="auto"/>
              </w:rPr>
            </w:pPr>
          </w:p>
        </w:tc>
        <w:tc>
          <w:tcPr>
            <w:tcW w:w="5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Indicated</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880" w:type="dxa"/>
            <w:vAlign w:val="bottom"/>
            <w:shd w:val="clear" w:color="auto" w:fill="C7EAF2"/>
          </w:tcPr>
          <w:p>
            <w:pPr>
              <w:jc w:val="center"/>
              <w:spacing w:after="0" w:line="184" w:lineRule="exact"/>
              <w:rPr>
                <w:sz w:val="20"/>
                <w:szCs w:val="20"/>
                <w:color w:val="auto"/>
              </w:rPr>
            </w:pPr>
            <w:r>
              <w:rPr>
                <w:rFonts w:ascii="Times New Roman" w:cs="Times New Roman" w:eastAsia="Times New Roman" w:hAnsi="Times New Roman"/>
                <w:sz w:val="17"/>
                <w:szCs w:val="17"/>
                <w:color w:val="auto"/>
              </w:rPr>
              <w:t>Measured +</w:t>
            </w:r>
          </w:p>
        </w:tc>
        <w:tc>
          <w:tcPr>
            <w:tcW w:w="140" w:type="dxa"/>
            <w:vAlign w:val="bottom"/>
            <w:shd w:val="clear" w:color="auto" w:fill="C7EAF2"/>
          </w:tcPr>
          <w:p>
            <w:pPr>
              <w:spacing w:after="0"/>
              <w:rPr>
                <w:sz w:val="15"/>
                <w:szCs w:val="15"/>
                <w:color w:val="auto"/>
              </w:rPr>
            </w:pPr>
          </w:p>
        </w:tc>
        <w:tc>
          <w:tcPr>
            <w:tcW w:w="62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2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700" w:type="dxa"/>
            <w:vAlign w:val="bottom"/>
            <w:shd w:val="clear" w:color="auto" w:fill="C7EAF2"/>
          </w:tcPr>
          <w:p>
            <w:pPr>
              <w:spacing w:after="0"/>
              <w:rPr>
                <w:sz w:val="15"/>
                <w:szCs w:val="15"/>
                <w:color w:val="auto"/>
              </w:rPr>
            </w:pPr>
          </w:p>
        </w:tc>
        <w:tc>
          <w:tcPr>
            <w:tcW w:w="160" w:type="dxa"/>
            <w:vAlign w:val="bottom"/>
            <w:shd w:val="clear" w:color="auto" w:fill="C7EAF2"/>
          </w:tcPr>
          <w:p>
            <w:pPr>
              <w:spacing w:after="0"/>
              <w:rPr>
                <w:sz w:val="15"/>
                <w:szCs w:val="15"/>
                <w:color w:val="auto"/>
              </w:rPr>
            </w:pPr>
          </w:p>
        </w:tc>
        <w:tc>
          <w:tcPr>
            <w:tcW w:w="580" w:type="dxa"/>
            <w:vAlign w:val="bottom"/>
            <w:shd w:val="clear" w:color="auto" w:fill="C7EAF2"/>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3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D</w:t>
            </w:r>
          </w:p>
        </w:tc>
        <w:tc>
          <w:tcPr>
            <w:tcW w:w="88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Indicated</w:t>
            </w:r>
          </w:p>
        </w:tc>
        <w:tc>
          <w:tcPr>
            <w:tcW w:w="140" w:type="dxa"/>
            <w:vAlign w:val="bottom"/>
            <w:shd w:val="clear" w:color="auto" w:fill="C7EAF2"/>
          </w:tcPr>
          <w:p>
            <w:pPr>
              <w:spacing w:after="0"/>
              <w:rPr>
                <w:sz w:val="20"/>
                <w:szCs w:val="20"/>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40" w:type="dxa"/>
            <w:vAlign w:val="bottom"/>
            <w:shd w:val="clear" w:color="auto" w:fill="C7EAF2"/>
          </w:tcPr>
          <w:p>
            <w:pPr>
              <w:spacing w:after="0"/>
              <w:rPr>
                <w:sz w:val="20"/>
                <w:szCs w:val="20"/>
                <w:color w:val="auto"/>
              </w:rPr>
            </w:pPr>
          </w:p>
        </w:tc>
        <w:tc>
          <w:tcPr>
            <w:tcW w:w="6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7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40" w:type="dxa"/>
            <w:vAlign w:val="bottom"/>
            <w:shd w:val="clear" w:color="auto" w:fill="C7EAF2"/>
          </w:tcPr>
          <w:p>
            <w:pPr>
              <w:spacing w:after="0"/>
              <w:rPr>
                <w:sz w:val="20"/>
                <w:szCs w:val="20"/>
                <w:color w:val="auto"/>
              </w:rPr>
            </w:pPr>
          </w:p>
        </w:tc>
        <w:tc>
          <w:tcPr>
            <w:tcW w:w="7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6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Inferred</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53975</wp:posOffset>
                </wp:positionV>
                <wp:extent cx="152971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4.25pt" to="120.6pt,4.25pt" o:allowincell="f" strokecolor="#000000" strokeweight="0.648pt"/>
            </w:pict>
          </mc:Fallback>
        </mc:AlternateContent>
      </w:r>
    </w:p>
    <w:p>
      <w:pPr>
        <w:spacing w:after="0" w:line="13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37" w:lineRule="exact"/>
        <w:rPr>
          <w:sz w:val="20"/>
          <w:szCs w:val="20"/>
          <w:color w:val="auto"/>
        </w:rPr>
      </w:pPr>
    </w:p>
    <w:p>
      <w:pPr>
        <w:jc w:val="both"/>
        <w:ind w:firstLine="311"/>
        <w:spacing w:after="0" w:line="242" w:lineRule="auto"/>
        <w:rPr>
          <w:sz w:val="20"/>
          <w:szCs w:val="20"/>
          <w:color w:val="auto"/>
        </w:rPr>
      </w:pPr>
      <w:r>
        <w:rPr>
          <w:rFonts w:ascii="Times New Roman" w:cs="Times New Roman" w:eastAsia="Times New Roman" w:hAnsi="Times New Roman"/>
          <w:sz w:val="17"/>
          <w:szCs w:val="17"/>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was chosen for the NORI Contract Area, based on the estimates of costs and revenues presented in the initial assessment contained in the NORI Technical Report Summary.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October 23, 2020). The Qualified Person considered that this timeframe is reasonable in view of the likely time required to bring the majority of the NORI mineral resources into production.</w:t>
      </w:r>
    </w:p>
    <w:p>
      <w:pPr>
        <w:spacing w:after="0" w:line="18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Sampling of NORI Area D at a spacing of 10 km by 10 km during the 2019 campaign confirmed that the nodules have low variability and high continuity. The mineral resource estimate set forth above is 4 Mt Measured and 341 Mt indicated, and 11 Mt inferred mineral resources. Taking into account the conversion of the majority of inferred to indicated mineral resources, the remaining inferred mineral resource has decreased by 26 Mt as a result of excluding the Volcanic High domain in the south-eastern corner of NORI Area D, due to uncertainty about the occurrence of nodules in this area. The resource estimate is also slightly higher in abundance (5.4% higher), and nickel (6.1% higher), cobalt (5.4% higher) and manganese (2.2% higher) grades than the 2018 estimate.</w:t>
      </w:r>
    </w:p>
    <w:p>
      <w:pPr>
        <w:spacing w:after="0" w:line="166" w:lineRule="exact"/>
        <w:rPr>
          <w:sz w:val="20"/>
          <w:szCs w:val="20"/>
          <w:color w:val="auto"/>
        </w:rPr>
      </w:pPr>
    </w:p>
    <w:p>
      <w:pPr>
        <w:jc w:val="both"/>
        <w:ind w:firstLine="311"/>
        <w:spacing w:after="0" w:line="238" w:lineRule="auto"/>
        <w:rPr>
          <w:sz w:val="20"/>
          <w:szCs w:val="20"/>
          <w:color w:val="auto"/>
        </w:rPr>
      </w:pPr>
      <w:r>
        <w:rPr>
          <w:rFonts w:ascii="Times New Roman" w:cs="Times New Roman" w:eastAsia="Times New Roman" w:hAnsi="Times New Roman"/>
          <w:sz w:val="17"/>
          <w:szCs w:val="17"/>
          <w:color w:val="auto"/>
        </w:rPr>
        <w:t>Comparison of the area covered by inferred, indicated and measured mineral resource for the estimate and the same area in the 2018 model shows that nickel grade has increased by 6% (1.32% to 1.40% Ni) while abundance has increased by 6% (16.0 to 17.0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Mineral resource tonnage has increased by 10% (from 10 to 11 Mt) in the inferred area and 7% (from 320 to 341 Mt) in the indicated area. The positive conversion rates arising from infilling the sampling grid with high-quality box core sample data (rather than extending the area sampled) are exceptionally high compared to the typical outcomes from infill sampling of terrestrial mineral deposits.</w:t>
      </w:r>
    </w:p>
    <w:p>
      <w:pPr>
        <w:spacing w:after="0" w:line="184" w:lineRule="exact"/>
        <w:rPr>
          <w:sz w:val="20"/>
          <w:szCs w:val="20"/>
          <w:color w:val="auto"/>
        </w:rPr>
      </w:pPr>
    </w:p>
    <w:p>
      <w:pPr>
        <w:jc w:val="both"/>
        <w:ind w:firstLine="311"/>
        <w:spacing w:after="0"/>
        <w:rPr>
          <w:sz w:val="20"/>
          <w:szCs w:val="20"/>
          <w:color w:val="auto"/>
        </w:rPr>
      </w:pPr>
      <w:r>
        <w:rPr>
          <w:rFonts w:ascii="Times New Roman" w:cs="Times New Roman" w:eastAsia="Times New Roman" w:hAnsi="Times New Roman"/>
          <w:sz w:val="17"/>
          <w:szCs w:val="17"/>
          <w:color w:val="auto"/>
        </w:rPr>
        <w:t>While the NORI Technical Report Summary focuses primarily on the exploration operations in NORI Area D, NORI holds another three areas in the CCZ under the same title. These areas (NORI Areas A, B and C) are estimated to contain inferred mineral resources of 510 Mt (wet) at 1.28% Ni, 0.21% Co, 1.04% Cu, 28.3% Mn, at an average abundance of 11 kg (wet)/m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at a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cut-off (effective date of December 31, 2020). The polymetallic nodule mineralization in NORI Areas A, B and C has similar characteristics to NORI Area D and it is reasonable to assume that the technology proposed in the NORI Technical Report Summary would be suitable for development of these additional areas.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82" w:name="page83"/>
    <w:bookmarkEnd w:id="82"/>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88">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89">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estimated mineral resources were determined in 2021 as of December 31, 2020 and also reflect the estimated mineral resources as of December 31, 2022, as none of the mineral resources in these areas were depleted by mining or any other activities.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NORI Area A, B and C December 31, 2022 In-Situ Mineral Resource estimate at 4 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abundance cut-off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NORI Area</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Nodule tonnage</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Abundance</w:t>
            </w:r>
          </w:p>
        </w:tc>
        <w:tc>
          <w:tcPr>
            <w:tcW w:w="160" w:type="dxa"/>
            <w:vAlign w:val="bottom"/>
          </w:tcPr>
          <w:p>
            <w:pPr>
              <w:spacing w:after="0"/>
              <w:rPr>
                <w:sz w:val="13"/>
                <w:szCs w:val="13"/>
                <w:color w:val="auto"/>
              </w:rPr>
            </w:pP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Ni</w:t>
            </w: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Cu</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w:t>
            </w:r>
          </w:p>
        </w:tc>
        <w:tc>
          <w:tcPr>
            <w:tcW w:w="7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Mn</w:t>
            </w:r>
          </w:p>
        </w:tc>
        <w:tc>
          <w:tcPr>
            <w:tcW w:w="0" w:type="dxa"/>
            <w:vAlign w:val="bottom"/>
          </w:tcPr>
          <w:p>
            <w:pPr>
              <w:spacing w:after="0"/>
              <w:rPr>
                <w:sz w:val="1"/>
                <w:szCs w:val="1"/>
                <w:color w:val="auto"/>
              </w:rPr>
            </w:pPr>
          </w:p>
        </w:tc>
      </w:tr>
      <w:tr>
        <w:trPr>
          <w:trHeight w:val="168"/>
        </w:trPr>
        <w:tc>
          <w:tcPr>
            <w:tcW w:w="3340" w:type="dxa"/>
            <w:vAlign w:val="bottom"/>
            <w:gridSpan w:val="4"/>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(Mt (wet))</w:t>
            </w:r>
          </w:p>
        </w:tc>
        <w:tc>
          <w:tcPr>
            <w:tcW w:w="720" w:type="dxa"/>
            <w:vAlign w:val="bottom"/>
          </w:tcPr>
          <w:p>
            <w:pPr>
              <w:jc w:val="right"/>
              <w:spacing w:after="0" w:line="169" w:lineRule="exact"/>
              <w:rPr>
                <w:sz w:val="20"/>
                <w:szCs w:val="20"/>
                <w:color w:val="auto"/>
              </w:rPr>
            </w:pPr>
            <w:r>
              <w:rPr>
                <w:rFonts w:ascii="Times New Roman" w:cs="Times New Roman" w:eastAsia="Times New Roman" w:hAnsi="Times New Roman"/>
                <w:sz w:val="13"/>
                <w:szCs w:val="13"/>
                <w:b w:val="1"/>
                <w:bCs w:val="1"/>
                <w:color w:val="auto"/>
              </w:rPr>
              <w:t>(wet kg/m</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7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4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60" w:type="dxa"/>
            <w:vAlign w:val="bottom"/>
            <w:tcBorders>
              <w:top w:val="single" w:sz="8" w:color="auto"/>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A</w:t>
            </w:r>
          </w:p>
        </w:tc>
        <w:tc>
          <w:tcPr>
            <w:tcW w:w="160" w:type="dxa"/>
            <w:vAlign w:val="bottom"/>
            <w:tcBorders>
              <w:top w:val="single" w:sz="8" w:color="C7EAF2"/>
            </w:tcBorders>
            <w:shd w:val="clear" w:color="auto" w:fill="C7EAF2"/>
          </w:tcPr>
          <w:p>
            <w:pPr>
              <w:spacing w:after="0"/>
              <w:rPr>
                <w:sz w:val="17"/>
                <w:szCs w:val="17"/>
                <w:color w:val="auto"/>
              </w:rPr>
            </w:pPr>
          </w:p>
        </w:tc>
        <w:tc>
          <w:tcPr>
            <w:tcW w:w="720" w:type="dxa"/>
            <w:vAlign w:val="bottom"/>
            <w:tcBorders>
              <w:top w:val="single" w:sz="8" w:color="auto"/>
            </w:tcBorders>
            <w:shd w:val="clear" w:color="auto" w:fill="C7EAF2"/>
          </w:tcPr>
          <w:p>
            <w:pPr>
              <w:ind w:left="80"/>
              <w:spacing w:after="0"/>
              <w:rPr>
                <w:sz w:val="20"/>
                <w:szCs w:val="20"/>
                <w:color w:val="auto"/>
              </w:rPr>
            </w:pPr>
            <w:r>
              <w:rPr>
                <w:rFonts w:ascii="Times New Roman" w:cs="Times New Roman" w:eastAsia="Times New Roman" w:hAnsi="Times New Roman"/>
                <w:sz w:val="17"/>
                <w:szCs w:val="17"/>
                <w:color w:val="auto"/>
              </w:rPr>
              <w:t>Inferred</w:t>
            </w:r>
          </w:p>
        </w:tc>
        <w:tc>
          <w:tcPr>
            <w:tcW w:w="160" w:type="dxa"/>
            <w:vAlign w:val="bottom"/>
            <w:tcBorders>
              <w:top w:val="single" w:sz="8" w:color="C7EAF2"/>
            </w:tcBorders>
            <w:shd w:val="clear" w:color="auto" w:fill="C7EAF2"/>
          </w:tcPr>
          <w:p>
            <w:pPr>
              <w:spacing w:after="0"/>
              <w:rPr>
                <w:sz w:val="17"/>
                <w:szCs w:val="17"/>
                <w:color w:val="auto"/>
              </w:rPr>
            </w:pPr>
          </w:p>
        </w:tc>
        <w:tc>
          <w:tcPr>
            <w:tcW w:w="9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60" w:type="dxa"/>
            <w:vAlign w:val="bottom"/>
            <w:tcBorders>
              <w:top w:val="single" w:sz="8" w:color="C7EAF2"/>
            </w:tcBorders>
            <w:shd w:val="clear" w:color="auto" w:fill="C7EAF2"/>
          </w:tcPr>
          <w:p>
            <w:pPr>
              <w:spacing w:after="0"/>
              <w:rPr>
                <w:sz w:val="17"/>
                <w:szCs w:val="17"/>
                <w:color w:val="auto"/>
              </w:rPr>
            </w:pPr>
          </w:p>
        </w:tc>
        <w:tc>
          <w:tcPr>
            <w:tcW w:w="7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60" w:type="dxa"/>
            <w:vAlign w:val="bottom"/>
            <w:tcBorders>
              <w:top w:val="single" w:sz="8" w:color="C7EAF2"/>
            </w:tcBorders>
            <w:shd w:val="clear" w:color="auto" w:fill="C7EAF2"/>
          </w:tcPr>
          <w:p>
            <w:pPr>
              <w:spacing w:after="0"/>
              <w:rPr>
                <w:sz w:val="17"/>
                <w:szCs w:val="17"/>
                <w:color w:val="auto"/>
              </w:rPr>
            </w:pPr>
          </w:p>
        </w:tc>
        <w:tc>
          <w:tcPr>
            <w:tcW w:w="7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80" w:type="dxa"/>
            <w:vAlign w:val="bottom"/>
            <w:tcBorders>
              <w:top w:val="single" w:sz="8" w:color="C7EAF2"/>
            </w:tcBorders>
            <w:shd w:val="clear" w:color="auto" w:fill="C7EAF2"/>
          </w:tcPr>
          <w:p>
            <w:pPr>
              <w:spacing w:after="0"/>
              <w:rPr>
                <w:sz w:val="17"/>
                <w:szCs w:val="17"/>
                <w:color w:val="auto"/>
              </w:rPr>
            </w:pPr>
          </w:p>
        </w:tc>
        <w:tc>
          <w:tcPr>
            <w:tcW w:w="7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60" w:type="dxa"/>
            <w:vAlign w:val="bottom"/>
            <w:tcBorders>
              <w:top w:val="single" w:sz="8" w:color="C7EAF2"/>
            </w:tcBorders>
            <w:shd w:val="clear" w:color="auto" w:fill="C7EAF2"/>
          </w:tcPr>
          <w:p>
            <w:pPr>
              <w:spacing w:after="0"/>
              <w:rPr>
                <w:sz w:val="17"/>
                <w:szCs w:val="17"/>
                <w:color w:val="auto"/>
              </w:rPr>
            </w:pPr>
          </w:p>
        </w:tc>
        <w:tc>
          <w:tcPr>
            <w:tcW w:w="7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60" w:type="dxa"/>
            <w:vAlign w:val="bottom"/>
            <w:tcBorders>
              <w:top w:val="single" w:sz="8" w:color="C7EAF2"/>
            </w:tcBorders>
            <w:shd w:val="clear" w:color="auto" w:fill="C7EAF2"/>
          </w:tcPr>
          <w:p>
            <w:pPr>
              <w:spacing w:after="0"/>
              <w:rPr>
                <w:sz w:val="17"/>
                <w:szCs w:val="17"/>
                <w:color w:val="auto"/>
              </w:rPr>
            </w:pPr>
          </w:p>
        </w:tc>
        <w:tc>
          <w:tcPr>
            <w:tcW w:w="7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Inferred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320" w:type="dxa"/>
            <w:vAlign w:val="bottom"/>
            <w:gridSpan w:val="3"/>
            <w:shd w:val="clear" w:color="auto" w:fill="C7EAF2"/>
          </w:tcPr>
          <w:p>
            <w:pPr>
              <w:spacing w:after="0"/>
              <w:rPr>
                <w:sz w:val="20"/>
                <w:szCs w:val="20"/>
                <w:color w:val="auto"/>
              </w:rPr>
            </w:pPr>
            <w:r>
              <w:rPr>
                <w:rFonts w:ascii="Times New Roman" w:cs="Times New Roman" w:eastAsia="Times New Roman" w:hAnsi="Times New Roman"/>
                <w:sz w:val="17"/>
                <w:szCs w:val="17"/>
                <w:color w:val="auto"/>
              </w:rPr>
              <w:t>C</w:t>
            </w:r>
          </w:p>
        </w:tc>
        <w:tc>
          <w:tcPr>
            <w:tcW w:w="880" w:type="dxa"/>
            <w:vAlign w:val="bottom"/>
            <w:gridSpan w:val="2"/>
            <w:shd w:val="clear" w:color="auto" w:fill="C7EAF2"/>
          </w:tcPr>
          <w:p>
            <w:pPr>
              <w:ind w:left="80"/>
              <w:spacing w:after="0"/>
              <w:rPr>
                <w:sz w:val="20"/>
                <w:szCs w:val="20"/>
                <w:color w:val="auto"/>
              </w:rPr>
            </w:pPr>
            <w:r>
              <w:rPr>
                <w:rFonts w:ascii="Times New Roman" w:cs="Times New Roman" w:eastAsia="Times New Roman" w:hAnsi="Times New Roman"/>
                <w:sz w:val="17"/>
                <w:szCs w:val="17"/>
                <w:color w:val="auto"/>
              </w:rPr>
              <w:t>Inferred</w:t>
            </w:r>
          </w:p>
        </w:tc>
        <w:tc>
          <w:tcPr>
            <w:tcW w:w="9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60" w:type="dxa"/>
            <w:vAlign w:val="bottom"/>
            <w:shd w:val="clear" w:color="auto" w:fill="C7EAF2"/>
          </w:tcPr>
          <w:p>
            <w:pPr>
              <w:spacing w:after="0"/>
              <w:rPr>
                <w:sz w:val="18"/>
                <w:szCs w:val="18"/>
                <w:color w:val="auto"/>
              </w:rPr>
            </w:pPr>
          </w:p>
        </w:tc>
        <w:tc>
          <w:tcPr>
            <w:tcW w:w="7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80" w:type="dxa"/>
            <w:vAlign w:val="bottom"/>
            <w:shd w:val="clear" w:color="auto" w:fill="C7EAF2"/>
          </w:tcPr>
          <w:p>
            <w:pPr>
              <w:spacing w:after="0"/>
              <w:rPr>
                <w:sz w:val="18"/>
                <w:szCs w:val="18"/>
                <w:color w:val="auto"/>
              </w:rPr>
            </w:pPr>
          </w:p>
        </w:tc>
        <w:tc>
          <w:tcPr>
            <w:tcW w:w="7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60" w:type="dxa"/>
            <w:vAlign w:val="bottom"/>
            <w:shd w:val="clear" w:color="auto" w:fill="C7EAF2"/>
          </w:tcPr>
          <w:p>
            <w:pPr>
              <w:spacing w:after="0"/>
              <w:rPr>
                <w:sz w:val="18"/>
                <w:szCs w:val="18"/>
                <w:color w:val="auto"/>
              </w:rPr>
            </w:pPr>
          </w:p>
        </w:tc>
        <w:tc>
          <w:tcPr>
            <w:tcW w:w="7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60" w:type="dxa"/>
            <w:vAlign w:val="bottom"/>
            <w:shd w:val="clear" w:color="auto" w:fill="C7EAF2"/>
          </w:tcPr>
          <w:p>
            <w:pPr>
              <w:spacing w:after="0"/>
              <w:rPr>
                <w:sz w:val="18"/>
                <w:szCs w:val="18"/>
                <w:color w:val="auto"/>
              </w:rPr>
            </w:pPr>
          </w:p>
        </w:tc>
        <w:tc>
          <w:tcPr>
            <w:tcW w:w="7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104"/>
        </w:trPr>
        <w:tc>
          <w:tcPr>
            <w:tcW w:w="2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be 24% w/w. These estimates are presented on an undiluted basis without adjustment for resource recovery.</w:t>
      </w:r>
    </w:p>
    <w:p>
      <w:pPr>
        <w:spacing w:after="0" w:line="135"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 xml:space="preserve">Information concerning our mineral properties in the NORI Technical Report Summary and in this Annual Report on Form 10-K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7"/>
          <w:szCs w:val="17"/>
          <w:b w:val="1"/>
          <w:bCs w:val="1"/>
          <w:color w:val="auto"/>
        </w:rPr>
        <w:t>You are specifically cautioned not to assume that any part or all of the mineral deposits in these categories will ever be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converted into mineral reserves, as defined by the SEC.</w:t>
      </w:r>
    </w:p>
    <w:p>
      <w:pPr>
        <w:spacing w:after="0" w:line="166"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 xml:space="preserve">You are cautioned that mineral resources do not have demonstrated economic value. Inferred mineral resources have a high degree of uncertainty as to their existence as to whether they can be economically or legally mined. It cannot be assumed that all or any part of an inferred mineral resource will ever be upgraded to a higher category. A significant amount of exploration must be completed in order to determine whether an inferred mineral resource may be upgraded to a higher category. About 97% of the NORI Area D resource is defined in the measured and indicated categories. </w:t>
      </w:r>
      <w:r>
        <w:rPr>
          <w:rFonts w:ascii="Times New Roman" w:cs="Times New Roman" w:eastAsia="Times New Roman" w:hAnsi="Times New Roman"/>
          <w:sz w:val="17"/>
          <w:szCs w:val="17"/>
          <w:b w:val="1"/>
          <w:bCs w:val="1"/>
          <w:color w:val="auto"/>
        </w:rPr>
        <w:t>Therefore, you are cautioned not to assume that all or any part of an inferred mineral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Development plan</w:t>
      </w:r>
    </w:p>
    <w:p>
      <w:pPr>
        <w:spacing w:after="0" w:line="218"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NORI proposes to implement the project in multiple phases that will allow the seafloor collection systems to be tested (“Collector Test”) and then nodule collection to be gradually ramped up. The phased approach will facilitate de-risking of the project for relatively low initial capital investment. Additionally, this phased development will allow for an adaptive approach to environmental management providing learning at small-scale which would be applied as the development increases in scale.</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proposed seafloor development phases are as follows:</w:t>
      </w:r>
    </w:p>
    <w:p>
      <w:pPr>
        <w:spacing w:after="0" w:line="219" w:lineRule="exact"/>
        <w:rPr>
          <w:sz w:val="20"/>
          <w:szCs w:val="20"/>
          <w:color w:val="auto"/>
        </w:rPr>
      </w:pPr>
    </w:p>
    <w:p>
      <w:pPr>
        <w:jc w:val="both"/>
        <w:ind w:left="660" w:right="20" w:hanging="315"/>
        <w:spacing w:after="0" w:line="269" w:lineRule="auto"/>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Collector Test is designed to perform proof of concept for the methods of collecting and lifting the nodules while acquiring sufficient data to design a commercial system. The Collector Test would use a converted sixth generation drillship, the </w:t>
      </w:r>
      <w:r>
        <w:rPr>
          <w:rFonts w:ascii="Times New Roman" w:cs="Times New Roman" w:eastAsia="Times New Roman" w:hAnsi="Times New Roman"/>
          <w:sz w:val="17"/>
          <w:szCs w:val="17"/>
          <w:i w:val="1"/>
          <w:iCs w:val="1"/>
          <w:color w:val="auto"/>
        </w:rPr>
        <w:t>Hidden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Gem</w:t>
      </w:r>
      <w:r>
        <w:rPr>
          <w:rFonts w:ascii="Times New Roman" w:cs="Times New Roman" w:eastAsia="Times New Roman" w:hAnsi="Times New Roman"/>
          <w:sz w:val="17"/>
          <w:szCs w:val="17"/>
          <w:color w:val="auto"/>
        </w:rPr>
        <w:t>. Nodules collected during the test would be stored on the</w:t>
      </w:r>
      <w:r>
        <w:rPr>
          <w:rFonts w:ascii="Times New Roman" w:cs="Times New Roman" w:eastAsia="Times New Roman" w:hAnsi="Times New Roman"/>
          <w:sz w:val="17"/>
          <w:szCs w:val="17"/>
          <w:i w:val="1"/>
          <w:iCs w:val="1"/>
          <w:color w:val="auto"/>
        </w:rPr>
        <w:t xml:space="preserve"> Hidden Gem </w:t>
      </w:r>
      <w:r>
        <w:rPr>
          <w:rFonts w:ascii="Times New Roman" w:cs="Times New Roman" w:eastAsia="Times New Roman" w:hAnsi="Times New Roman"/>
          <w:sz w:val="17"/>
          <w:szCs w:val="17"/>
          <w:color w:val="auto"/>
        </w:rPr>
        <w:t>and brought to shore for use in large scale process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pilot testing. The test would not demonstrate the transshipment of nodules to a shore-based facility.</w:t>
      </w:r>
    </w:p>
    <w:p>
      <w:pPr>
        <w:spacing w:after="0" w:line="160" w:lineRule="exact"/>
        <w:rPr>
          <w:rFonts w:ascii="Times New Roman" w:cs="Times New Roman" w:eastAsia="Times New Roman" w:hAnsi="Times New Roman"/>
          <w:sz w:val="17"/>
          <w:szCs w:val="17"/>
          <w:color w:val="auto"/>
        </w:rPr>
      </w:pPr>
    </w:p>
    <w:p>
      <w:pPr>
        <w:jc w:val="both"/>
        <w:ind w:left="660" w:hanging="315"/>
        <w:spacing w:after="0" w:line="265" w:lineRule="auto"/>
        <w:tabs>
          <w:tab w:leader="none" w:pos="6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Project Zero would be an extension of the Collector Test using an upgrade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to produce a sufficient and continuous quantity of nodules to support a relatively small commercial operation of at least 1.3 Mtpa (wet) nodules delivered to a shore-based facility. This operation would demonstrate a more continuous collection operation at a larger scale than the Collector Test and would demonstrate the transshipment of nodules to a processing facility. It would also allow for the implementation and testing of adaptive management systems to ensure environmental compliance.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83" w:name="page84"/>
    <w:bookmarkEnd w:id="83"/>
    <w:p>
      <w:pPr>
        <w:jc w:val="both"/>
        <w:ind w:left="660" w:hanging="315"/>
        <w:spacing w:after="0" w:line="269" w:lineRule="auto"/>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90">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91">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Project One would increase production in a further three steps: 1) introduction of a second converted drillship (Drill Ship 2) with a capacity of up to 3.6 Mtpa (wet), 2) a further upgrade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xml:space="preserve"> to up to 3.6 Mtpa (wet) and 3) construction of a new purpose-built production support vessel (Collector Ship 1) with capacity of up to 8.2 Mtpa (wet). Project One would benefit from lessons learned on the Collector Test and Project Zero.</w:t>
      </w:r>
    </w:p>
    <w:p>
      <w:pPr>
        <w:spacing w:after="0" w:line="160"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processing of the polymetallic nodules would also be ramped up in phases:</w:t>
      </w:r>
    </w:p>
    <w:p>
      <w:pPr>
        <w:spacing w:after="0" w:line="219" w:lineRule="exact"/>
        <w:rPr>
          <w:rFonts w:ascii="Times New Roman" w:cs="Times New Roman" w:eastAsia="Times New Roman" w:hAnsi="Times New Roman"/>
          <w:sz w:val="17"/>
          <w:szCs w:val="17"/>
          <w:color w:val="auto"/>
        </w:rPr>
      </w:pPr>
    </w:p>
    <w:p>
      <w:pPr>
        <w:jc w:val="both"/>
        <w:ind w:left="660" w:hanging="314"/>
        <w:spacing w:after="0" w:line="265" w:lineRule="auto"/>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Project Zero, NORI proposes to toll-treat polymetallic nodules at existing RKEF smelters, utilizing excess industry capacity. NORI advises there is significant interest from many parties in China and Japan to utilize RKEF plants which may become stranded as a result of the Indonesian government nickel laterite ore export ban restricting supply of the nickel laterite feedstock that they currently utilize. These RKEF plants were originally built to convert nickel laterite to nickel pig iron and could be converted to smelt polymetallic nodules.</w:t>
      </w:r>
    </w:p>
    <w:p>
      <w:pPr>
        <w:spacing w:after="0" w:line="164" w:lineRule="exact"/>
        <w:rPr>
          <w:rFonts w:ascii="Times New Roman" w:cs="Times New Roman" w:eastAsia="Times New Roman" w:hAnsi="Times New Roman"/>
          <w:sz w:val="17"/>
          <w:szCs w:val="17"/>
          <w:color w:val="auto"/>
        </w:rPr>
      </w:pPr>
    </w:p>
    <w:p>
      <w:pPr>
        <w:jc w:val="both"/>
        <w:ind w:left="660" w:hanging="315"/>
        <w:spacing w:after="0" w:line="276" w:lineRule="auto"/>
        <w:tabs>
          <w:tab w:leader="none" w:pos="6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Project One, a purpose-built process plant would be constructed, including pyrometallurgical (~50% of Project One production, with the other ~50% tolled through existing RKEF facilities) and hydrometallurgical circuits (100% of Project One production). Nodule production would be increased in phases by treatment in this new plant and existing RKEFs.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Collection methods</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 xml:space="preserve">The main items of offshore infrastructure are the nodule collector vehicles, the riser, and three production support vessels (“PSV”):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Drill Ship 2; and Collector Ship 1. Collector Ship 1 is intended to be supported by a collector support vessel.</w:t>
      </w:r>
    </w:p>
    <w:p>
      <w:pPr>
        <w:spacing w:after="0" w:line="137"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nodules are intended to be collected from the seafloor by self-propelled, tracked, collector vehicles. No rock cutting, digging, drill-and-blast, or other breakage will be required at the point of collection. The collectors are intended to be remotely controlled and supplied with electric power via umbilical cables from the PSV. The collectors are intended to traverse the seabed at a speed of approximately 0.5 m/s. Suction dredge heads on each collector are expected to recover a dilute slurry of nodules, sediment, and water from the seafloor. Each collector is expected to yield about 254 t/hr (dry) nodules. A hopper on each vehicle is expected to separate sediment and excess water, which is expected to pass out of the hopper overflow, from the nodules, which is planned to be pumped as a higher concentration slurry via flexible hoses to a riser.</w:t>
      </w:r>
    </w:p>
    <w:p>
      <w:pPr>
        <w:spacing w:after="0" w:line="171"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riser is a steel pipe through which nodules are planned to be transferred to the surface by means of an airlift. The riser is intended to consist of three main sections. The lower section is expected to carry the two-phase slurry of nodules and water from the collectors to the airlift injection point. The mid-section is expected to carry a three-phase mixture of slurry and air. This section will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16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airlift is intended to work by lowering the average density of the slurry inside the riser to a level lower than seawater. The difference between the hydrostatic pressure of the seawater at depth and the pressure caused by the weight of the low-density three-phase slurry column inside the riser is expected to force the slurry column to rise. The energy to achieve the lift is planned to be supplied by compressors housed on the PSV, which are planned to be capable of generating very high air pressures — up to 15 MPa.</w:t>
      </w:r>
    </w:p>
    <w:p>
      <w:pPr>
        <w:spacing w:after="0" w:line="160"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The PSVs are planned to each support a RALS and its handling equipment, and to house the airlift compressors, collector vehicle control stations, and material handling equipment. All power for offshore equipment, including the nodule collecting vehicles, is intended to be generated on the PSVs. The PSVs are intended to be equipped with controllable thrusters and to be capable of dynamic positioning (DP), which should allow the vessels and risers to track the collectors. The Collector Ship 1 PSV is expected to be similar in size to an Aframax or New Panamax class of tanker, displacing approximately 103,000 t, and housing a crew of around 120 personnel. Nodules are planned to be discharged from the RALS to the PSVs, where they are expected to be dewatered and temporarily stored or transferred directly to a transport vessel.</w:t>
      </w:r>
    </w:p>
    <w:p>
      <w:pPr>
        <w:spacing w:after="0" w:line="171"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A separate collector support vessel is expected to remain at sea to support Collector Ship 1. It is expected to be configured as a subsea support platform, as commonly used in the oil industry, with a displacement of around 17,250 t. The function of the collector support vessel will be to facilitate collector maintenance and repair.</w:t>
      </w:r>
    </w:p>
    <w:p>
      <w:pPr>
        <w:sectPr>
          <w:pgSz w:w="12240" w:h="15840" w:orient="portrait"/>
          <w:cols w:equalWidth="0" w:num="1">
            <w:col w:w="9620"/>
          </w:cols>
          <w:pgMar w:left="1320" w:top="1337" w:right="130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type w:val="continuous"/>
        </w:sectPr>
      </w:pPr>
    </w:p>
    <w:bookmarkStart w:id="84" w:name="page85"/>
    <w:bookmarkEnd w:id="84"/>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9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93">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NORI Technical Report Summary assumes that transportation of nodules will be by chartered vessels, with deadweight capacities of 35,000 to 100,000 tonnes. The vessels are expected to require dynamic positioning capability to enable them to be loaded at sea alongside the PSV. Hydraulic offloading of the nodules from the PSV to the transport ships is assumed in the NORI Technical Report Summary, but future studies will confirm the offloading mechanism.</w:t>
      </w:r>
    </w:p>
    <w:p>
      <w:pPr>
        <w:spacing w:after="0" w:line="161"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overall nodule collector efficiency is estimated at 80%. The recovery value is based upon test work conducted in the 1970s. Nodule recovery efficiency is the product of nodule entrainment efficiency, subsea concentrator recovery, and dewatering system efficiency. The estimate of dewatering recovery used in the NORI Technical Report Summary is higher than indicated by the 1970s test work because data that has come to light recently suggests the amount of breakup during lifting the nodules up the RALS may be significantly less than previously assumed (Kennecott (1978), DRT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Expected Mineral Resource modifying factors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Modifying factors</w:t>
            </w:r>
          </w:p>
        </w:tc>
        <w:tc>
          <w:tcPr>
            <w:tcW w:w="68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76"/>
        </w:trPr>
        <w:tc>
          <w:tcPr>
            <w:tcW w:w="20" w:type="dxa"/>
            <w:vAlign w:val="bottom"/>
          </w:tcPr>
          <w:p>
            <w:pPr>
              <w:spacing w:after="0"/>
              <w:rPr>
                <w:sz w:val="15"/>
                <w:szCs w:val="15"/>
                <w:color w:val="auto"/>
              </w:rPr>
            </w:pPr>
          </w:p>
        </w:tc>
        <w:tc>
          <w:tcPr>
            <w:tcW w:w="2400" w:type="dxa"/>
            <w:vAlign w:val="bottom"/>
            <w:tcBorders>
              <w:top w:val="single" w:sz="8" w:color="auto"/>
            </w:tcBorders>
            <w:shd w:val="clear" w:color="auto" w:fill="C7EAF2"/>
          </w:tcPr>
          <w:p>
            <w:pPr>
              <w:spacing w:after="0" w:line="176" w:lineRule="exact"/>
              <w:rPr>
                <w:sz w:val="20"/>
                <w:szCs w:val="20"/>
                <w:color w:val="auto"/>
              </w:rPr>
            </w:pPr>
            <w:r>
              <w:rPr>
                <w:rFonts w:ascii="Times New Roman" w:cs="Times New Roman" w:eastAsia="Times New Roman" w:hAnsi="Times New Roman"/>
                <w:sz w:val="17"/>
                <w:szCs w:val="17"/>
                <w:color w:val="auto"/>
              </w:rPr>
              <w:t>Resource area efficiency</w:t>
            </w:r>
          </w:p>
        </w:tc>
        <w:tc>
          <w:tcPr>
            <w:tcW w:w="220" w:type="dxa"/>
            <w:vAlign w:val="bottom"/>
            <w:tcBorders>
              <w:top w:val="single" w:sz="8" w:color="C7EAF2"/>
            </w:tcBorders>
            <w:shd w:val="clear" w:color="auto" w:fill="C7EAF2"/>
          </w:tcPr>
          <w:p>
            <w:pPr>
              <w:spacing w:after="0"/>
              <w:rPr>
                <w:sz w:val="15"/>
                <w:szCs w:val="15"/>
                <w:color w:val="auto"/>
              </w:rPr>
            </w:pPr>
          </w:p>
        </w:tc>
        <w:tc>
          <w:tcPr>
            <w:tcW w:w="680" w:type="dxa"/>
            <w:vAlign w:val="bottom"/>
            <w:tcBorders>
              <w:top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92%</w:t>
            </w:r>
          </w:p>
        </w:tc>
        <w:tc>
          <w:tcPr>
            <w:tcW w:w="200" w:type="dxa"/>
            <w:vAlign w:val="bottom"/>
            <w:tcBorders>
              <w:top w:val="single" w:sz="8" w:color="C7EAF2"/>
            </w:tcBorders>
            <w:shd w:val="clear" w:color="auto" w:fill="C7EAF2"/>
          </w:tcPr>
          <w:p>
            <w:pPr>
              <w:spacing w:after="0"/>
              <w:rPr>
                <w:sz w:val="15"/>
                <w:szCs w:val="15"/>
                <w:color w:val="auto"/>
              </w:rPr>
            </w:pPr>
          </w:p>
        </w:tc>
        <w:tc>
          <w:tcPr>
            <w:tcW w:w="6100" w:type="dxa"/>
            <w:vAlign w:val="bottom"/>
            <w:tcBorders>
              <w:top w:val="single" w:sz="8" w:color="auto"/>
            </w:tcBorders>
            <w:shd w:val="clear" w:color="auto" w:fill="C7EAF2"/>
          </w:tcPr>
          <w:p>
            <w:pPr>
              <w:spacing w:after="0" w:line="176" w:lineRule="exact"/>
              <w:rPr>
                <w:sz w:val="20"/>
                <w:szCs w:val="20"/>
                <w:color w:val="auto"/>
              </w:rPr>
            </w:pPr>
            <w:r>
              <w:rPr>
                <w:rFonts w:ascii="Times New Roman" w:cs="Times New Roman" w:eastAsia="Times New Roman" w:hAnsi="Times New Roman"/>
                <w:sz w:val="17"/>
                <w:szCs w:val="17"/>
                <w:color w:val="auto"/>
              </w:rPr>
              <w:t>The resource area efficiency factor is defined as the width of the collector divided by</w:t>
            </w:r>
          </w:p>
        </w:tc>
      </w:tr>
      <w:tr>
        <w:trPr>
          <w:trHeight w:val="207"/>
        </w:trPr>
        <w:tc>
          <w:tcPr>
            <w:tcW w:w="20" w:type="dxa"/>
            <w:vAlign w:val="bottom"/>
          </w:tcPr>
          <w:p>
            <w:pPr>
              <w:spacing w:after="0"/>
              <w:rPr>
                <w:sz w:val="18"/>
                <w:szCs w:val="18"/>
                <w:color w:val="auto"/>
              </w:rPr>
            </w:pPr>
          </w:p>
        </w:tc>
        <w:tc>
          <w:tcPr>
            <w:tcW w:w="240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680" w:type="dxa"/>
            <w:vAlign w:val="bottom"/>
            <w:shd w:val="clear" w:color="auto" w:fill="C7EAF2"/>
          </w:tcPr>
          <w:p>
            <w:pPr>
              <w:spacing w:after="0"/>
              <w:rPr>
                <w:sz w:val="18"/>
                <w:szCs w:val="18"/>
                <w:color w:val="auto"/>
              </w:rPr>
            </w:pPr>
          </w:p>
        </w:tc>
        <w:tc>
          <w:tcPr>
            <w:tcW w:w="630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the width of the collector path. A 0.5 m undisturbed strip is to be left either side of the</w:t>
            </w:r>
          </w:p>
        </w:tc>
      </w:tr>
      <w:tr>
        <w:trPr>
          <w:trHeight w:val="232"/>
        </w:trPr>
        <w:tc>
          <w:tcPr>
            <w:tcW w:w="20" w:type="dxa"/>
            <w:vAlign w:val="bottom"/>
          </w:tcPr>
          <w:p>
            <w:pPr>
              <w:spacing w:after="0"/>
              <w:rPr>
                <w:sz w:val="20"/>
                <w:szCs w:val="20"/>
                <w:color w:val="auto"/>
              </w:rPr>
            </w:pPr>
          </w:p>
        </w:tc>
        <w:tc>
          <w:tcPr>
            <w:tcW w:w="2400" w:type="dxa"/>
            <w:vAlign w:val="bottom"/>
            <w:shd w:val="clear" w:color="auto" w:fill="C7EAF2"/>
          </w:tcPr>
          <w:p>
            <w:pPr>
              <w:spacing w:after="0"/>
              <w:rPr>
                <w:sz w:val="20"/>
                <w:szCs w:val="20"/>
                <w:color w:val="auto"/>
              </w:rPr>
            </w:pPr>
          </w:p>
        </w:tc>
        <w:tc>
          <w:tcPr>
            <w:tcW w:w="220" w:type="dxa"/>
            <w:vAlign w:val="bottom"/>
            <w:shd w:val="clear" w:color="auto" w:fill="C7EAF2"/>
          </w:tcPr>
          <w:p>
            <w:pPr>
              <w:spacing w:after="0"/>
              <w:rPr>
                <w:sz w:val="20"/>
                <w:szCs w:val="20"/>
                <w:color w:val="auto"/>
              </w:rPr>
            </w:pPr>
          </w:p>
        </w:tc>
        <w:tc>
          <w:tcPr>
            <w:tcW w:w="680" w:type="dxa"/>
            <w:vAlign w:val="bottom"/>
            <w:shd w:val="clear" w:color="auto" w:fill="C7EAF2"/>
          </w:tcPr>
          <w:p>
            <w:pPr>
              <w:spacing w:after="0"/>
              <w:rPr>
                <w:sz w:val="20"/>
                <w:szCs w:val="20"/>
                <w:color w:val="auto"/>
              </w:rPr>
            </w:pPr>
          </w:p>
        </w:tc>
        <w:tc>
          <w:tcPr>
            <w:tcW w:w="630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collector. For a 12 m wide collector, the resource area efficiency is calculated as 12/13.</w:t>
            </w:r>
          </w:p>
        </w:tc>
      </w:tr>
      <w:tr>
        <w:trPr>
          <w:trHeight w:val="183"/>
        </w:trPr>
        <w:tc>
          <w:tcPr>
            <w:tcW w:w="20" w:type="dxa"/>
            <w:vAlign w:val="bottom"/>
          </w:tcPr>
          <w:p>
            <w:pPr>
              <w:spacing w:after="0"/>
              <w:rPr>
                <w:sz w:val="15"/>
                <w:szCs w:val="15"/>
                <w:color w:val="auto"/>
              </w:rPr>
            </w:pPr>
          </w:p>
        </w:tc>
        <w:tc>
          <w:tcPr>
            <w:tcW w:w="262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Collector pick-up efficiency</w:t>
            </w:r>
          </w:p>
        </w:tc>
        <w:tc>
          <w:tcPr>
            <w:tcW w:w="6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90%</w:t>
            </w:r>
          </w:p>
        </w:tc>
        <w:tc>
          <w:tcPr>
            <w:tcW w:w="6300" w:type="dxa"/>
            <w:vAlign w:val="bottom"/>
            <w:gridSpan w:val="2"/>
          </w:tcPr>
          <w:p>
            <w:pPr>
              <w:ind w:left="180"/>
              <w:spacing w:after="0" w:line="183" w:lineRule="exact"/>
              <w:rPr>
                <w:sz w:val="20"/>
                <w:szCs w:val="20"/>
                <w:color w:val="auto"/>
              </w:rPr>
            </w:pPr>
            <w:r>
              <w:rPr>
                <w:rFonts w:ascii="Times New Roman" w:cs="Times New Roman" w:eastAsia="Times New Roman" w:hAnsi="Times New Roman"/>
                <w:sz w:val="17"/>
                <w:szCs w:val="17"/>
                <w:color w:val="auto"/>
              </w:rPr>
              <w:t>This is the percentage of nodule mass passed over by the collector that is picked-up up</w:t>
            </w:r>
          </w:p>
        </w:tc>
      </w:tr>
      <w:tr>
        <w:trPr>
          <w:trHeight w:val="232"/>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by the collector head.</w:t>
            </w:r>
          </w:p>
        </w:tc>
      </w:tr>
      <w:tr>
        <w:trPr>
          <w:trHeight w:val="183"/>
        </w:trPr>
        <w:tc>
          <w:tcPr>
            <w:tcW w:w="20" w:type="dxa"/>
            <w:vAlign w:val="bottom"/>
          </w:tcPr>
          <w:p>
            <w:pPr>
              <w:spacing w:after="0"/>
              <w:rPr>
                <w:sz w:val="15"/>
                <w:szCs w:val="15"/>
                <w:color w:val="auto"/>
              </w:rPr>
            </w:pPr>
          </w:p>
        </w:tc>
        <w:tc>
          <w:tcPr>
            <w:tcW w:w="2620" w:type="dxa"/>
            <w:vAlign w:val="bottom"/>
            <w:gridSpan w:val="2"/>
            <w:shd w:val="clear" w:color="auto" w:fill="C7EAF2"/>
          </w:tcPr>
          <w:p>
            <w:pPr>
              <w:spacing w:after="0" w:line="183" w:lineRule="exact"/>
              <w:rPr>
                <w:sz w:val="20"/>
                <w:szCs w:val="20"/>
                <w:color w:val="auto"/>
              </w:rPr>
            </w:pPr>
            <w:r>
              <w:rPr>
                <w:rFonts w:ascii="Times New Roman" w:cs="Times New Roman" w:eastAsia="Times New Roman" w:hAnsi="Times New Roman"/>
                <w:sz w:val="17"/>
                <w:szCs w:val="17"/>
                <w:color w:val="auto"/>
              </w:rPr>
              <w:t>Collector underflow efficiency</w:t>
            </w:r>
          </w:p>
        </w:tc>
        <w:tc>
          <w:tcPr>
            <w:tcW w:w="680" w:type="dxa"/>
            <w:vAlign w:val="bottom"/>
            <w:shd w:val="clear" w:color="auto" w:fill="C7EAF2"/>
          </w:tcPr>
          <w:p>
            <w:pPr>
              <w:jc w:val="center"/>
              <w:spacing w:after="0" w:line="183" w:lineRule="exact"/>
              <w:rPr>
                <w:sz w:val="20"/>
                <w:szCs w:val="20"/>
                <w:color w:val="auto"/>
              </w:rPr>
            </w:pPr>
            <w:r>
              <w:rPr>
                <w:rFonts w:ascii="Times New Roman" w:cs="Times New Roman" w:eastAsia="Times New Roman" w:hAnsi="Times New Roman"/>
                <w:sz w:val="17"/>
                <w:szCs w:val="17"/>
                <w:color w:val="auto"/>
              </w:rPr>
              <w:t>95%</w:t>
            </w:r>
          </w:p>
        </w:tc>
        <w:tc>
          <w:tcPr>
            <w:tcW w:w="6300" w:type="dxa"/>
            <w:vAlign w:val="bottom"/>
            <w:gridSpan w:val="2"/>
            <w:shd w:val="clear" w:color="auto" w:fill="C7EAF2"/>
          </w:tcPr>
          <w:p>
            <w:pPr>
              <w:ind w:left="180"/>
              <w:spacing w:after="0" w:line="183" w:lineRule="exact"/>
              <w:rPr>
                <w:sz w:val="20"/>
                <w:szCs w:val="20"/>
                <w:color w:val="auto"/>
              </w:rPr>
            </w:pPr>
            <w:r>
              <w:rPr>
                <w:rFonts w:ascii="Times New Roman" w:cs="Times New Roman" w:eastAsia="Times New Roman" w:hAnsi="Times New Roman"/>
                <w:sz w:val="17"/>
                <w:szCs w:val="17"/>
                <w:color w:val="auto"/>
              </w:rPr>
              <w:t>This is the percentage of nodule mass that is picked-up up that is passed to the collector</w:t>
            </w:r>
          </w:p>
        </w:tc>
      </w:tr>
      <w:tr>
        <w:trPr>
          <w:trHeight w:val="232"/>
        </w:trPr>
        <w:tc>
          <w:tcPr>
            <w:tcW w:w="20" w:type="dxa"/>
            <w:vAlign w:val="bottom"/>
          </w:tcPr>
          <w:p>
            <w:pPr>
              <w:spacing w:after="0"/>
              <w:rPr>
                <w:sz w:val="20"/>
                <w:szCs w:val="20"/>
                <w:color w:val="auto"/>
              </w:rPr>
            </w:pPr>
          </w:p>
        </w:tc>
        <w:tc>
          <w:tcPr>
            <w:tcW w:w="2400" w:type="dxa"/>
            <w:vAlign w:val="bottom"/>
            <w:shd w:val="clear" w:color="auto" w:fill="C7EAF2"/>
          </w:tcPr>
          <w:p>
            <w:pPr>
              <w:spacing w:after="0"/>
              <w:rPr>
                <w:sz w:val="20"/>
                <w:szCs w:val="20"/>
                <w:color w:val="auto"/>
              </w:rPr>
            </w:pPr>
          </w:p>
        </w:tc>
        <w:tc>
          <w:tcPr>
            <w:tcW w:w="220" w:type="dxa"/>
            <w:vAlign w:val="bottom"/>
            <w:shd w:val="clear" w:color="auto" w:fill="C7EAF2"/>
          </w:tcPr>
          <w:p>
            <w:pPr>
              <w:spacing w:after="0"/>
              <w:rPr>
                <w:sz w:val="20"/>
                <w:szCs w:val="20"/>
                <w:color w:val="auto"/>
              </w:rPr>
            </w:pPr>
          </w:p>
        </w:tc>
        <w:tc>
          <w:tcPr>
            <w:tcW w:w="680" w:type="dxa"/>
            <w:vAlign w:val="bottom"/>
            <w:shd w:val="clear" w:color="auto" w:fill="C7EAF2"/>
          </w:tcPr>
          <w:p>
            <w:pPr>
              <w:spacing w:after="0"/>
              <w:rPr>
                <w:sz w:val="20"/>
                <w:szCs w:val="20"/>
                <w:color w:val="auto"/>
              </w:rPr>
            </w:pPr>
          </w:p>
        </w:tc>
        <w:tc>
          <w:tcPr>
            <w:tcW w:w="630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underflow.</w:t>
            </w:r>
          </w:p>
        </w:tc>
      </w:tr>
      <w:tr>
        <w:trPr>
          <w:trHeight w:val="183"/>
        </w:trPr>
        <w:tc>
          <w:tcPr>
            <w:tcW w:w="20" w:type="dxa"/>
            <w:vAlign w:val="bottom"/>
          </w:tcPr>
          <w:p>
            <w:pPr>
              <w:spacing w:after="0"/>
              <w:rPr>
                <w:sz w:val="15"/>
                <w:szCs w:val="15"/>
                <w:color w:val="auto"/>
              </w:rPr>
            </w:pPr>
          </w:p>
        </w:tc>
        <w:tc>
          <w:tcPr>
            <w:tcW w:w="262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Nodule attrition</w:t>
            </w:r>
          </w:p>
        </w:tc>
        <w:tc>
          <w:tcPr>
            <w:tcW w:w="6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0%</w:t>
            </w:r>
          </w:p>
        </w:tc>
        <w:tc>
          <w:tcPr>
            <w:tcW w:w="6300" w:type="dxa"/>
            <w:vAlign w:val="bottom"/>
            <w:gridSpan w:val="2"/>
          </w:tcPr>
          <w:p>
            <w:pPr>
              <w:ind w:left="180"/>
              <w:spacing w:after="0" w:line="183" w:lineRule="exact"/>
              <w:rPr>
                <w:sz w:val="20"/>
                <w:szCs w:val="20"/>
                <w:color w:val="auto"/>
              </w:rPr>
            </w:pPr>
            <w:r>
              <w:rPr>
                <w:rFonts w:ascii="Times New Roman" w:cs="Times New Roman" w:eastAsia="Times New Roman" w:hAnsi="Times New Roman"/>
                <w:sz w:val="17"/>
                <w:szCs w:val="17"/>
                <w:color w:val="auto"/>
              </w:rPr>
              <w:t>This is the percentage of mass of nodule lost through attrition from the seafloor to trans-</w:t>
            </w:r>
          </w:p>
        </w:tc>
      </w:tr>
      <w:tr>
        <w:trPr>
          <w:trHeight w:val="232"/>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shipment. It is included in the trans-shipment efficiency.</w:t>
            </w:r>
          </w:p>
        </w:tc>
      </w:tr>
      <w:tr>
        <w:trPr>
          <w:trHeight w:val="183"/>
        </w:trPr>
        <w:tc>
          <w:tcPr>
            <w:tcW w:w="20" w:type="dxa"/>
            <w:vAlign w:val="bottom"/>
          </w:tcPr>
          <w:p>
            <w:pPr>
              <w:spacing w:after="0"/>
              <w:rPr>
                <w:sz w:val="15"/>
                <w:szCs w:val="15"/>
                <w:color w:val="auto"/>
              </w:rPr>
            </w:pPr>
          </w:p>
        </w:tc>
        <w:tc>
          <w:tcPr>
            <w:tcW w:w="2620" w:type="dxa"/>
            <w:vAlign w:val="bottom"/>
            <w:gridSpan w:val="2"/>
            <w:shd w:val="clear" w:color="auto" w:fill="C7EAF2"/>
          </w:tcPr>
          <w:p>
            <w:pPr>
              <w:spacing w:after="0" w:line="183" w:lineRule="exact"/>
              <w:rPr>
                <w:sz w:val="20"/>
                <w:szCs w:val="20"/>
                <w:color w:val="auto"/>
              </w:rPr>
            </w:pPr>
            <w:r>
              <w:rPr>
                <w:rFonts w:ascii="Times New Roman" w:cs="Times New Roman" w:eastAsia="Times New Roman" w:hAnsi="Times New Roman"/>
                <w:sz w:val="17"/>
                <w:szCs w:val="17"/>
                <w:color w:val="auto"/>
              </w:rPr>
              <w:t>Trans-shipment efficiency</w:t>
            </w:r>
          </w:p>
        </w:tc>
        <w:tc>
          <w:tcPr>
            <w:tcW w:w="680" w:type="dxa"/>
            <w:vAlign w:val="bottom"/>
            <w:shd w:val="clear" w:color="auto" w:fill="C7EAF2"/>
          </w:tcPr>
          <w:p>
            <w:pPr>
              <w:jc w:val="center"/>
              <w:spacing w:after="0" w:line="183" w:lineRule="exact"/>
              <w:rPr>
                <w:sz w:val="20"/>
                <w:szCs w:val="20"/>
                <w:color w:val="auto"/>
              </w:rPr>
            </w:pPr>
            <w:r>
              <w:rPr>
                <w:rFonts w:ascii="Times New Roman" w:cs="Times New Roman" w:eastAsia="Times New Roman" w:hAnsi="Times New Roman"/>
                <w:sz w:val="17"/>
                <w:szCs w:val="17"/>
                <w:color w:val="auto"/>
              </w:rPr>
              <w:t>93%</w:t>
            </w:r>
          </w:p>
        </w:tc>
        <w:tc>
          <w:tcPr>
            <w:tcW w:w="6300" w:type="dxa"/>
            <w:vAlign w:val="bottom"/>
            <w:gridSpan w:val="2"/>
            <w:shd w:val="clear" w:color="auto" w:fill="C7EAF2"/>
          </w:tcPr>
          <w:p>
            <w:pPr>
              <w:ind w:left="180"/>
              <w:spacing w:after="0" w:line="183" w:lineRule="exact"/>
              <w:rPr>
                <w:sz w:val="20"/>
                <w:szCs w:val="20"/>
                <w:color w:val="auto"/>
              </w:rPr>
            </w:pPr>
            <w:r>
              <w:rPr>
                <w:rFonts w:ascii="Times New Roman" w:cs="Times New Roman" w:eastAsia="Times New Roman" w:hAnsi="Times New Roman"/>
                <w:sz w:val="17"/>
                <w:szCs w:val="17"/>
                <w:color w:val="auto"/>
              </w:rPr>
              <w:t>This is the percentage of nodule mass transferred from the production vessel to trans-</w:t>
            </w:r>
          </w:p>
        </w:tc>
      </w:tr>
      <w:tr>
        <w:trPr>
          <w:trHeight w:val="232"/>
        </w:trPr>
        <w:tc>
          <w:tcPr>
            <w:tcW w:w="20" w:type="dxa"/>
            <w:vAlign w:val="bottom"/>
          </w:tcPr>
          <w:p>
            <w:pPr>
              <w:spacing w:after="0"/>
              <w:rPr>
                <w:sz w:val="20"/>
                <w:szCs w:val="20"/>
                <w:color w:val="auto"/>
              </w:rPr>
            </w:pPr>
          </w:p>
        </w:tc>
        <w:tc>
          <w:tcPr>
            <w:tcW w:w="2400" w:type="dxa"/>
            <w:vAlign w:val="bottom"/>
            <w:shd w:val="clear" w:color="auto" w:fill="C7EAF2"/>
          </w:tcPr>
          <w:p>
            <w:pPr>
              <w:spacing w:after="0"/>
              <w:rPr>
                <w:sz w:val="20"/>
                <w:szCs w:val="20"/>
                <w:color w:val="auto"/>
              </w:rPr>
            </w:pPr>
          </w:p>
        </w:tc>
        <w:tc>
          <w:tcPr>
            <w:tcW w:w="220" w:type="dxa"/>
            <w:vAlign w:val="bottom"/>
            <w:shd w:val="clear" w:color="auto" w:fill="C7EAF2"/>
          </w:tcPr>
          <w:p>
            <w:pPr>
              <w:spacing w:after="0"/>
              <w:rPr>
                <w:sz w:val="20"/>
                <w:szCs w:val="20"/>
                <w:color w:val="auto"/>
              </w:rPr>
            </w:pPr>
          </w:p>
        </w:tc>
        <w:tc>
          <w:tcPr>
            <w:tcW w:w="680" w:type="dxa"/>
            <w:vAlign w:val="bottom"/>
            <w:shd w:val="clear" w:color="auto" w:fill="C7EAF2"/>
          </w:tcPr>
          <w:p>
            <w:pPr>
              <w:spacing w:after="0"/>
              <w:rPr>
                <w:sz w:val="20"/>
                <w:szCs w:val="20"/>
                <w:color w:val="auto"/>
              </w:rPr>
            </w:pPr>
          </w:p>
        </w:tc>
        <w:tc>
          <w:tcPr>
            <w:tcW w:w="630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shipment.</w:t>
            </w:r>
          </w:p>
        </w:tc>
      </w:tr>
      <w:tr>
        <w:trPr>
          <w:trHeight w:val="183"/>
        </w:trPr>
        <w:tc>
          <w:tcPr>
            <w:tcW w:w="20" w:type="dxa"/>
            <w:vAlign w:val="bottom"/>
          </w:tcPr>
          <w:p>
            <w:pPr>
              <w:spacing w:after="0"/>
              <w:rPr>
                <w:sz w:val="15"/>
                <w:szCs w:val="15"/>
                <w:color w:val="auto"/>
              </w:rPr>
            </w:pPr>
          </w:p>
        </w:tc>
        <w:tc>
          <w:tcPr>
            <w:tcW w:w="262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Overall collector efficiency</w:t>
            </w:r>
          </w:p>
        </w:tc>
        <w:tc>
          <w:tcPr>
            <w:tcW w:w="68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80%</w:t>
            </w:r>
          </w:p>
        </w:tc>
        <w:tc>
          <w:tcPr>
            <w:tcW w:w="6300" w:type="dxa"/>
            <w:vAlign w:val="bottom"/>
            <w:gridSpan w:val="2"/>
          </w:tcPr>
          <w:p>
            <w:pPr>
              <w:ind w:left="180"/>
              <w:spacing w:after="0" w:line="183" w:lineRule="exact"/>
              <w:rPr>
                <w:sz w:val="20"/>
                <w:szCs w:val="20"/>
                <w:color w:val="auto"/>
              </w:rPr>
            </w:pPr>
            <w:r>
              <w:rPr>
                <w:rFonts w:ascii="Times New Roman" w:cs="Times New Roman" w:eastAsia="Times New Roman" w:hAnsi="Times New Roman"/>
                <w:sz w:val="17"/>
                <w:szCs w:val="17"/>
                <w:color w:val="auto"/>
              </w:rPr>
              <w:t>This is the percentage of nodule mass passed over by the collector that is delivered to</w:t>
            </w:r>
          </w:p>
        </w:tc>
      </w:tr>
      <w:tr>
        <w:trPr>
          <w:trHeight w:val="207"/>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the transport vessel. It includes losses in the pick-up, overflow, attrition and trans-</w:t>
            </w:r>
          </w:p>
        </w:tc>
      </w:tr>
      <w:tr>
        <w:trPr>
          <w:trHeight w:val="232"/>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3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shipment (90%*95%*100%*93%).</w:t>
            </w:r>
          </w:p>
        </w:tc>
      </w:tr>
      <w:tr>
        <w:trPr>
          <w:trHeight w:val="183"/>
        </w:trPr>
        <w:tc>
          <w:tcPr>
            <w:tcW w:w="20" w:type="dxa"/>
            <w:vAlign w:val="bottom"/>
          </w:tcPr>
          <w:p>
            <w:pPr>
              <w:spacing w:after="0"/>
              <w:rPr>
                <w:sz w:val="15"/>
                <w:szCs w:val="15"/>
                <w:color w:val="auto"/>
              </w:rPr>
            </w:pPr>
          </w:p>
        </w:tc>
        <w:tc>
          <w:tcPr>
            <w:tcW w:w="2620" w:type="dxa"/>
            <w:vAlign w:val="bottom"/>
            <w:gridSpan w:val="2"/>
            <w:shd w:val="clear" w:color="auto" w:fill="C7EAF2"/>
          </w:tcPr>
          <w:p>
            <w:pPr>
              <w:spacing w:after="0" w:line="183" w:lineRule="exact"/>
              <w:rPr>
                <w:sz w:val="20"/>
                <w:szCs w:val="20"/>
                <w:color w:val="auto"/>
              </w:rPr>
            </w:pPr>
            <w:r>
              <w:rPr>
                <w:rFonts w:ascii="Times New Roman" w:cs="Times New Roman" w:eastAsia="Times New Roman" w:hAnsi="Times New Roman"/>
                <w:sz w:val="17"/>
                <w:szCs w:val="17"/>
                <w:color w:val="auto"/>
              </w:rPr>
              <w:t>Overall resource recovery factor</w:t>
            </w:r>
          </w:p>
        </w:tc>
        <w:tc>
          <w:tcPr>
            <w:tcW w:w="680" w:type="dxa"/>
            <w:vAlign w:val="bottom"/>
            <w:shd w:val="clear" w:color="auto" w:fill="C7EAF2"/>
          </w:tcPr>
          <w:p>
            <w:pPr>
              <w:jc w:val="center"/>
              <w:spacing w:after="0" w:line="183" w:lineRule="exact"/>
              <w:rPr>
                <w:sz w:val="20"/>
                <w:szCs w:val="20"/>
                <w:color w:val="auto"/>
              </w:rPr>
            </w:pPr>
            <w:r>
              <w:rPr>
                <w:rFonts w:ascii="Times New Roman" w:cs="Times New Roman" w:eastAsia="Times New Roman" w:hAnsi="Times New Roman"/>
                <w:sz w:val="17"/>
                <w:szCs w:val="17"/>
                <w:color w:val="auto"/>
              </w:rPr>
              <w:t>73%</w:t>
            </w:r>
          </w:p>
        </w:tc>
        <w:tc>
          <w:tcPr>
            <w:tcW w:w="6300" w:type="dxa"/>
            <w:vAlign w:val="bottom"/>
            <w:gridSpan w:val="2"/>
            <w:shd w:val="clear" w:color="auto" w:fill="C7EAF2"/>
          </w:tcPr>
          <w:p>
            <w:pPr>
              <w:ind w:left="180"/>
              <w:spacing w:after="0" w:line="183" w:lineRule="exact"/>
              <w:rPr>
                <w:sz w:val="20"/>
                <w:szCs w:val="20"/>
                <w:color w:val="auto"/>
              </w:rPr>
            </w:pPr>
            <w:r>
              <w:rPr>
                <w:rFonts w:ascii="Times New Roman" w:cs="Times New Roman" w:eastAsia="Times New Roman" w:hAnsi="Times New Roman"/>
                <w:sz w:val="17"/>
                <w:szCs w:val="17"/>
                <w:color w:val="auto"/>
              </w:rPr>
              <w:t>Is the product of the resource area efficiency * collector pick-up efficiency * collector</w:t>
            </w:r>
          </w:p>
        </w:tc>
      </w:tr>
      <w:tr>
        <w:trPr>
          <w:trHeight w:val="207"/>
        </w:trPr>
        <w:tc>
          <w:tcPr>
            <w:tcW w:w="20" w:type="dxa"/>
            <w:vAlign w:val="bottom"/>
          </w:tcPr>
          <w:p>
            <w:pPr>
              <w:spacing w:after="0"/>
              <w:rPr>
                <w:sz w:val="18"/>
                <w:szCs w:val="18"/>
                <w:color w:val="auto"/>
              </w:rPr>
            </w:pPr>
          </w:p>
        </w:tc>
        <w:tc>
          <w:tcPr>
            <w:tcW w:w="240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680" w:type="dxa"/>
            <w:vAlign w:val="bottom"/>
            <w:shd w:val="clear" w:color="auto" w:fill="C7EAF2"/>
          </w:tcPr>
          <w:p>
            <w:pPr>
              <w:spacing w:after="0"/>
              <w:rPr>
                <w:sz w:val="18"/>
                <w:szCs w:val="18"/>
                <w:color w:val="auto"/>
              </w:rPr>
            </w:pPr>
          </w:p>
        </w:tc>
        <w:tc>
          <w:tcPr>
            <w:tcW w:w="630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under flow efficiency * (1 — nodule attrition (%)), * trans-shipment efficiency</w:t>
            </w:r>
          </w:p>
        </w:tc>
      </w:tr>
      <w:tr>
        <w:trPr>
          <w:trHeight w:val="232"/>
        </w:trPr>
        <w:tc>
          <w:tcPr>
            <w:tcW w:w="20" w:type="dxa"/>
            <w:vAlign w:val="bottom"/>
          </w:tcPr>
          <w:p>
            <w:pPr>
              <w:spacing w:after="0"/>
              <w:rPr>
                <w:sz w:val="20"/>
                <w:szCs w:val="20"/>
                <w:color w:val="auto"/>
              </w:rPr>
            </w:pPr>
          </w:p>
        </w:tc>
        <w:tc>
          <w:tcPr>
            <w:tcW w:w="2400" w:type="dxa"/>
            <w:vAlign w:val="bottom"/>
            <w:shd w:val="clear" w:color="auto" w:fill="C7EAF2"/>
          </w:tcPr>
          <w:p>
            <w:pPr>
              <w:spacing w:after="0"/>
              <w:rPr>
                <w:sz w:val="20"/>
                <w:szCs w:val="20"/>
                <w:color w:val="auto"/>
              </w:rPr>
            </w:pPr>
          </w:p>
        </w:tc>
        <w:tc>
          <w:tcPr>
            <w:tcW w:w="220" w:type="dxa"/>
            <w:vAlign w:val="bottom"/>
            <w:shd w:val="clear" w:color="auto" w:fill="C7EAF2"/>
          </w:tcPr>
          <w:p>
            <w:pPr>
              <w:spacing w:after="0"/>
              <w:rPr>
                <w:sz w:val="20"/>
                <w:szCs w:val="20"/>
                <w:color w:val="auto"/>
              </w:rPr>
            </w:pPr>
          </w:p>
        </w:tc>
        <w:tc>
          <w:tcPr>
            <w:tcW w:w="680" w:type="dxa"/>
            <w:vAlign w:val="bottom"/>
            <w:shd w:val="clear" w:color="auto" w:fill="C7EAF2"/>
          </w:tcPr>
          <w:p>
            <w:pPr>
              <w:spacing w:after="0"/>
              <w:rPr>
                <w:sz w:val="20"/>
                <w:szCs w:val="20"/>
                <w:color w:val="auto"/>
              </w:rPr>
            </w:pPr>
          </w:p>
        </w:tc>
        <w:tc>
          <w:tcPr>
            <w:tcW w:w="630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(92%*90%*95%*100%*93%).</w:t>
            </w:r>
          </w:p>
        </w:tc>
      </w:tr>
    </w:tbl>
    <w:p>
      <w:pPr>
        <w:spacing w:after="0" w:line="183" w:lineRule="exact"/>
        <w:rPr>
          <w:sz w:val="20"/>
          <w:szCs w:val="20"/>
          <w:color w:val="auto"/>
        </w:rPr>
      </w:pPr>
    </w:p>
    <w:p>
      <w:pPr>
        <w:ind w:right="860" w:firstLine="311"/>
        <w:spacing w:after="0" w:line="509" w:lineRule="auto"/>
        <w:rPr>
          <w:sz w:val="20"/>
          <w:szCs w:val="20"/>
          <w:color w:val="auto"/>
        </w:rPr>
      </w:pPr>
      <w:r>
        <w:rPr>
          <w:rFonts w:ascii="Times New Roman" w:cs="Times New Roman" w:eastAsia="Times New Roman" w:hAnsi="Times New Roman"/>
          <w:sz w:val="17"/>
          <w:szCs w:val="17"/>
          <w:color w:val="auto"/>
        </w:rPr>
        <w:t xml:space="preserve">For more information on polymetallic nodule collection methods, see Section 13 of the NORI Technical Report Summary. </w:t>
      </w:r>
      <w:r>
        <w:rPr>
          <w:rFonts w:ascii="Times New Roman" w:cs="Times New Roman" w:eastAsia="Times New Roman" w:hAnsi="Times New Roman"/>
          <w:sz w:val="17"/>
          <w:szCs w:val="17"/>
          <w:b w:val="1"/>
          <w:bCs w:val="1"/>
          <w:i w:val="1"/>
          <w:iCs w:val="1"/>
          <w:color w:val="auto"/>
        </w:rPr>
        <w:t>Mineral processing and metallurgical testing</w:t>
      </w: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A combined pyro-metallurgical and hydro-metallurgical flowsheet was evaluated for the initial assessment included in the NORI Technical Report Summary. Similar flowsheets were investigated at various times over the last several decades. NORI has undertaken bench-scale test-work and is in the process of completing pilot-scale testing of the proposed flowsheet. This work has confirmed or improved the flowsheet that was initially developed from extensive information available in the literature.</w:t>
      </w:r>
    </w:p>
    <w:p>
      <w:pPr>
        <w:spacing w:after="0" w:line="160"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For Project Zero, NORI proposes to toll treat polymetallic nodules at existing RKEF smelters. During Project One, NORI proposes the progressive construction and expansion of a new pyrometallurgical and hydrometallurgical process plant for the recovery of battery-grade nickel and cobalt sulfate powder, copper cathode and manganese silicate, from polymetallic nodules. This is expected to allow for the proportion of toll treatment to be reduced.</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Four RKEF lines and two hydrometallurgical refineries are expected to be required to meet our expected production demand.</w:t>
      </w:r>
    </w:p>
    <w:p>
      <w:pPr>
        <w:spacing w:after="0" w:line="21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pyrometallurgical front-end of the plant is expected to use RKEF lines that calcine and smelt the nodules to form an alloy. The alloy is then expected to be sulphidized to form a matte and then partially converted in a Peirce-Smith converter operation to remove iron. The matte from the sulphidation step is planned to then be sent to the hydrometallurgical refinery. The pyrometallurgical process is expected to be similar to that successfully used to process some nickel laterite ores.</w:t>
      </w:r>
    </w:p>
    <w:p>
      <w:pPr>
        <w:sectPr>
          <w:pgSz w:w="12240" w:h="15840" w:orient="portrait"/>
          <w:cols w:equalWidth="0" w:num="1">
            <w:col w:w="9620"/>
          </w:cols>
          <w:pgMar w:left="1320" w:top="1337" w:right="130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85" w:name="page86"/>
    <w:bookmarkEnd w:id="85"/>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94">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95">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hydrometallurgical refinery concept is based on a sulfuric acid leach flowsheet. A two-stage leach would be used to produce copper cathode and a pregnant leach solution rich in nickel and cobalt, while low in copper. Further processing of the pregnant leach solution is based on mixed-sulphide precipitate processing flowsheets employing solvent extraction. The final production of battery-grade nickel and cobalt sulfates is expected to use crystallization.</w:t>
      </w:r>
    </w:p>
    <w:p>
      <w:pPr>
        <w:spacing w:after="0" w:line="161"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The pyrometallurgical process is expected to generate a manganese silicate stream that we believe could be sold to the manganese industry and small converter slag stream that we believe could be sold for industrial applications. No value has been ascribed to converter slag in the NORI Technical Report Summary. The hydrometallurgical plant is expected to produce an ammonium sulfate by-product for sale to the fertilizer industry. Thus, together with the ability to recycle other hydrometallurgical side-streams to the pyrometallurgical process, the flowsheet is planned to have neither tailings ponds nor permanent slag repositories and should not generate substantial waste streams.</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average targeted processing rate for the new processing plant at full capacity is expected to be 6.4 Mtpa of nodules (dry basis).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location and host country of the processing operation has not yet been determined. Engineering design has not yet been undertaken.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Expected metallurgical recoveries are summarized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Nickel</w:t>
            </w:r>
          </w:p>
        </w:tc>
        <w:tc>
          <w:tcPr>
            <w:tcW w:w="1180" w:type="dxa"/>
            <w:vAlign w:val="bottom"/>
            <w:gridSpan w:val="2"/>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8"/>
              </w:rPr>
              <w:t>Cobalt</w:t>
            </w:r>
          </w:p>
        </w:tc>
        <w:tc>
          <w:tcPr>
            <w:tcW w:w="1200" w:type="dxa"/>
            <w:vAlign w:val="bottom"/>
            <w:gridSpan w:val="2"/>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Copper</w:t>
            </w:r>
          </w:p>
        </w:tc>
        <w:tc>
          <w:tcPr>
            <w:tcW w:w="0" w:type="dxa"/>
            <w:vAlign w:val="bottom"/>
          </w:tcPr>
          <w:p>
            <w:pPr>
              <w:spacing w:after="0"/>
              <w:rPr>
                <w:sz w:val="1"/>
                <w:szCs w:val="1"/>
                <w:color w:val="auto"/>
              </w:rPr>
            </w:pPr>
          </w:p>
        </w:tc>
      </w:tr>
      <w:tr>
        <w:trPr>
          <w:trHeight w:val="143"/>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Process Step</w:t>
            </w:r>
          </w:p>
        </w:tc>
        <w:tc>
          <w:tcPr>
            <w:tcW w:w="1180" w:type="dxa"/>
            <w:vAlign w:val="bottom"/>
            <w:gridSpan w:val="2"/>
          </w:tcPr>
          <w:p>
            <w:pPr>
              <w:jc w:val="center"/>
              <w:ind w:right="174"/>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Recovery</w:t>
            </w:r>
          </w:p>
        </w:tc>
        <w:tc>
          <w:tcPr>
            <w:tcW w:w="1180" w:type="dxa"/>
            <w:vAlign w:val="bottom"/>
            <w:gridSpan w:val="2"/>
          </w:tcPr>
          <w:p>
            <w:pPr>
              <w:jc w:val="center"/>
              <w:ind w:right="174"/>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Recovery</w:t>
            </w:r>
          </w:p>
        </w:tc>
        <w:tc>
          <w:tcPr>
            <w:tcW w:w="1200" w:type="dxa"/>
            <w:vAlign w:val="bottom"/>
            <w:gridSpan w:val="2"/>
          </w:tcPr>
          <w:p>
            <w:pPr>
              <w:jc w:val="right"/>
              <w:ind w:right="354"/>
              <w:spacing w:after="0" w:line="143" w:lineRule="exact"/>
              <w:rPr>
                <w:sz w:val="20"/>
                <w:szCs w:val="20"/>
                <w:color w:val="auto"/>
              </w:rPr>
            </w:pPr>
            <w:r>
              <w:rPr>
                <w:rFonts w:ascii="Times New Roman" w:cs="Times New Roman" w:eastAsia="Times New Roman" w:hAnsi="Times New Roman"/>
                <w:sz w:val="14"/>
                <w:szCs w:val="14"/>
                <w:b w:val="1"/>
                <w:bCs w:val="1"/>
                <w:color w:val="auto"/>
              </w:rPr>
              <w:t>Recovery</w:t>
            </w:r>
          </w:p>
        </w:tc>
        <w:tc>
          <w:tcPr>
            <w:tcW w:w="0" w:type="dxa"/>
            <w:vAlign w:val="bottom"/>
          </w:tcPr>
          <w:p>
            <w:pPr>
              <w:spacing w:after="0"/>
              <w:rPr>
                <w:sz w:val="1"/>
                <w:szCs w:val="1"/>
                <w:color w:val="auto"/>
              </w:rPr>
            </w:pPr>
          </w:p>
        </w:tc>
      </w:tr>
      <w:tr>
        <w:trPr>
          <w:trHeight w:val="168"/>
        </w:trPr>
        <w:tc>
          <w:tcPr>
            <w:tcW w:w="6060" w:type="dxa"/>
            <w:vAlign w:val="bottom"/>
            <w:gridSpan w:val="2"/>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9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84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Final matte</w:t>
            </w:r>
          </w:p>
        </w:tc>
        <w:tc>
          <w:tcPr>
            <w:tcW w:w="220" w:type="dxa"/>
            <w:vAlign w:val="bottom"/>
            <w:tcBorders>
              <w:top w:val="single" w:sz="8" w:color="C7EAF2"/>
            </w:tcBorders>
            <w:shd w:val="clear" w:color="auto" w:fill="C7EAF2"/>
          </w:tcPr>
          <w:p>
            <w:pPr>
              <w:spacing w:after="0"/>
              <w:rPr>
                <w:sz w:val="17"/>
                <w:szCs w:val="17"/>
                <w:color w:val="auto"/>
              </w:rPr>
            </w:pPr>
          </w:p>
        </w:tc>
        <w:tc>
          <w:tcPr>
            <w:tcW w:w="9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20" w:type="dxa"/>
            <w:vAlign w:val="bottom"/>
            <w:tcBorders>
              <w:top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9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77.4</w:t>
            </w:r>
          </w:p>
        </w:tc>
        <w:tc>
          <w:tcPr>
            <w:tcW w:w="240" w:type="dxa"/>
            <w:vAlign w:val="bottom"/>
            <w:tcBorders>
              <w:top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9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240" w:type="dxa"/>
            <w:vAlign w:val="bottom"/>
            <w:tcBorders>
              <w:top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7"/>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Hydrometallurgical products before recycle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98.9 %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98.0 %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7"/>
        </w:trPr>
        <w:tc>
          <w:tcPr>
            <w:tcW w:w="60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Recycled residue</w:t>
            </w:r>
          </w:p>
        </w:tc>
        <w:tc>
          <w:tcPr>
            <w:tcW w:w="11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94.6 %</w:t>
            </w:r>
          </w:p>
        </w:tc>
        <w:tc>
          <w:tcPr>
            <w:tcW w:w="11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77.4 %</w:t>
            </w:r>
          </w:p>
        </w:tc>
        <w:tc>
          <w:tcPr>
            <w:tcW w:w="9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32"/>
        </w:trPr>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Overall recovery</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94.6 %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77.2 %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In addition to the above base metals, 98.9% of the manganese contained in the feed is expected to be recovered in the manganese silicate product, containing 52.6% MnO. Approximately 7.3 Mt of manganese silicate is expected to be produced per annum (from steady state operation from 2030 onwards).</w:t>
      </w:r>
    </w:p>
    <w:p>
      <w:pPr>
        <w:spacing w:after="0" w:line="155" w:lineRule="exact"/>
        <w:rPr>
          <w:sz w:val="20"/>
          <w:szCs w:val="20"/>
          <w:color w:val="auto"/>
        </w:rPr>
      </w:pPr>
    </w:p>
    <w:p>
      <w:pPr>
        <w:ind w:right="520" w:firstLine="311"/>
        <w:spacing w:after="0" w:line="509" w:lineRule="auto"/>
        <w:rPr>
          <w:sz w:val="20"/>
          <w:szCs w:val="20"/>
          <w:color w:val="auto"/>
        </w:rPr>
      </w:pPr>
      <w:r>
        <w:rPr>
          <w:rFonts w:ascii="Times New Roman" w:cs="Times New Roman" w:eastAsia="Times New Roman" w:hAnsi="Times New Roman"/>
          <w:sz w:val="17"/>
          <w:szCs w:val="17"/>
          <w:color w:val="auto"/>
        </w:rPr>
        <w:t xml:space="preserve">For more information on mineral processing and metallurgical testing, see Section 14 of the NORI Technical Report Summary. </w:t>
      </w:r>
      <w:r>
        <w:rPr>
          <w:rFonts w:ascii="Times New Roman" w:cs="Times New Roman" w:eastAsia="Times New Roman" w:hAnsi="Times New Roman"/>
          <w:sz w:val="17"/>
          <w:szCs w:val="17"/>
          <w:b w:val="1"/>
          <w:bCs w:val="1"/>
          <w:i w:val="1"/>
          <w:iCs w:val="1"/>
          <w:color w:val="auto"/>
        </w:rPr>
        <w:t>Environmental studies, permitting, community, or social impact</w:t>
      </w: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Historically, a significant amount of technical work has been undertaken within the CCZ by the contractors under the ISA and a significant body of information has been acquired during the past 40 years on the likely environmental impacts of collecting nodules from the seafloor.</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NORI’s offshore exploration campaigns have included sampling to support environmental studies, collection of high-resolution imagery and environmental baseline studies. Environmental campaigns in 2021 resulted in completion of the offshore environmental data collection required for the ESIA baseline studies.</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NORI has commenced the ESIA process in support of an application for an exploitation contract for the commercial collection of deep-sea polymetallic nodules. A comprehensive program of metocean and biological data acquisition is largely complete, required to characterize the baseline conditions at a designated Collector Test site and control sites in the NORI Contract Area.</w:t>
      </w:r>
    </w:p>
    <w:p>
      <w:pPr>
        <w:spacing w:after="0" w:line="155"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NORI intends to manage the project under the governance of an Environmental Management System (“EMS”), which is to be developed in accordance with the international EMS standard, ISO 14001:2004. The EMS will provide the overall framework for the environmental management and monitoring plans that will be required.</w:t>
      </w:r>
    </w:p>
    <w:p>
      <w:pPr>
        <w:spacing w:after="0" w:line="155"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An EMMP will be required. The plan will specify the objectives and purpose of all monitoring requirements, the components to be monitored, frequency of monitoring, methods of monitoring, analysis required in each monitoring component, monitoring data management and reporting. The plan will be submitted to the ISA as part of the ISA Exploitation Contract application. This plan will involve an ecosystem approach incorporating an adaptive management system.</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86" w:name="page87"/>
    <w:bookmarkEnd w:id="86"/>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96">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97">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social impacts of the offshore operation are expected to be positive. The CCZ is uninhabited by people, and there are no landowners associated with the CCZ. No significant commercial fishing is carried out in the area. The project is expected to provide a source of revenue to our sponsor country, Nauru, and the ISA.</w:t>
      </w:r>
    </w:p>
    <w:p>
      <w:pPr>
        <w:spacing w:after="0" w:line="15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onshore environmental and social impacts have not yet been assessed because the process plant has not been designed in detail, and the location and host country (and hence regulatory regime) not confirmed. The planned metallurgical process will not generate solid waste products, and the deleterious elements (for example, cadmium and arsenic) content of the nodules is very low, indicating that with careful management the environmental impacts of the processing operation could be very low.</w:t>
      </w:r>
    </w:p>
    <w:p>
      <w:pPr>
        <w:spacing w:after="0" w:line="161"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For more information on environmental studies, permitting and social or community impact, see Section 17 of the NORI Technical Report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analysis</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developed in-house a financial model based on estimates of future cash flows derived from extraction of nodules from the NORI Area D project. AMC reviewed the logic, input assumptions and integrity of the calculations and forecasts. The financial model is for NORI Area D only, which is at a preliminary level of planning and design. We do not believe there have been any material changes to this model since AMC’s review.</w:t>
      </w:r>
    </w:p>
    <w:p>
      <w:pPr>
        <w:spacing w:after="0" w:line="160"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For the initial assessment, the offshore cost estimates were developed based upon the guidelines of the AACE (Association for the Advancement of Cost Engineering) International Recommended Practice No. 18R-97. Based on engineering studies performed previously by Deep Reach Technology (DRT) for Deep Green Resources and the experience in trial mining of deep-sea nodules by DRT personnel, the cost estimate was considered to be a class 4. Offshore capital costs were estimated to accuracy levels of -30% +40%. Onshore capital costs were estimated according to an AACE Class 5 level of accuracy (–35% +50%). A contingency of 25% was applied to the offshore and onshore capital cost estimates. The collection plan considered in the NORI Technical Report Summary contemplates a 23-year production period. The expected production period is within the expected duration of a NORI Area D ISA Exploitation Contract which would be thirty (30) years (with possible extensions by periods of ten (10) years) as outlined in the current draft of the regulations for exploitation of mineral resources in the CCZ (ISBA/25/C/WP.1).</w:t>
      </w:r>
    </w:p>
    <w:p>
      <w:pPr>
        <w:spacing w:after="0" w:line="168" w:lineRule="exact"/>
        <w:rPr>
          <w:sz w:val="20"/>
          <w:szCs w:val="20"/>
          <w:color w:val="auto"/>
        </w:rPr>
      </w:pPr>
    </w:p>
    <w:p>
      <w:pPr>
        <w:jc w:val="both"/>
        <w:ind w:firstLine="311"/>
        <w:spacing w:after="0" w:line="234" w:lineRule="auto"/>
        <w:rPr>
          <w:sz w:val="20"/>
          <w:szCs w:val="20"/>
          <w:color w:val="auto"/>
        </w:rPr>
      </w:pPr>
      <w:r>
        <w:rPr>
          <w:rFonts w:ascii="Times New Roman" w:cs="Times New Roman" w:eastAsia="Times New Roman" w:hAnsi="Times New Roman"/>
          <w:sz w:val="17"/>
          <w:szCs w:val="17"/>
          <w:color w:val="auto"/>
        </w:rPr>
        <w:t>After the initial 23-year period, substantial resources will remain in the other NORI Areas that could support future collection (combined inferred mineral resource in NORI Areas A, B and C of 510 Mt (wet) at 1.28% Ni, 0.21% Co, 1.04% Cu, 28.3% Mn, at an average abundance of 11 kg (wet)/m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The proposed project schedule is shown in the Gantt chart in Figure 19.1 of the NORI Technical Report Summary.</w:t>
      </w:r>
    </w:p>
    <w:p>
      <w:pPr>
        <w:spacing w:after="0" w:line="185"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In Project Zero, NORI expects to toll treat the nodules in third-party pyrometallurgical plants and sell the RKEF products into the alloy market. This will be expected to generate revenue while the pyrometallurgical and hydrometallurgical facilities are planned to be built.</w:t>
      </w:r>
    </w:p>
    <w:p>
      <w:pPr>
        <w:spacing w:after="0" w:line="35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Project One, NORI expects to stage the construction of its multiple pyrometallurgical and hydrometallurgical lines to flatten out capital expenditure requirements. Nodule production is expected to be directed preferentially to the NORI pyrometallurgical plants as this is expected to be the lowest operating cost option. Whenever these facilities are at maximum capacity (particularly during the ramp-up phase), the surplus nodules are expected to be sent for toll treatment.</w:t>
      </w:r>
    </w:p>
    <w:p>
      <w:pPr>
        <w:spacing w:after="0" w:line="161"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NORI expects that it will ensure that its own hydrometallurgical refineries are filled up to maximum capacity, as this is expected to produce the highest value products. Whenever its own hydrometallurgical refineries are at full capacity, NORI expects to sell the surplus product from its pyrometallurgical plant directly to the matte market. While the matte is not as valuable as the refined products from the hydrometallurgical plant (nickel sulfate, cobalt sulfate, and copper cathode), it still provides a consistent revenue stream and assists for periods when the refineries are at full capacity.</w:t>
      </w:r>
    </w:p>
    <w:p>
      <w:pPr>
        <w:spacing w:after="0" w:line="165"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Some of the alloy production from toll treatment of NORI nodules are expected to be shipped to the NORI hydrometallurgical plants to make use of spare capacity. This will require the alloy from the third-party RKEF to be sulphidized prior to hydrometallurgical treatment.</w:t>
      </w:r>
    </w:p>
    <w:p>
      <w:pPr>
        <w:sectPr>
          <w:pgSz w:w="12240" w:h="15840" w:orient="portrait"/>
          <w:cols w:equalWidth="0" w:num="1">
            <w:col w:w="9620"/>
          </w:cols>
          <w:pgMar w:left="1320" w:top="1337" w:right="130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type w:val="continuous"/>
        </w:sectPr>
      </w:pPr>
    </w:p>
    <w:bookmarkStart w:id="87" w:name="page88"/>
    <w:bookmarkEnd w:id="87"/>
    <w:p>
      <w:pPr>
        <w:ind w:firstLine="311"/>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98">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99">
                      <a:extLst>
                        <a:ext uri="{28A0092B-C50C-407E-A947-70E740481C1C}"/>
                      </a:extLst>
                    </a:blip>
                    <a:srcRect/>
                    <a:stretch>
                      <a:fillRect/>
                    </a:stretch>
                  </pic:blipFill>
                  <pic:spPr bwMode="auto">
                    <a:xfrm>
                      <a:off x="0" y="0"/>
                      <a:ext cx="5080" cy="13970"/>
                    </a:xfrm>
                    <a:prstGeom prst="rect">
                      <a:avLst/>
                    </a:prstGeom>
                    <a:noFill/>
                  </pic:spPr>
                </pic:pic>
              </a:graphicData>
            </a:graphic>
          </wp:anchor>
        </w:drawing>
        <w:t>Based on preliminary discussions with potential buyers, NORI believes that there is sufficient demand for the alloy and matte over the life of the project.</w:t>
      </w:r>
    </w:p>
    <w:p>
      <w:pPr>
        <w:spacing w:after="0" w:line="137" w:lineRule="exact"/>
        <w:rPr>
          <w:sz w:val="20"/>
          <w:szCs w:val="20"/>
          <w:color w:val="auto"/>
        </w:rPr>
      </w:pPr>
    </w:p>
    <w:p>
      <w:pPr>
        <w:ind w:firstLine="311"/>
        <w:spacing w:after="0" w:line="298" w:lineRule="auto"/>
        <w:rPr>
          <w:sz w:val="20"/>
          <w:szCs w:val="20"/>
          <w:color w:val="auto"/>
        </w:rPr>
      </w:pPr>
      <w:r>
        <w:rPr>
          <w:rFonts w:ascii="Times New Roman" w:cs="Times New Roman" w:eastAsia="Times New Roman" w:hAnsi="Times New Roman"/>
          <w:sz w:val="17"/>
          <w:szCs w:val="17"/>
          <w:color w:val="auto"/>
        </w:rPr>
        <w:t>The analysis was performed on a 100% ownership basis and excludes consideration of financing costs and forward metal sales. The analysis assumes the economic parameters listed in the table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Assumed Economic Inputs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Parameters</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60" w:type="dxa"/>
            <w:vAlign w:val="bottom"/>
            <w:gridSpan w:val="2"/>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Values</w:t>
            </w:r>
          </w:p>
        </w:tc>
      </w:tr>
      <w:tr>
        <w:trPr>
          <w:trHeight w:val="200"/>
        </w:trPr>
        <w:tc>
          <w:tcPr>
            <w:tcW w:w="20" w:type="dxa"/>
            <w:vAlign w:val="bottom"/>
          </w:tcPr>
          <w:p>
            <w:pPr>
              <w:spacing w:after="0"/>
              <w:rPr>
                <w:sz w:val="17"/>
                <w:szCs w:val="17"/>
                <w:color w:val="auto"/>
              </w:rPr>
            </w:pPr>
          </w:p>
        </w:tc>
        <w:tc>
          <w:tcPr>
            <w:tcW w:w="61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Hydrometallurgical plant Ni recovery</w:t>
            </w:r>
          </w:p>
        </w:tc>
        <w:tc>
          <w:tcPr>
            <w:tcW w:w="220" w:type="dxa"/>
            <w:vAlign w:val="bottom"/>
            <w:tcBorders>
              <w:top w:val="single" w:sz="8" w:color="C7EAF2"/>
            </w:tcBorders>
            <w:shd w:val="clear" w:color="auto" w:fill="C7EAF2"/>
          </w:tcPr>
          <w:p>
            <w:pPr>
              <w:spacing w:after="0"/>
              <w:rPr>
                <w:sz w:val="17"/>
                <w:szCs w:val="17"/>
                <w:color w:val="auto"/>
              </w:rPr>
            </w:pPr>
          </w:p>
        </w:tc>
        <w:tc>
          <w:tcPr>
            <w:tcW w:w="150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7EAF2"/>
            </w:tcBorders>
            <w:shd w:val="clear" w:color="auto" w:fill="C7EAF2"/>
          </w:tcPr>
          <w:p>
            <w:pPr>
              <w:spacing w:after="0"/>
              <w:rPr>
                <w:sz w:val="17"/>
                <w:szCs w:val="17"/>
                <w:color w:val="auto"/>
              </w:rPr>
            </w:pPr>
          </w:p>
        </w:tc>
        <w:tc>
          <w:tcPr>
            <w:tcW w:w="13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220" w:type="dxa"/>
            <w:vAlign w:val="bottom"/>
            <w:tcBorders>
              <w:top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20"/>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Mn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98.9 %</w:t>
            </w:r>
          </w:p>
        </w:tc>
      </w:tr>
      <w:tr>
        <w:trPr>
          <w:trHeight w:val="220"/>
        </w:trPr>
        <w:tc>
          <w:tcPr>
            <w:tcW w:w="20" w:type="dxa"/>
            <w:vAlign w:val="bottom"/>
          </w:tcPr>
          <w:p>
            <w:pPr>
              <w:spacing w:after="0"/>
              <w:rPr>
                <w:sz w:val="19"/>
                <w:szCs w:val="19"/>
                <w:color w:val="auto"/>
              </w:rPr>
            </w:pPr>
          </w:p>
        </w:tc>
        <w:tc>
          <w:tcPr>
            <w:tcW w:w="63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Hydrometallurgical plant Cu recovery</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7EAF2"/>
          </w:tcPr>
          <w:p>
            <w:pPr>
              <w:spacing w:after="0"/>
              <w:rPr>
                <w:sz w:val="19"/>
                <w:szCs w:val="19"/>
                <w:color w:val="auto"/>
              </w:rPr>
            </w:pPr>
          </w:p>
        </w:tc>
        <w:tc>
          <w:tcPr>
            <w:tcW w:w="15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86.2 %</w:t>
            </w:r>
          </w:p>
        </w:tc>
      </w:tr>
      <w:tr>
        <w:trPr>
          <w:trHeight w:val="220"/>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Hydrometallurgical plant Co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77.2 %</w:t>
            </w:r>
          </w:p>
        </w:tc>
      </w:tr>
      <w:tr>
        <w:trPr>
          <w:trHeight w:val="220"/>
        </w:trPr>
        <w:tc>
          <w:tcPr>
            <w:tcW w:w="20" w:type="dxa"/>
            <w:vAlign w:val="bottom"/>
          </w:tcPr>
          <w:p>
            <w:pPr>
              <w:spacing w:after="0"/>
              <w:rPr>
                <w:sz w:val="19"/>
                <w:szCs w:val="19"/>
                <w:color w:val="auto"/>
              </w:rPr>
            </w:pPr>
          </w:p>
        </w:tc>
        <w:tc>
          <w:tcPr>
            <w:tcW w:w="63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Pyrometallurgical plant Ni recovery</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7EAF2"/>
          </w:tcPr>
          <w:p>
            <w:pPr>
              <w:spacing w:after="0"/>
              <w:rPr>
                <w:sz w:val="19"/>
                <w:szCs w:val="19"/>
                <w:color w:val="auto"/>
              </w:rPr>
            </w:pPr>
          </w:p>
        </w:tc>
        <w:tc>
          <w:tcPr>
            <w:tcW w:w="15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96.8 %</w:t>
            </w:r>
          </w:p>
        </w:tc>
      </w:tr>
      <w:tr>
        <w:trPr>
          <w:trHeight w:val="220"/>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Pyrometallurgical plant Cu recovery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93.3 %</w:t>
            </w:r>
          </w:p>
        </w:tc>
      </w:tr>
      <w:tr>
        <w:trPr>
          <w:trHeight w:val="220"/>
        </w:trPr>
        <w:tc>
          <w:tcPr>
            <w:tcW w:w="20" w:type="dxa"/>
            <w:vAlign w:val="bottom"/>
          </w:tcPr>
          <w:p>
            <w:pPr>
              <w:spacing w:after="0"/>
              <w:rPr>
                <w:sz w:val="19"/>
                <w:szCs w:val="19"/>
                <w:color w:val="auto"/>
              </w:rPr>
            </w:pPr>
          </w:p>
        </w:tc>
        <w:tc>
          <w:tcPr>
            <w:tcW w:w="63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Pyrometallurgical plant Co recovery</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7EAF2"/>
          </w:tcPr>
          <w:p>
            <w:pPr>
              <w:spacing w:after="0"/>
              <w:rPr>
                <w:sz w:val="19"/>
                <w:szCs w:val="19"/>
                <w:color w:val="auto"/>
              </w:rPr>
            </w:pPr>
          </w:p>
        </w:tc>
        <w:tc>
          <w:tcPr>
            <w:tcW w:w="15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92.7 %</w:t>
            </w:r>
          </w:p>
        </w:tc>
      </w:tr>
      <w:tr>
        <w:trPr>
          <w:trHeight w:val="220"/>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Mn silicate grade</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40.0 %</w:t>
            </w:r>
          </w:p>
        </w:tc>
      </w:tr>
      <w:tr>
        <w:trPr>
          <w:trHeight w:val="220"/>
        </w:trPr>
        <w:tc>
          <w:tcPr>
            <w:tcW w:w="20" w:type="dxa"/>
            <w:vAlign w:val="bottom"/>
          </w:tcPr>
          <w:p>
            <w:pPr>
              <w:spacing w:after="0"/>
              <w:rPr>
                <w:sz w:val="19"/>
                <w:szCs w:val="19"/>
                <w:color w:val="auto"/>
              </w:rPr>
            </w:pPr>
          </w:p>
        </w:tc>
        <w:tc>
          <w:tcPr>
            <w:tcW w:w="63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Cu cathode grade</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7EAF2"/>
          </w:tcPr>
          <w:p>
            <w:pPr>
              <w:spacing w:after="0"/>
              <w:rPr>
                <w:sz w:val="19"/>
                <w:szCs w:val="19"/>
                <w:color w:val="auto"/>
              </w:rPr>
            </w:pPr>
          </w:p>
        </w:tc>
        <w:tc>
          <w:tcPr>
            <w:tcW w:w="15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99.9 %</w:t>
            </w:r>
          </w:p>
        </w:tc>
      </w:tr>
      <w:tr>
        <w:trPr>
          <w:trHeight w:val="220"/>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Payability of Cu content in cathode</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0"/>
        </w:trPr>
        <w:tc>
          <w:tcPr>
            <w:tcW w:w="20" w:type="dxa"/>
            <w:vAlign w:val="bottom"/>
          </w:tcPr>
          <w:p>
            <w:pPr>
              <w:spacing w:after="0"/>
              <w:rPr>
                <w:sz w:val="19"/>
                <w:szCs w:val="19"/>
                <w:color w:val="auto"/>
              </w:rPr>
            </w:pPr>
          </w:p>
        </w:tc>
        <w:tc>
          <w:tcPr>
            <w:tcW w:w="63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Nodule moisture content</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7EAF2"/>
          </w:tcPr>
          <w:p>
            <w:pPr>
              <w:spacing w:after="0"/>
              <w:rPr>
                <w:sz w:val="19"/>
                <w:szCs w:val="19"/>
                <w:color w:val="auto"/>
              </w:rPr>
            </w:pPr>
          </w:p>
        </w:tc>
        <w:tc>
          <w:tcPr>
            <w:tcW w:w="15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24 %</w:t>
            </w:r>
          </w:p>
        </w:tc>
      </w:tr>
      <w:tr>
        <w:trPr>
          <w:trHeight w:val="207"/>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Onshore tax rate</w:t>
            </w: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 of taxable income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07"/>
        </w:trPr>
        <w:tc>
          <w:tcPr>
            <w:tcW w:w="20" w:type="dxa"/>
            <w:vAlign w:val="bottom"/>
          </w:tcPr>
          <w:p>
            <w:pPr>
              <w:spacing w:after="0"/>
              <w:rPr>
                <w:sz w:val="18"/>
                <w:szCs w:val="18"/>
                <w:color w:val="auto"/>
              </w:rPr>
            </w:pPr>
          </w:p>
        </w:tc>
        <w:tc>
          <w:tcPr>
            <w:tcW w:w="63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Average offshore tax (to ISA)</w:t>
            </w:r>
          </w:p>
        </w:tc>
        <w:tc>
          <w:tcPr>
            <w:tcW w:w="1720" w:type="dxa"/>
            <w:vAlign w:val="bottom"/>
            <w:gridSpan w:val="2"/>
            <w:shd w:val="clear" w:color="auto" w:fill="C7EAF2"/>
          </w:tcPr>
          <w:p>
            <w:pPr>
              <w:jc w:val="center"/>
              <w:ind w:right="240"/>
              <w:spacing w:after="0"/>
              <w:rPr>
                <w:sz w:val="20"/>
                <w:szCs w:val="20"/>
                <w:color w:val="auto"/>
              </w:rPr>
            </w:pPr>
            <w:r>
              <w:rPr>
                <w:rFonts w:ascii="Times New Roman" w:cs="Times New Roman" w:eastAsia="Times New Roman" w:hAnsi="Times New Roman"/>
                <w:sz w:val="17"/>
                <w:szCs w:val="17"/>
                <w:color w:val="auto"/>
              </w:rPr>
              <w:t>% of taxable income</w:t>
            </w:r>
          </w:p>
        </w:tc>
        <w:tc>
          <w:tcPr>
            <w:tcW w:w="15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6.7 %</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Project revenues will come from the following sources:</w:t>
      </w:r>
    </w:p>
    <w:p>
      <w:pPr>
        <w:spacing w:after="0" w:line="219" w:lineRule="exact"/>
        <w:rPr>
          <w:sz w:val="20"/>
          <w:szCs w:val="20"/>
          <w:color w:val="auto"/>
        </w:rPr>
      </w:pPr>
    </w:p>
    <w:p>
      <w:pPr>
        <w:ind w:left="660" w:hanging="315"/>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nickel sulfate product;</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copper cathode product;</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cobalt sulfate product;</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manganese silicate product;</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ammonium sulfate product;</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nickel alloy product containing copper and cobalt; and</w:t>
      </w:r>
    </w:p>
    <w:p>
      <w:pPr>
        <w:spacing w:after="0" w:line="218" w:lineRule="exact"/>
        <w:rPr>
          <w:rFonts w:ascii="Times New Roman" w:cs="Times New Roman" w:eastAsia="Times New Roman" w:hAnsi="Times New Roman"/>
          <w:sz w:val="17"/>
          <w:szCs w:val="17"/>
          <w:color w:val="auto"/>
        </w:rPr>
      </w:pPr>
    </w:p>
    <w:p>
      <w:pPr>
        <w:ind w:left="660" w:right="140" w:hanging="315"/>
        <w:spacing w:after="0" w:line="298" w:lineRule="auto"/>
        <w:tabs>
          <w:tab w:leader="none" w:pos="6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matte product from the NORI pyrometallurgical plants containing nickel, copper and cobalt, which would be sold to the matte market.</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NORI has used the following payable percentages for the alloy:</w:t>
      </w:r>
    </w:p>
    <w:p>
      <w:pPr>
        <w:spacing w:after="0" w:line="219" w:lineRule="exact"/>
        <w:rPr>
          <w:sz w:val="20"/>
          <w:szCs w:val="20"/>
          <w:color w:val="auto"/>
        </w:rPr>
      </w:pPr>
    </w:p>
    <w:p>
      <w:pPr>
        <w:ind w:left="660" w:hanging="315"/>
        <w:spacing w:after="0"/>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Nickel: 80% of in-situ value in the alloy;</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Copper: 40% of in-situ value in the alloy; and</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Cobalt: 80% of in-situ value in the alloy.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95" name="Shape 2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95" o:spid="_x0000_s13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88" w:name="page89"/>
    <w:bookmarkEnd w:id="88"/>
    <w:p>
      <w:pPr>
        <w:ind w:left="3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00">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01">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following estimates for treatment charges and refining charges for the alloy product were used in the NORI financial model:</w:t>
      </w:r>
    </w:p>
    <w:p>
      <w:pPr>
        <w:spacing w:after="0" w:line="219" w:lineRule="exact"/>
        <w:rPr>
          <w:sz w:val="20"/>
          <w:szCs w:val="20"/>
          <w:color w:val="auto"/>
        </w:rPr>
      </w:pPr>
    </w:p>
    <w:p>
      <w:pPr>
        <w:ind w:left="660" w:hanging="315"/>
        <w:spacing w:after="0"/>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refining charge of $1,697/tonne of contained nickel in the alloy;</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refining charge of $800/tonne of contained nickel in the alloy;</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refining charge of $6,700/tonne of contained nickel in the alloy; and</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treatment charge $300/tonne of alloy.</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For the matte product, NORI has used a payables figure of 83% of the market metal price of nickel, copper and cobalt. The metal recoveries for the matte and alloy are those from the pyrometallurgical plant, whilst the refined products (nickel sulfate, copper cathode and cobalt sulfate) are from the hydrometallurgical refinery metal recoveries.</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prices forecast by CRU and adopted for use in the economic analysis were derived from a report prepared by CRU dated October 23, 2020 and are listed in the table below. The Qualified Person considered the metal price assumptions underpinning the analysis to be reasonable.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3"/>
                <w:szCs w:val="13"/>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3"/>
                <w:szCs w:val="13"/>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3"/>
                <w:szCs w:val="13"/>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3"/>
                <w:szCs w:val="13"/>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3"/>
                <w:szCs w:val="13"/>
                <w:color w:val="auto"/>
              </w:rPr>
            </w:pPr>
          </w:p>
        </w:tc>
        <w:tc>
          <w:tcPr>
            <w:tcW w:w="60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40" w:type="dxa"/>
            <w:vAlign w:val="bottom"/>
          </w:tcPr>
          <w:p>
            <w:pPr>
              <w:spacing w:after="0"/>
              <w:rPr>
                <w:sz w:val="13"/>
                <w:szCs w:val="13"/>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2030</w:t>
            </w:r>
          </w:p>
        </w:tc>
        <w:tc>
          <w:tcPr>
            <w:tcW w:w="140" w:type="dxa"/>
            <w:vAlign w:val="bottom"/>
          </w:tcPr>
          <w:p>
            <w:pPr>
              <w:spacing w:after="0"/>
              <w:rPr>
                <w:sz w:val="13"/>
                <w:szCs w:val="13"/>
                <w:color w:val="auto"/>
              </w:rPr>
            </w:pPr>
          </w:p>
        </w:tc>
        <w:tc>
          <w:tcPr>
            <w:tcW w:w="60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2031</w:t>
            </w:r>
          </w:p>
        </w:tc>
        <w:tc>
          <w:tcPr>
            <w:tcW w:w="140" w:type="dxa"/>
            <w:vAlign w:val="bottom"/>
          </w:tcPr>
          <w:p>
            <w:pPr>
              <w:spacing w:after="0"/>
              <w:rPr>
                <w:sz w:val="13"/>
                <w:szCs w:val="13"/>
                <w:color w:val="auto"/>
              </w:rPr>
            </w:pPr>
          </w:p>
        </w:tc>
        <w:tc>
          <w:tcPr>
            <w:tcW w:w="60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2032</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2033</w:t>
            </w: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2034 – 2046</w:t>
            </w:r>
          </w:p>
        </w:tc>
      </w:tr>
      <w:tr>
        <w:trPr>
          <w:trHeight w:val="168"/>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0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6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4"/>
                <w:szCs w:val="14"/>
                <w:color w:val="auto"/>
              </w:rPr>
            </w:pPr>
          </w:p>
        </w:tc>
        <w:tc>
          <w:tcPr>
            <w:tcW w:w="7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3"/>
        </w:trPr>
        <w:tc>
          <w:tcPr>
            <w:tcW w:w="20" w:type="dxa"/>
            <w:vAlign w:val="bottom"/>
          </w:tcPr>
          <w:p>
            <w:pPr>
              <w:spacing w:after="0"/>
              <w:rPr>
                <w:sz w:val="14"/>
                <w:szCs w:val="14"/>
                <w:color w:val="auto"/>
              </w:rPr>
            </w:pPr>
          </w:p>
        </w:tc>
        <w:tc>
          <w:tcPr>
            <w:tcW w:w="1600" w:type="dxa"/>
            <w:vAlign w:val="bottom"/>
            <w:tcBorders>
              <w:top w:val="single" w:sz="8" w:color="C7EAF2"/>
            </w:tcBorders>
            <w:shd w:val="clear" w:color="auto" w:fill="C7EAF2"/>
          </w:tcPr>
          <w:p>
            <w:pPr>
              <w:spacing w:after="0" w:line="163" w:lineRule="exact"/>
              <w:rPr>
                <w:sz w:val="20"/>
                <w:szCs w:val="20"/>
                <w:color w:val="auto"/>
              </w:rPr>
            </w:pPr>
            <w:r>
              <w:rPr>
                <w:rFonts w:ascii="Times New Roman" w:cs="Times New Roman" w:eastAsia="Times New Roman" w:hAnsi="Times New Roman"/>
                <w:sz w:val="17"/>
                <w:szCs w:val="17"/>
                <w:color w:val="auto"/>
              </w:rPr>
              <w:t>Ni metal, LME cash</w:t>
            </w:r>
          </w:p>
        </w:tc>
        <w:tc>
          <w:tcPr>
            <w:tcW w:w="58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60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58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58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58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60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58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60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60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600" w:type="dxa"/>
            <w:vAlign w:val="bottom"/>
            <w:tcBorders>
              <w:top w:val="single" w:sz="8" w:color="auto"/>
            </w:tcBorders>
            <w:shd w:val="clear" w:color="auto" w:fill="C7EAF2"/>
          </w:tcPr>
          <w:p>
            <w:pPr>
              <w:spacing w:after="0"/>
              <w:rPr>
                <w:sz w:val="14"/>
                <w:szCs w:val="14"/>
                <w:color w:val="auto"/>
              </w:rPr>
            </w:pPr>
          </w:p>
        </w:tc>
        <w:tc>
          <w:tcPr>
            <w:tcW w:w="140" w:type="dxa"/>
            <w:vAlign w:val="bottom"/>
            <w:tcBorders>
              <w:top w:val="single" w:sz="8" w:color="C7EAF2"/>
            </w:tcBorders>
            <w:shd w:val="clear" w:color="auto" w:fill="C7EAF2"/>
          </w:tcPr>
          <w:p>
            <w:pPr>
              <w:spacing w:after="0"/>
              <w:rPr>
                <w:sz w:val="14"/>
                <w:szCs w:val="14"/>
                <w:color w:val="auto"/>
              </w:rPr>
            </w:pPr>
          </w:p>
        </w:tc>
        <w:tc>
          <w:tcPr>
            <w:tcW w:w="700" w:type="dxa"/>
            <w:vAlign w:val="bottom"/>
            <w:tcBorders>
              <w:top w:val="single" w:sz="8" w:color="auto"/>
            </w:tcBorders>
            <w:shd w:val="clear" w:color="auto" w:fill="C7EAF2"/>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600" w:type="dxa"/>
            <w:vAlign w:val="bottom"/>
            <w:shd w:val="clear" w:color="auto" w:fill="C7EAF2"/>
          </w:tcPr>
          <w:p>
            <w:pPr>
              <w:ind w:left="120"/>
              <w:spacing w:after="0"/>
              <w:rPr>
                <w:sz w:val="20"/>
                <w:szCs w:val="20"/>
                <w:color w:val="auto"/>
              </w:rPr>
            </w:pPr>
            <w:r>
              <w:rPr>
                <w:rFonts w:ascii="Times New Roman" w:cs="Times New Roman" w:eastAsia="Times New Roman" w:hAnsi="Times New Roman"/>
                <w:sz w:val="17"/>
                <w:szCs w:val="17"/>
                <w:color w:val="auto"/>
              </w:rPr>
              <w:t>(/t)</w:t>
            </w: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14,067</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14,467</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14,868</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15,269</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15,670</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16,071</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16,472</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16,472</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16,472</w:t>
            </w:r>
          </w:p>
        </w:tc>
        <w:tc>
          <w:tcPr>
            <w:tcW w:w="740" w:type="dxa"/>
            <w:vAlign w:val="bottom"/>
            <w:gridSpan w:val="2"/>
            <w:shd w:val="clear" w:color="auto" w:fill="C7EAF2"/>
          </w:tcPr>
          <w:p>
            <w:pPr>
              <w:jc w:val="right"/>
              <w:ind w:right="60"/>
              <w:spacing w:after="0"/>
              <w:rPr>
                <w:sz w:val="20"/>
                <w:szCs w:val="20"/>
                <w:color w:val="auto"/>
              </w:rPr>
            </w:pPr>
            <w:r>
              <w:rPr>
                <w:rFonts w:ascii="Times New Roman" w:cs="Times New Roman" w:eastAsia="Times New Roman" w:hAnsi="Times New Roman"/>
                <w:sz w:val="17"/>
                <w:szCs w:val="17"/>
                <w:color w:val="auto"/>
              </w:rPr>
              <w:t>16,472</w:t>
            </w:r>
          </w:p>
        </w:tc>
        <w:tc>
          <w:tcPr>
            <w:tcW w:w="140" w:type="dxa"/>
            <w:vAlign w:val="bottom"/>
            <w:shd w:val="clear" w:color="auto" w:fill="C7EAF2"/>
          </w:tcPr>
          <w:p>
            <w:pPr>
              <w:spacing w:after="0"/>
              <w:rPr>
                <w:sz w:val="20"/>
                <w:szCs w:val="20"/>
                <w:color w:val="auto"/>
              </w:rPr>
            </w:pPr>
          </w:p>
        </w:tc>
        <w:tc>
          <w:tcPr>
            <w:tcW w:w="7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16,472</w:t>
            </w:r>
          </w:p>
        </w:tc>
      </w:tr>
      <w:tr>
        <w:trPr>
          <w:trHeight w:val="207"/>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7"/>
                <w:szCs w:val="17"/>
                <w:color w:val="auto"/>
              </w:rPr>
              <w:t>Ni Sulfate (/t)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16,027</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16,443</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17,678</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18,087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18,807</w:t>
            </w:r>
          </w:p>
        </w:tc>
      </w:tr>
      <w:tr>
        <w:trPr>
          <w:trHeight w:val="183"/>
        </w:trPr>
        <w:tc>
          <w:tcPr>
            <w:tcW w:w="20" w:type="dxa"/>
            <w:vAlign w:val="bottom"/>
          </w:tcPr>
          <w:p>
            <w:pPr>
              <w:spacing w:after="0"/>
              <w:rPr>
                <w:sz w:val="15"/>
                <w:szCs w:val="15"/>
                <w:color w:val="auto"/>
              </w:rPr>
            </w:pPr>
          </w:p>
        </w:tc>
        <w:tc>
          <w:tcPr>
            <w:tcW w:w="1600" w:type="dxa"/>
            <w:vAlign w:val="bottom"/>
            <w:shd w:val="clear" w:color="auto" w:fill="C7EAF2"/>
          </w:tcPr>
          <w:p>
            <w:pPr>
              <w:spacing w:after="0" w:line="183" w:lineRule="exact"/>
              <w:rPr>
                <w:sz w:val="20"/>
                <w:szCs w:val="20"/>
                <w:color w:val="auto"/>
              </w:rPr>
            </w:pPr>
            <w:r>
              <w:rPr>
                <w:rFonts w:ascii="Times New Roman" w:cs="Times New Roman" w:eastAsia="Times New Roman" w:hAnsi="Times New Roman"/>
                <w:sz w:val="17"/>
                <w:szCs w:val="17"/>
                <w:color w:val="auto"/>
              </w:rPr>
              <w:t>SiMn, China import,</w:t>
            </w: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700" w:type="dxa"/>
            <w:vAlign w:val="bottom"/>
            <w:shd w:val="clear" w:color="auto" w:fill="C7EAF2"/>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1600" w:type="dxa"/>
            <w:vAlign w:val="bottom"/>
            <w:shd w:val="clear" w:color="auto" w:fill="C7EAF2"/>
          </w:tcPr>
          <w:p>
            <w:pPr>
              <w:ind w:left="120"/>
              <w:spacing w:after="0"/>
              <w:rPr>
                <w:sz w:val="20"/>
                <w:szCs w:val="20"/>
                <w:color w:val="auto"/>
              </w:rPr>
            </w:pPr>
            <w:r>
              <w:rPr>
                <w:rFonts w:ascii="Times New Roman" w:cs="Times New Roman" w:eastAsia="Times New Roman" w:hAnsi="Times New Roman"/>
                <w:sz w:val="17"/>
                <w:szCs w:val="17"/>
                <w:color w:val="auto"/>
              </w:rPr>
              <w:t>44% Mn (/dmtu)</w:t>
            </w: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740" w:type="dxa"/>
            <w:vAlign w:val="bottom"/>
            <w:gridSpan w:val="2"/>
            <w:shd w:val="clear" w:color="auto" w:fill="C7EAF2"/>
          </w:tcPr>
          <w:p>
            <w:pPr>
              <w:jc w:val="right"/>
              <w:ind w:right="60"/>
              <w:spacing w:after="0"/>
              <w:rPr>
                <w:sz w:val="20"/>
                <w:szCs w:val="20"/>
                <w:color w:val="auto"/>
              </w:rPr>
            </w:pPr>
            <w:r>
              <w:rPr>
                <w:rFonts w:ascii="Times New Roman" w:cs="Times New Roman" w:eastAsia="Times New Roman" w:hAnsi="Times New Roman"/>
                <w:sz w:val="17"/>
                <w:szCs w:val="17"/>
                <w:color w:val="auto"/>
              </w:rPr>
              <w:t>4.50</w:t>
            </w:r>
          </w:p>
        </w:tc>
        <w:tc>
          <w:tcPr>
            <w:tcW w:w="140" w:type="dxa"/>
            <w:vAlign w:val="bottom"/>
            <w:shd w:val="clear" w:color="auto" w:fill="C7EAF2"/>
          </w:tcPr>
          <w:p>
            <w:pPr>
              <w:spacing w:after="0"/>
              <w:rPr>
                <w:sz w:val="20"/>
                <w:szCs w:val="20"/>
                <w:color w:val="auto"/>
              </w:rPr>
            </w:pPr>
          </w:p>
        </w:tc>
        <w:tc>
          <w:tcPr>
            <w:tcW w:w="7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183"/>
        </w:trPr>
        <w:tc>
          <w:tcPr>
            <w:tcW w:w="20" w:type="dxa"/>
            <w:vAlign w:val="bottom"/>
          </w:tcPr>
          <w:p>
            <w:pPr>
              <w:spacing w:after="0"/>
              <w:rPr>
                <w:sz w:val="15"/>
                <w:szCs w:val="15"/>
                <w:color w:val="auto"/>
              </w:rPr>
            </w:pPr>
          </w:p>
        </w:tc>
        <w:tc>
          <w:tcPr>
            <w:tcW w:w="16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Cu, Grade A cathode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2"/>
        </w:trPr>
        <w:tc>
          <w:tcPr>
            <w:tcW w:w="20" w:type="dxa"/>
            <w:vAlign w:val="bottom"/>
          </w:tcPr>
          <w:p>
            <w:pPr>
              <w:spacing w:after="0"/>
              <w:rPr>
                <w:sz w:val="20"/>
                <w:szCs w:val="20"/>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 LME cash (/t)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6,435</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6,497</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6,557</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6,615</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6,673</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6,730</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6,787</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6,805</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6,822</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6,839</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6,872</w:t>
            </w:r>
          </w:p>
        </w:tc>
      </w:tr>
      <w:tr>
        <w:trPr>
          <w:trHeight w:val="183"/>
        </w:trPr>
        <w:tc>
          <w:tcPr>
            <w:tcW w:w="20" w:type="dxa"/>
            <w:vAlign w:val="bottom"/>
          </w:tcPr>
          <w:p>
            <w:pPr>
              <w:spacing w:after="0"/>
              <w:rPr>
                <w:sz w:val="15"/>
                <w:szCs w:val="15"/>
                <w:color w:val="auto"/>
              </w:rPr>
            </w:pPr>
          </w:p>
        </w:tc>
        <w:tc>
          <w:tcPr>
            <w:tcW w:w="1600" w:type="dxa"/>
            <w:vAlign w:val="bottom"/>
            <w:shd w:val="clear" w:color="auto" w:fill="C7EAF2"/>
          </w:tcPr>
          <w:p>
            <w:pPr>
              <w:spacing w:after="0" w:line="184" w:lineRule="exact"/>
              <w:rPr>
                <w:sz w:val="20"/>
                <w:szCs w:val="20"/>
                <w:color w:val="auto"/>
              </w:rPr>
            </w:pPr>
            <w:r>
              <w:rPr>
                <w:rFonts w:ascii="Times New Roman" w:cs="Times New Roman" w:eastAsia="Times New Roman" w:hAnsi="Times New Roman"/>
                <w:sz w:val="17"/>
                <w:szCs w:val="17"/>
                <w:color w:val="auto"/>
              </w:rPr>
              <w:t>Co, EU Co 99.8%</w:t>
            </w: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58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600" w:type="dxa"/>
            <w:vAlign w:val="bottom"/>
            <w:shd w:val="clear" w:color="auto" w:fill="C7EAF2"/>
          </w:tcPr>
          <w:p>
            <w:pPr>
              <w:spacing w:after="0"/>
              <w:rPr>
                <w:sz w:val="15"/>
                <w:szCs w:val="15"/>
                <w:color w:val="auto"/>
              </w:rPr>
            </w:pPr>
          </w:p>
        </w:tc>
        <w:tc>
          <w:tcPr>
            <w:tcW w:w="140" w:type="dxa"/>
            <w:vAlign w:val="bottom"/>
            <w:shd w:val="clear" w:color="auto" w:fill="C7EAF2"/>
          </w:tcPr>
          <w:p>
            <w:pPr>
              <w:spacing w:after="0"/>
              <w:rPr>
                <w:sz w:val="15"/>
                <w:szCs w:val="15"/>
                <w:color w:val="auto"/>
              </w:rPr>
            </w:pPr>
          </w:p>
        </w:tc>
        <w:tc>
          <w:tcPr>
            <w:tcW w:w="700" w:type="dxa"/>
            <w:vAlign w:val="bottom"/>
            <w:shd w:val="clear" w:color="auto" w:fill="C7EAF2"/>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1600" w:type="dxa"/>
            <w:vAlign w:val="bottom"/>
            <w:shd w:val="clear" w:color="auto" w:fill="C7EAF2"/>
          </w:tcPr>
          <w:p>
            <w:pPr>
              <w:ind w:left="120"/>
              <w:spacing w:after="0"/>
              <w:rPr>
                <w:sz w:val="20"/>
                <w:szCs w:val="20"/>
                <w:color w:val="auto"/>
              </w:rPr>
            </w:pPr>
            <w:r>
              <w:rPr>
                <w:rFonts w:ascii="Times New Roman" w:cs="Times New Roman" w:eastAsia="Times New Roman" w:hAnsi="Times New Roman"/>
                <w:sz w:val="17"/>
                <w:szCs w:val="17"/>
                <w:color w:val="auto"/>
              </w:rPr>
              <w:t>min (EXW) (/t)</w:t>
            </w: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52,881</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39,914</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38,204</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41,526</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45,137</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49,062</w:t>
            </w:r>
          </w:p>
        </w:tc>
        <w:tc>
          <w:tcPr>
            <w:tcW w:w="140" w:type="dxa"/>
            <w:vAlign w:val="bottom"/>
            <w:shd w:val="clear" w:color="auto" w:fill="C7EAF2"/>
          </w:tcPr>
          <w:p>
            <w:pPr>
              <w:spacing w:after="0"/>
              <w:rPr>
                <w:sz w:val="20"/>
                <w:szCs w:val="20"/>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51,106</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50,600</w:t>
            </w:r>
          </w:p>
        </w:tc>
        <w:tc>
          <w:tcPr>
            <w:tcW w:w="140" w:type="dxa"/>
            <w:vAlign w:val="bottom"/>
            <w:shd w:val="clear" w:color="auto" w:fill="C7EAF2"/>
          </w:tcPr>
          <w:p>
            <w:pPr>
              <w:spacing w:after="0"/>
              <w:rPr>
                <w:sz w:val="20"/>
                <w:szCs w:val="20"/>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49,126</w:t>
            </w:r>
          </w:p>
        </w:tc>
        <w:tc>
          <w:tcPr>
            <w:tcW w:w="740" w:type="dxa"/>
            <w:vAlign w:val="bottom"/>
            <w:gridSpan w:val="2"/>
            <w:shd w:val="clear" w:color="auto" w:fill="C7EAF2"/>
          </w:tcPr>
          <w:p>
            <w:pPr>
              <w:jc w:val="right"/>
              <w:ind w:right="60"/>
              <w:spacing w:after="0"/>
              <w:rPr>
                <w:sz w:val="20"/>
                <w:szCs w:val="20"/>
                <w:color w:val="auto"/>
              </w:rPr>
            </w:pPr>
            <w:r>
              <w:rPr>
                <w:rFonts w:ascii="Times New Roman" w:cs="Times New Roman" w:eastAsia="Times New Roman" w:hAnsi="Times New Roman"/>
                <w:sz w:val="17"/>
                <w:szCs w:val="17"/>
                <w:color w:val="auto"/>
              </w:rPr>
              <w:t>47,695</w:t>
            </w:r>
          </w:p>
        </w:tc>
        <w:tc>
          <w:tcPr>
            <w:tcW w:w="140" w:type="dxa"/>
            <w:vAlign w:val="bottom"/>
            <w:shd w:val="clear" w:color="auto" w:fill="C7EAF2"/>
          </w:tcPr>
          <w:p>
            <w:pPr>
              <w:spacing w:after="0"/>
              <w:rPr>
                <w:sz w:val="20"/>
                <w:szCs w:val="20"/>
                <w:color w:val="auto"/>
              </w:rPr>
            </w:pPr>
          </w:p>
        </w:tc>
        <w:tc>
          <w:tcPr>
            <w:tcW w:w="7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46,333</w:t>
            </w:r>
          </w:p>
        </w:tc>
      </w:tr>
      <w:tr>
        <w:trPr>
          <w:trHeight w:val="183"/>
        </w:trPr>
        <w:tc>
          <w:tcPr>
            <w:tcW w:w="20" w:type="dxa"/>
            <w:vAlign w:val="bottom"/>
          </w:tcPr>
          <w:p>
            <w:pPr>
              <w:spacing w:after="0"/>
              <w:rPr>
                <w:sz w:val="15"/>
                <w:szCs w:val="15"/>
                <w:color w:val="auto"/>
              </w:rPr>
            </w:pPr>
          </w:p>
        </w:tc>
        <w:tc>
          <w:tcPr>
            <w:tcW w:w="160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Co Sulfate premium</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7"/>
        </w:trPr>
        <w:tc>
          <w:tcPr>
            <w:tcW w:w="20" w:type="dxa"/>
            <w:vAlign w:val="bottom"/>
          </w:tcPr>
          <w:p>
            <w:pPr>
              <w:spacing w:after="0"/>
              <w:rPr>
                <w:sz w:val="18"/>
                <w:szCs w:val="18"/>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over Co metal (ex-</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2"/>
        </w:trPr>
        <w:tc>
          <w:tcPr>
            <w:tcW w:w="20" w:type="dxa"/>
            <w:vAlign w:val="bottom"/>
          </w:tcPr>
          <w:p>
            <w:pPr>
              <w:spacing w:after="0"/>
              <w:rPr>
                <w:sz w:val="20"/>
                <w:szCs w:val="20"/>
                <w:color w:val="auto"/>
              </w:rPr>
            </w:pPr>
          </w:p>
        </w:tc>
        <w:tc>
          <w:tcPr>
            <w:tcW w:w="16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China) (/t)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64,250</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49,035</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46,933</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51,014</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55,450</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60,272</w:t>
            </w: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62,784</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62,162</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60,351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58,594</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56,920</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Production schedule</w:t>
      </w:r>
    </w:p>
    <w:p>
      <w:pPr>
        <w:spacing w:after="0" w:line="216"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production schedule on which the economic analysis is based was developed on an annual basis. The Qualified Person cautioned that a prefeasibility study has not been undertaken and that the seafloor production schedule is preliminary in nature and should not be interpreted as a mineral reserve. Approximately 96% of the mineral resource within NORI Area D is classified as indicated and a further 1% is classified as measured resource. The life of mine (“LOM”) production sequence includes 6 Mt (wet) of nodules that are classified as inferred mineral resources. This is approximately 2% of the total LOM production.</w:t>
      </w:r>
    </w:p>
    <w:p>
      <w:pPr>
        <w:spacing w:after="0" w:line="165"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 xml:space="preserve">The production schedule assumes staged operation initially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then Drill Ship 2 and finally Collector Vessel 1, as outlined in Section 16.1 of the NORI Technical Report Summary.</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89" w:name="page90"/>
    <w:bookmarkEnd w:id="89"/>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0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03">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nodule metal grades and nodule abundance varying annually according to the LOM schedule. The grades and nodule abundance for the mine plan were derived from a preliminary production schedule developed by AMC as outlined in Section 16.7 of the NORI Technical Report Summary. The higher abundance areas were targeted by the production schedule. The metal grades and abundance used in the schedule (the “IA”) are compared to the averages (of all mineral resource categories) for NORI Area D in the table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IA mine plan to Mineral Resource for NORI Area 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Mineral</w:t>
            </w:r>
          </w:p>
        </w:tc>
        <w:tc>
          <w:tcPr>
            <w:tcW w:w="1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Seafloor</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Resource in</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NORI Area D</w:t>
            </w:r>
          </w:p>
        </w:tc>
        <w:tc>
          <w:tcPr>
            <w:tcW w:w="18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production</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(all categories)</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plan</w:t>
            </w:r>
          </w:p>
        </w:tc>
        <w:tc>
          <w:tcPr>
            <w:tcW w:w="1100" w:type="dxa"/>
            <w:vAlign w:val="bottom"/>
            <w:gridSpan w:val="2"/>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2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Tonnage (Mt wet)</w:t>
            </w:r>
          </w:p>
        </w:tc>
        <w:tc>
          <w:tcPr>
            <w:tcW w:w="9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80" w:type="dxa"/>
            <w:vAlign w:val="bottom"/>
            <w:tcBorders>
              <w:top w:val="single" w:sz="8" w:color="C7EAF2"/>
            </w:tcBorders>
            <w:shd w:val="clear" w:color="auto" w:fill="C7EAF2"/>
          </w:tcPr>
          <w:p>
            <w:pPr>
              <w:spacing w:after="0"/>
              <w:rPr>
                <w:sz w:val="17"/>
                <w:szCs w:val="17"/>
                <w:color w:val="auto"/>
              </w:rPr>
            </w:pPr>
          </w:p>
        </w:tc>
        <w:tc>
          <w:tcPr>
            <w:tcW w:w="9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80" w:type="dxa"/>
            <w:vAlign w:val="bottom"/>
            <w:tcBorders>
              <w:top w:val="single" w:sz="8" w:color="C7EAF2"/>
            </w:tcBorders>
            <w:shd w:val="clear" w:color="auto" w:fill="C7EAF2"/>
          </w:tcPr>
          <w:p>
            <w:pPr>
              <w:spacing w:after="0"/>
              <w:rPr>
                <w:sz w:val="17"/>
                <w:szCs w:val="17"/>
                <w:color w:val="auto"/>
              </w:rPr>
            </w:pPr>
          </w:p>
        </w:tc>
        <w:tc>
          <w:tcPr>
            <w:tcW w:w="9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80" w:type="dxa"/>
            <w:vAlign w:val="bottom"/>
            <w:tcBorders>
              <w:top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20" w:type="dxa"/>
            <w:vAlign w:val="bottom"/>
          </w:tcPr>
          <w:p>
            <w:pPr>
              <w:spacing w:after="0" w:line="207" w:lineRule="exact"/>
              <w:rPr>
                <w:sz w:val="20"/>
                <w:szCs w:val="20"/>
                <w:color w:val="auto"/>
              </w:rPr>
            </w:pPr>
            <w:r>
              <w:rPr>
                <w:rFonts w:ascii="Times New Roman" w:cs="Times New Roman" w:eastAsia="Times New Roman" w:hAnsi="Times New Roman"/>
                <w:sz w:val="17"/>
                <w:szCs w:val="17"/>
                <w:color w:val="auto"/>
              </w:rPr>
              <w:t>Nodule abundance (kg/m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Ni grade (%)</w:t>
            </w:r>
          </w:p>
        </w:tc>
        <w:tc>
          <w:tcPr>
            <w:tcW w:w="9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7EAF2"/>
          </w:tcPr>
          <w:p>
            <w:pPr>
              <w:spacing w:after="0"/>
              <w:rPr>
                <w:sz w:val="18"/>
                <w:szCs w:val="18"/>
                <w:color w:val="auto"/>
              </w:rPr>
            </w:pPr>
          </w:p>
        </w:tc>
        <w:tc>
          <w:tcPr>
            <w:tcW w:w="11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Mn grade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Cu grade (%)</w:t>
            </w:r>
          </w:p>
        </w:tc>
        <w:tc>
          <w:tcPr>
            <w:tcW w:w="9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shd w:val="clear" w:color="auto" w:fill="C7EAF2"/>
          </w:tcPr>
          <w:p>
            <w:pPr>
              <w:spacing w:after="0"/>
              <w:rPr>
                <w:sz w:val="18"/>
                <w:szCs w:val="18"/>
                <w:color w:val="auto"/>
              </w:rPr>
            </w:pPr>
          </w:p>
        </w:tc>
        <w:tc>
          <w:tcPr>
            <w:tcW w:w="11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7"/>
                <w:szCs w:val="17"/>
                <w:color w:val="auto"/>
              </w:rPr>
              <w:t>Co grade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production ramp-up discussed in Section 17 of the NORI Technical Report Summary was adopted for the production schedule.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Qualified Person considered the assumptions underpinning the initial assessment and economic analysis to be reasonable.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Capital and operating costs</w:t>
      </w:r>
    </w:p>
    <w:p>
      <w:pPr>
        <w:spacing w:after="0" w:line="216"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capital cost estimates for the Project are summarized below. Pre-project items include data gathering and studies that will occur prior to construction. Offshore project costs include the procurement and integration of the PSVs, the collector support vessel, the fabrication of the collectors, and the RALS. Onshore project costs consist principally of the construction of the minerals processing pyrometallurgical plant and hydrometallurgical refinery. Sustaining costs are for both onshore and offshore assets, and closure costs are principally for rehabilitation of the onshore minerals processing site.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Cost estimate</w:t>
            </w:r>
          </w:p>
        </w:tc>
        <w:tc>
          <w:tcPr>
            <w:tcW w:w="0" w:type="dxa"/>
            <w:vAlign w:val="bottom"/>
          </w:tcPr>
          <w:p>
            <w:pPr>
              <w:spacing w:after="0"/>
              <w:rPr>
                <w:sz w:val="1"/>
                <w:szCs w:val="1"/>
                <w:color w:val="auto"/>
              </w:rPr>
            </w:pPr>
          </w:p>
        </w:tc>
      </w:tr>
      <w:tr>
        <w:trPr>
          <w:trHeight w:val="168"/>
        </w:trPr>
        <w:tc>
          <w:tcPr>
            <w:tcW w:w="8580" w:type="dxa"/>
            <w:vAlign w:val="bottom"/>
            <w:gridSpan w:val="3"/>
            <w:vMerge w:val="continue"/>
          </w:tcPr>
          <w:p>
            <w:pPr>
              <w:spacing w:after="0"/>
              <w:rPr>
                <w:sz w:val="14"/>
                <w:szCs w:val="14"/>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 million)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3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Pre-project costs</w:t>
            </w:r>
          </w:p>
        </w:tc>
        <w:tc>
          <w:tcPr>
            <w:tcW w:w="260" w:type="dxa"/>
            <w:vAlign w:val="bottom"/>
            <w:tcBorders>
              <w:top w:val="single" w:sz="8" w:color="C7EAF2"/>
            </w:tcBorders>
            <w:shd w:val="clear" w:color="auto" w:fill="C7EAF2"/>
          </w:tcPr>
          <w:p>
            <w:pPr>
              <w:spacing w:after="0"/>
              <w:rPr>
                <w:sz w:val="17"/>
                <w:szCs w:val="17"/>
                <w:color w:val="auto"/>
              </w:rPr>
            </w:pPr>
          </w:p>
        </w:tc>
        <w:tc>
          <w:tcPr>
            <w:tcW w:w="10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Project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Offshore project costs</w:t>
            </w:r>
          </w:p>
        </w:tc>
        <w:tc>
          <w:tcPr>
            <w:tcW w:w="104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Project Zero</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Project One</w:t>
            </w:r>
          </w:p>
        </w:tc>
        <w:tc>
          <w:tcPr>
            <w:tcW w:w="10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Onshore project costs</w:t>
            </w:r>
          </w:p>
        </w:tc>
        <w:tc>
          <w:tcPr>
            <w:tcW w:w="104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Project One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project costs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Sustaining capital costs (onshore and offshore)</w:t>
            </w:r>
          </w:p>
        </w:tc>
        <w:tc>
          <w:tcPr>
            <w:tcW w:w="10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560" w:type="dxa"/>
            <w:vAlign w:val="bottom"/>
            <w:tcBorders>
              <w:bottom w:val="single" w:sz="8" w:color="C7EAF2"/>
            </w:tcBorders>
            <w:gridSpan w:val="2"/>
          </w:tcPr>
          <w:p>
            <w:pPr>
              <w:spacing w:after="0"/>
              <w:rPr>
                <w:sz w:val="20"/>
                <w:szCs w:val="20"/>
                <w:color w:val="auto"/>
              </w:rPr>
            </w:pPr>
            <w:r>
              <w:rPr>
                <w:rFonts w:ascii="Times New Roman" w:cs="Times New Roman" w:eastAsia="Times New Roman" w:hAnsi="Times New Roman"/>
                <w:sz w:val="17"/>
                <w:szCs w:val="17"/>
                <w:color w:val="auto"/>
              </w:rPr>
              <w:t>Closure costs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560" w:type="dxa"/>
            <w:vAlign w:val="bottom"/>
            <w:tcBorders>
              <w:bottom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Operating costs have been estimated at $1.8 billion per annum during steady state production (from 2030 onwards). Expenditures of a total of $37.5 billion over the life of the project on operating costs is expected. Onshore processing is the most significant operating cost.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01" name="Shape 3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01" o:spid="_x0000_s13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04">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05">
                      <a:extLst>
                        <a:ext uri="{28A0092B-C50C-407E-A947-70E740481C1C}"/>
                      </a:extLst>
                    </a:blip>
                    <a:srcRect/>
                    <a:stretch>
                      <a:fillRect/>
                    </a:stretch>
                  </pic:blipFill>
                  <pic:spPr bwMode="auto">
                    <a:xfrm>
                      <a:off x="0" y="0"/>
                      <a:ext cx="5080" cy="13970"/>
                    </a:xfrm>
                    <a:prstGeom prst="rect">
                      <a:avLst/>
                    </a:prstGeom>
                    <a:noFill/>
                  </pic:spPr>
                </pic:pic>
              </a:graphicData>
            </a:graphic>
          </wp:anchor>
        </w:drawing>
        <w:t>Average operating cost estimates during steady state operation (from 2030 onwards)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5"/>
              </w:rPr>
              <w:t>Average Unit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7"/>
              </w:rPr>
              <w:t>Average Unit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Operating Cost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over Life of</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81"/>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Cost (/t – wet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41"/>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Cost (/t – dry</w:t>
            </w:r>
          </w:p>
        </w:tc>
        <w:tc>
          <w:tcPr>
            <w:tcW w:w="0" w:type="dxa"/>
            <w:vAlign w:val="bottom"/>
          </w:tcPr>
          <w:p>
            <w:pPr>
              <w:spacing w:after="0"/>
              <w:rPr>
                <w:sz w:val="1"/>
                <w:szCs w:val="1"/>
                <w:color w:val="auto"/>
              </w:rPr>
            </w:pPr>
          </w:p>
        </w:tc>
      </w:tr>
      <w:tr>
        <w:trPr>
          <w:trHeight w:val="143"/>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Mine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1"/>
              <w:spacing w:after="0" w:line="143" w:lineRule="exact"/>
              <w:rPr>
                <w:sz w:val="20"/>
                <w:szCs w:val="20"/>
                <w:color w:val="auto"/>
              </w:rPr>
            </w:pPr>
            <w:r>
              <w:rPr>
                <w:rFonts w:ascii="Times New Roman" w:cs="Times New Roman" w:eastAsia="Times New Roman" w:hAnsi="Times New Roman"/>
                <w:sz w:val="14"/>
                <w:szCs w:val="14"/>
                <w:b w:val="1"/>
                <w:bCs w:val="1"/>
                <w:color w:val="auto"/>
                <w:w w:val="96"/>
              </w:rPr>
              <w:t>tonne nodules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1"/>
              <w:spacing w:after="0" w:line="143" w:lineRule="exact"/>
              <w:rPr>
                <w:sz w:val="20"/>
                <w:szCs w:val="20"/>
                <w:color w:val="auto"/>
              </w:rPr>
            </w:pPr>
            <w:r>
              <w:rPr>
                <w:rFonts w:ascii="Times New Roman" w:cs="Times New Roman" w:eastAsia="Times New Roman" w:hAnsi="Times New Roman"/>
                <w:sz w:val="14"/>
                <w:szCs w:val="14"/>
                <w:b w:val="1"/>
                <w:bCs w:val="1"/>
                <w:color w:val="auto"/>
                <w:w w:val="95"/>
              </w:rPr>
              <w:t>tonne</w:t>
            </w:r>
          </w:p>
        </w:tc>
        <w:tc>
          <w:tcPr>
            <w:tcW w:w="0" w:type="dxa"/>
            <w:vAlign w:val="bottom"/>
          </w:tcPr>
          <w:p>
            <w:pPr>
              <w:spacing w:after="0"/>
              <w:rPr>
                <w:sz w:val="1"/>
                <w:szCs w:val="1"/>
                <w:color w:val="auto"/>
              </w:rPr>
            </w:pPr>
          </w:p>
        </w:tc>
      </w:tr>
      <w:tr>
        <w:trPr>
          <w:trHeight w:val="168"/>
        </w:trPr>
        <w:tc>
          <w:tcPr>
            <w:tcW w:w="542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million pa)</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recovered)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8"/>
              </w:rPr>
              <w:t>processed)</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4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Offshore</w:t>
            </w:r>
          </w:p>
        </w:tc>
        <w:tc>
          <w:tcPr>
            <w:tcW w:w="240" w:type="dxa"/>
            <w:vAlign w:val="bottom"/>
            <w:tcBorders>
              <w:top w:val="single" w:sz="8" w:color="C7EAF2"/>
            </w:tcBorders>
            <w:shd w:val="clear" w:color="auto" w:fill="C7EAF2"/>
          </w:tcPr>
          <w:p>
            <w:pPr>
              <w:spacing w:after="0"/>
              <w:rPr>
                <w:sz w:val="17"/>
                <w:szCs w:val="17"/>
                <w:color w:val="auto"/>
              </w:rPr>
            </w:pPr>
          </w:p>
        </w:tc>
        <w:tc>
          <w:tcPr>
            <w:tcW w:w="300" w:type="dxa"/>
            <w:vAlign w:val="bottom"/>
            <w:tcBorders>
              <w:top w:val="single" w:sz="8" w:color="auto"/>
            </w:tcBorders>
            <w:shd w:val="clear" w:color="auto" w:fill="C7EAF2"/>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240.74</w:t>
            </w:r>
          </w:p>
        </w:tc>
        <w:tc>
          <w:tcPr>
            <w:tcW w:w="22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22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7EAF2"/>
              </w:rPr>
              <w:t>$</w:t>
            </w:r>
          </w:p>
        </w:tc>
        <w:tc>
          <w:tcPr>
            <w:tcW w:w="10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Shipping</w:t>
            </w:r>
          </w:p>
        </w:tc>
        <w:tc>
          <w:tcPr>
            <w:tcW w:w="24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254.37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4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Onshore</w:t>
            </w:r>
          </w:p>
        </w:tc>
        <w:tc>
          <w:tcPr>
            <w:tcW w:w="240" w:type="dxa"/>
            <w:vAlign w:val="bottom"/>
            <w:shd w:val="clear" w:color="auto" w:fill="C7EAF2"/>
          </w:tcPr>
          <w:p>
            <w:pPr>
              <w:spacing w:after="0"/>
              <w:rPr>
                <w:sz w:val="18"/>
                <w:szCs w:val="18"/>
                <w:color w:val="auto"/>
              </w:rPr>
            </w:pPr>
          </w:p>
        </w:tc>
        <w:tc>
          <w:tcPr>
            <w:tcW w:w="300" w:type="dxa"/>
            <w:vAlign w:val="bottom"/>
            <w:shd w:val="clear" w:color="auto" w:fill="C7EAF2"/>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1,286.19</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103.14</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7EAF2"/>
              </w:rPr>
              <w:t>$</w:t>
            </w:r>
          </w:p>
        </w:tc>
        <w:tc>
          <w:tcPr>
            <w:tcW w:w="10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135.71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4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shd w:val="clear" w:color="auto" w:fill="C7EAF2"/>
          </w:tcPr>
          <w:p>
            <w:pPr>
              <w:spacing w:after="0"/>
              <w:rPr>
                <w:sz w:val="18"/>
                <w:szCs w:val="18"/>
                <w:color w:val="auto"/>
              </w:rPr>
            </w:pPr>
          </w:p>
        </w:tc>
        <w:tc>
          <w:tcPr>
            <w:tcW w:w="300" w:type="dxa"/>
            <w:vAlign w:val="bottom"/>
            <w:shd w:val="clear" w:color="auto" w:fill="C7EAF2"/>
          </w:tcPr>
          <w:p>
            <w:pPr>
              <w:jc w:val="right"/>
              <w:ind w:right="1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1,806.30</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144.85</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7EAF2"/>
              </w:rPr>
              <w:t>$</w:t>
            </w:r>
          </w:p>
        </w:tc>
        <w:tc>
          <w:tcPr>
            <w:tcW w:w="10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190.59</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740" w:firstLine="311"/>
        <w:spacing w:after="0" w:line="509" w:lineRule="auto"/>
        <w:rPr>
          <w:sz w:val="20"/>
          <w:szCs w:val="20"/>
          <w:color w:val="auto"/>
        </w:rPr>
      </w:pPr>
      <w:r>
        <w:rPr>
          <w:rFonts w:ascii="Times New Roman" w:cs="Times New Roman" w:eastAsia="Times New Roman" w:hAnsi="Times New Roman"/>
          <w:sz w:val="17"/>
          <w:szCs w:val="17"/>
          <w:color w:val="auto"/>
        </w:rPr>
        <w:t xml:space="preserve">For more information on capital and operating costs, see Section 18 of the NORI Technical Report Summary. </w:t>
      </w:r>
      <w:r>
        <w:rPr>
          <w:rFonts w:ascii="Times New Roman" w:cs="Times New Roman" w:eastAsia="Times New Roman" w:hAnsi="Times New Roman"/>
          <w:sz w:val="17"/>
          <w:szCs w:val="17"/>
          <w:i w:val="1"/>
          <w:iCs w:val="1"/>
          <w:color w:val="auto"/>
        </w:rPr>
        <w:t>Cash flows analysis</w:t>
      </w:r>
    </w:p>
    <w:p>
      <w:pPr>
        <w:spacing w:after="0" w:line="1"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The economic analysis set forth in Section 19 of the NORI Technical Report Summary presents a post-tax, real (uninflated) cash flows analysis. The valuation date is January 1, 2021. The analysis was performed on a 100% ownership basis and excludes consideration of financing costs and forward metal sales. The initial assessment indicates a positive economic outcome. Undiscounted post-tax net cash flows of $30.6 billion is expected. An internal rate of return of 27% has been estimated from the financial model. Discounted cash flow analysis of unleveraged real cash flows, discounting at 9% per annum, indicates a pre-tax project net present value (NPV) of $11.2 billion and a post-tax project NPV of $6.8 billion, which includes the LOM production of polymetallic nodules that are presently classified as inferred mineral resources, representing approximately 2% of the total LOM production. Excluding the inferred mineral resources from the economic analysis, the post-tax project NPV is estimated at $6.7 billion, which is not a significant difference from the economic analysis that includes the inferred mineral resources. The project reaches its lowest cumulative undiscounted cash flow figure of $4.0 billion in 2026. Undiscounted payback period is 6.6 years after commencement of production.</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04" o:spid="_x0000_s13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sectPr>
      </w:pPr>
    </w:p>
    <w:bookmarkStart w:id="91" w:name="page92"/>
    <w:bookmarkEnd w:id="91"/>
    <w:p>
      <w:pPr>
        <w:ind w:left="3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206">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207">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total cash flows are summarized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3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600" w:type="dxa"/>
            <w:vAlign w:val="bottom"/>
            <w:gridSpan w:val="2"/>
            <w:vMerge w:val="continue"/>
          </w:tcPr>
          <w:p>
            <w:pPr>
              <w:spacing w:after="0"/>
              <w:rPr>
                <w:sz w:val="14"/>
                <w:szCs w:val="14"/>
                <w:color w:val="auto"/>
              </w:rPr>
            </w:pPr>
          </w:p>
        </w:tc>
        <w:tc>
          <w:tcPr>
            <w:tcW w:w="8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million)</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Cash flow item</w:t>
            </w:r>
          </w:p>
        </w:tc>
        <w:tc>
          <w:tcPr>
            <w:tcW w:w="3120" w:type="dxa"/>
            <w:vAlign w:val="bottom"/>
            <w:tcBorders>
              <w:top w:val="single" w:sz="8" w:color="C7EAF2"/>
            </w:tcBorders>
            <w:shd w:val="clear" w:color="auto" w:fill="C7EAF2"/>
          </w:tcPr>
          <w:p>
            <w:pPr>
              <w:spacing w:after="0"/>
              <w:rPr>
                <w:sz w:val="17"/>
                <w:szCs w:val="17"/>
                <w:color w:val="auto"/>
              </w:rPr>
            </w:pPr>
          </w:p>
        </w:tc>
        <w:tc>
          <w:tcPr>
            <w:tcW w:w="480" w:type="dxa"/>
            <w:vAlign w:val="bottom"/>
            <w:tcBorders>
              <w:top w:val="single" w:sz="8" w:color="auto"/>
            </w:tcBorders>
            <w:shd w:val="clear" w:color="auto" w:fill="C7EAF2"/>
          </w:tcPr>
          <w:p>
            <w:pPr>
              <w:spacing w:after="0"/>
              <w:rPr>
                <w:sz w:val="17"/>
                <w:szCs w:val="17"/>
                <w:color w:val="auto"/>
              </w:rPr>
            </w:pPr>
          </w:p>
        </w:tc>
        <w:tc>
          <w:tcPr>
            <w:tcW w:w="860" w:type="dxa"/>
            <w:vAlign w:val="bottom"/>
            <w:tcBorders>
              <w:top w:val="single" w:sz="8" w:color="auto"/>
            </w:tcBorders>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Ni revenue</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44,106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Mn revenue</w:t>
            </w:r>
          </w:p>
        </w:tc>
        <w:tc>
          <w:tcPr>
            <w:tcW w:w="3600" w:type="dxa"/>
            <w:vAlign w:val="bottom"/>
            <w:gridSpan w:val="2"/>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26,785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Cu revenue</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Co revenue</w:t>
            </w:r>
          </w:p>
        </w:tc>
        <w:tc>
          <w:tcPr>
            <w:tcW w:w="3600" w:type="dxa"/>
            <w:vAlign w:val="bottom"/>
            <w:gridSpan w:val="2"/>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11,075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Ammonium sulfate revenue</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Borders>
              <w:top w:val="single" w:sz="8" w:color="C7EAF2"/>
              <w:bottom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120" w:type="dxa"/>
            <w:vAlign w:val="bottom"/>
            <w:tcBorders>
              <w:top w:val="single" w:sz="8" w:color="C7EAF2"/>
              <w:bottom w:val="single" w:sz="8" w:color="C7EAF2"/>
            </w:tcBorders>
            <w:shd w:val="clear" w:color="auto" w:fill="C7EAF2"/>
          </w:tcPr>
          <w:p>
            <w:pPr>
              <w:spacing w:after="0"/>
              <w:rPr>
                <w:sz w:val="19"/>
                <w:szCs w:val="19"/>
                <w:color w:val="auto"/>
              </w:rPr>
            </w:pPr>
          </w:p>
        </w:tc>
        <w:tc>
          <w:tcPr>
            <w:tcW w:w="480" w:type="dxa"/>
            <w:vAlign w:val="bottom"/>
            <w:tcBorders>
              <w:top w:val="single" w:sz="8" w:color="auto"/>
              <w:bottom w:val="single" w:sz="8" w:color="auto"/>
            </w:tcBorders>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95,090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Pre-project capital</w:t>
            </w:r>
          </w:p>
        </w:tc>
        <w:tc>
          <w:tcPr>
            <w:tcW w:w="3120" w:type="dxa"/>
            <w:vAlign w:val="bottom"/>
          </w:tcPr>
          <w:p>
            <w:pPr>
              <w:spacing w:after="0"/>
              <w:rPr>
                <w:sz w:val="15"/>
                <w:szCs w:val="15"/>
                <w:color w:val="auto"/>
              </w:rPr>
            </w:pPr>
          </w:p>
        </w:tc>
        <w:tc>
          <w:tcPr>
            <w:tcW w:w="480" w:type="dxa"/>
            <w:vAlign w:val="bottom"/>
          </w:tcPr>
          <w:p>
            <w:pPr>
              <w:jc w:val="right"/>
              <w:ind w:right="314"/>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Offshore construction</w:t>
            </w:r>
          </w:p>
        </w:tc>
        <w:tc>
          <w:tcPr>
            <w:tcW w:w="3600" w:type="dxa"/>
            <w:vAlign w:val="bottom"/>
            <w:gridSpan w:val="2"/>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2,448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Onshore construction</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Offshore sustaining capital</w:t>
            </w:r>
          </w:p>
        </w:tc>
        <w:tc>
          <w:tcPr>
            <w:tcW w:w="3600" w:type="dxa"/>
            <w:vAlign w:val="bottom"/>
            <w:gridSpan w:val="2"/>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1,418</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Onshore sustaining capital</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Closure costs</w:t>
            </w:r>
          </w:p>
        </w:tc>
        <w:tc>
          <w:tcPr>
            <w:tcW w:w="3600" w:type="dxa"/>
            <w:vAlign w:val="bottom"/>
            <w:gridSpan w:val="2"/>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tcBorders>
              <w:bottom w:val="single" w:sz="8" w:color="C7EAF2"/>
            </w:tcBorders>
          </w:tcPr>
          <w:p>
            <w:pPr>
              <w:spacing w:after="0"/>
              <w:rPr>
                <w:sz w:val="20"/>
                <w:szCs w:val="20"/>
                <w:color w:val="auto"/>
              </w:rPr>
            </w:pPr>
            <w:r>
              <w:rPr>
                <w:rFonts w:ascii="Times New Roman" w:cs="Times New Roman" w:eastAsia="Times New Roman" w:hAnsi="Times New Roman"/>
                <w:sz w:val="17"/>
                <w:szCs w:val="17"/>
                <w:b w:val="1"/>
                <w:bCs w:val="1"/>
                <w:color w:val="auto"/>
              </w:rPr>
              <w:t>Total capital</w:t>
            </w:r>
          </w:p>
        </w:tc>
        <w:tc>
          <w:tcPr>
            <w:tcW w:w="3120" w:type="dxa"/>
            <w:vAlign w:val="bottom"/>
            <w:tcBorders>
              <w:bottom w:val="single" w:sz="8" w:color="C7EAF2"/>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10,608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Offshore operating costs</w:t>
            </w:r>
          </w:p>
        </w:tc>
        <w:tc>
          <w:tcPr>
            <w:tcW w:w="3120" w:type="dxa"/>
            <w:vAlign w:val="bottom"/>
            <w:shd w:val="clear" w:color="auto" w:fill="C7EAF2"/>
          </w:tcPr>
          <w:p>
            <w:pPr>
              <w:spacing w:after="0"/>
              <w:rPr>
                <w:sz w:val="17"/>
                <w:szCs w:val="17"/>
                <w:color w:val="auto"/>
              </w:rPr>
            </w:pPr>
          </w:p>
        </w:tc>
        <w:tc>
          <w:tcPr>
            <w:tcW w:w="480" w:type="dxa"/>
            <w:vAlign w:val="bottom"/>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5,154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Shipping costs</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Onshore operating costs</w:t>
            </w:r>
          </w:p>
        </w:tc>
        <w:tc>
          <w:tcPr>
            <w:tcW w:w="3600" w:type="dxa"/>
            <w:vAlign w:val="bottom"/>
            <w:gridSpan w:val="2"/>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26,544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Corporate costs</w:t>
            </w:r>
          </w:p>
        </w:tc>
        <w:tc>
          <w:tcPr>
            <w:tcW w:w="36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Borders>
              <w:top w:val="single" w:sz="8" w:color="C7EAF2"/>
              <w:bottom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Total operating costs</w:t>
            </w:r>
          </w:p>
        </w:tc>
        <w:tc>
          <w:tcPr>
            <w:tcW w:w="3120" w:type="dxa"/>
            <w:vAlign w:val="bottom"/>
            <w:tcBorders>
              <w:top w:val="single" w:sz="8" w:color="C7EAF2"/>
              <w:bottom w:val="single" w:sz="8" w:color="C7EAF2"/>
            </w:tcBorders>
            <w:shd w:val="clear" w:color="auto" w:fill="C7EAF2"/>
          </w:tcPr>
          <w:p>
            <w:pPr>
              <w:spacing w:after="0"/>
              <w:rPr>
                <w:sz w:val="19"/>
                <w:szCs w:val="19"/>
                <w:color w:val="auto"/>
              </w:rPr>
            </w:pPr>
          </w:p>
        </w:tc>
        <w:tc>
          <w:tcPr>
            <w:tcW w:w="480" w:type="dxa"/>
            <w:vAlign w:val="bottom"/>
            <w:tcBorders>
              <w:top w:val="single" w:sz="8" w:color="auto"/>
              <w:bottom w:val="single" w:sz="8" w:color="auto"/>
            </w:tcBorders>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37,524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auto"/>
              </w:rPr>
              <w:t>Royalties</w:t>
            </w:r>
          </w:p>
        </w:tc>
        <w:tc>
          <w:tcPr>
            <w:tcW w:w="3120" w:type="dxa"/>
            <w:vAlign w:val="bottom"/>
          </w:tcPr>
          <w:p>
            <w:pPr>
              <w:spacing w:after="0"/>
              <w:rPr>
                <w:sz w:val="15"/>
                <w:szCs w:val="15"/>
                <w:color w:val="auto"/>
              </w:rPr>
            </w:pPr>
          </w:p>
        </w:tc>
        <w:tc>
          <w:tcPr>
            <w:tcW w:w="480" w:type="dxa"/>
            <w:vAlign w:val="bottom"/>
          </w:tcPr>
          <w:p>
            <w:pPr>
              <w:jc w:val="right"/>
              <w:ind w:right="314"/>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7,195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Onshore tax</w:t>
            </w:r>
          </w:p>
        </w:tc>
        <w:tc>
          <w:tcPr>
            <w:tcW w:w="3600" w:type="dxa"/>
            <w:vAlign w:val="bottom"/>
            <w:gridSpan w:val="2"/>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9,123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tcBorders>
              <w:bottom w:val="single" w:sz="8" w:color="C7EAF2"/>
            </w:tcBorders>
          </w:tcPr>
          <w:p>
            <w:pPr>
              <w:spacing w:after="0"/>
              <w:rPr>
                <w:sz w:val="20"/>
                <w:szCs w:val="20"/>
                <w:color w:val="auto"/>
              </w:rPr>
            </w:pPr>
            <w:r>
              <w:rPr>
                <w:rFonts w:ascii="Times New Roman" w:cs="Times New Roman" w:eastAsia="Times New Roman" w:hAnsi="Times New Roman"/>
                <w:sz w:val="17"/>
                <w:szCs w:val="17"/>
                <w:b w:val="1"/>
                <w:bCs w:val="1"/>
                <w:color w:val="auto"/>
              </w:rPr>
              <w:t>Taxes and royalties</w:t>
            </w:r>
          </w:p>
        </w:tc>
        <w:tc>
          <w:tcPr>
            <w:tcW w:w="3120" w:type="dxa"/>
            <w:vAlign w:val="bottom"/>
            <w:tcBorders>
              <w:bottom w:val="single" w:sz="8" w:color="C7EAF2"/>
            </w:tcBorders>
          </w:tcPr>
          <w:p>
            <w:pPr>
              <w:spacing w:after="0"/>
              <w:rPr>
                <w:sz w:val="17"/>
                <w:szCs w:val="17"/>
                <w:color w:val="auto"/>
              </w:rPr>
            </w:pPr>
          </w:p>
        </w:tc>
        <w:tc>
          <w:tcPr>
            <w:tcW w:w="4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140" w:type="dxa"/>
            <w:vAlign w:val="bottom"/>
            <w:tcBorders>
              <w:bottom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Net undiscounted cash flow</w:t>
            </w:r>
          </w:p>
        </w:tc>
        <w:tc>
          <w:tcPr>
            <w:tcW w:w="3120" w:type="dxa"/>
            <w:vAlign w:val="bottom"/>
            <w:tcBorders>
              <w:bottom w:val="single" w:sz="8" w:color="C7EAF2"/>
            </w:tcBorders>
            <w:shd w:val="clear" w:color="auto" w:fill="C7EAF2"/>
          </w:tcPr>
          <w:p>
            <w:pPr>
              <w:spacing w:after="0"/>
              <w:rPr>
                <w:sz w:val="17"/>
                <w:szCs w:val="17"/>
                <w:color w:val="auto"/>
              </w:rPr>
            </w:pPr>
          </w:p>
        </w:tc>
        <w:tc>
          <w:tcPr>
            <w:tcW w:w="480" w:type="dxa"/>
            <w:vAlign w:val="bottom"/>
            <w:tcBorders>
              <w:bottom w:val="single" w:sz="8" w:color="auto"/>
            </w:tcBorders>
            <w:shd w:val="clear" w:color="auto" w:fill="C7EAF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30,640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Project revenues are expected to come from the following sources: (a) a nickel sulfate product; (b) a copper cathode product; (c) a cobalt sulfate product; (d) a manganese silicate product; (e) an ammonium sulfate product; (f) a nickel alloy product containing copper and cobalt; and (g) a matte product from the NORI pyrometallurgical plants containing nickel, copper and cobalt which would be sold to the matte market.</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discounted cash flows and progressive NPVs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wp:posOffset>
            </wp:positionH>
            <wp:positionV relativeFrom="paragraph">
              <wp:posOffset>154305</wp:posOffset>
            </wp:positionV>
            <wp:extent cx="5074285" cy="22225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208">
                      <a:extLst>
                        <a:ext uri="{28A0092B-C50C-407E-A947-70E740481C1C}"/>
                      </a:extLst>
                    </a:blip>
                    <a:srcRect/>
                    <a:stretch>
                      <a:fillRect/>
                    </a:stretch>
                  </pic:blipFill>
                  <pic:spPr bwMode="auto">
                    <a:xfrm>
                      <a:off x="0" y="0"/>
                      <a:ext cx="5074285" cy="2222500"/>
                    </a:xfrm>
                    <a:prstGeom prst="rect">
                      <a:avLst/>
                    </a:prstGeom>
                    <a:noFill/>
                  </pic:spPr>
                </pic:pic>
              </a:graphicData>
            </a:graphic>
          </wp:anchor>
        </w:drawing>
      </w:r>
    </w:p>
    <w:p>
      <w:pPr>
        <w:sectPr>
          <w:pgSz w:w="12240" w:h="15840" w:orient="portrait"/>
          <w:cols w:equalWidth="0" w:num="1">
            <w:col w:w="9620"/>
          </w:cols>
          <w:pgMar w:left="1320" w:top="1337" w:right="13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308" o:spid="_x0000_s13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337" w:right="1300" w:bottom="1440" w:gutter="0" w:footer="0" w:header="0"/>
          <w:type w:val="continuous"/>
        </w:sectPr>
      </w:pPr>
    </w:p>
    <w:bookmarkStart w:id="92" w:name="page93"/>
    <w:bookmarkEnd w:id="92"/>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20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210">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date of the investment decision, as outlined in the initial assessment contained in the NORI Technical Report Summary was expected to be on or around June 30, 2023. The analysis assumes NORI spending of $237 million on pre-project activities between 2021 (which were progressed in 2021) and 2024. The future value of the project on June 30, 2023 (after the pre-project expenditure is sunk and time has elapsed) is expected to be $8.6 billion and the initial rate of return from that point is expected to be 29%.</w:t>
      </w:r>
    </w:p>
    <w:p>
      <w:pPr>
        <w:spacing w:after="0" w:line="161"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sensitivity of project economics to changes in the main variables was tested by selecting high and low values that represent a likely range of potential operating conditions. The variables with the biggest negative impact on NPV are all metal prices, total OPEX, collector speed, nickel sulfate price and development capex. In general, revenue drivers have the biggest impact, followed by OPEX variables and then CAPEX variables.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116840</wp:posOffset>
            </wp:positionV>
            <wp:extent cx="4778375" cy="27736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11">
                      <a:extLst>
                        <a:ext uri="{28A0092B-C50C-407E-A947-70E740481C1C}"/>
                      </a:extLst>
                    </a:blip>
                    <a:srcRect/>
                    <a:stretch>
                      <a:fillRect/>
                    </a:stretch>
                  </pic:blipFill>
                  <pic:spPr bwMode="auto">
                    <a:xfrm>
                      <a:off x="0" y="0"/>
                      <a:ext cx="4778375" cy="277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Tornado diagram of NPV sensitivity to variables</w:t>
      </w:r>
    </w:p>
    <w:p>
      <w:pPr>
        <w:spacing w:after="0" w:line="219" w:lineRule="exact"/>
        <w:rPr>
          <w:sz w:val="20"/>
          <w:szCs w:val="20"/>
          <w:color w:val="auto"/>
        </w:rPr>
      </w:pPr>
    </w:p>
    <w:p>
      <w:pPr>
        <w:jc w:val="both"/>
        <w:ind w:right="20" w:firstLine="312"/>
        <w:spacing w:after="0" w:line="269" w:lineRule="auto"/>
        <w:rPr>
          <w:sz w:val="20"/>
          <w:szCs w:val="20"/>
          <w:color w:val="auto"/>
        </w:rPr>
      </w:pPr>
      <w:r>
        <w:rPr>
          <w:rFonts w:ascii="Times New Roman" w:cs="Times New Roman" w:eastAsia="Times New Roman" w:hAnsi="Times New Roman"/>
          <w:sz w:val="17"/>
          <w:szCs w:val="17"/>
          <w:color w:val="auto"/>
        </w:rPr>
        <w:t>The initial assessment is preliminary in nature, and further planning, engineering studies, design, cost estimation and seafloor tests are required before mineral resources can be converted to mineral reserves. There is no certainty that the proposals and results presented in the initial assessment will be realized. A prefeasibility study has not yet been undertaken. Mineral resources are not mineral reserves and do not have demonstrated economic viability.</w:t>
      </w:r>
    </w:p>
    <w:p>
      <w:pPr>
        <w:spacing w:after="0" w:line="16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initial assessment included in the NORI Technical Report Summary indicates that the NORI Area mineral resource is potentially economic. The Qualified Person recommended that further data gathering, analysis, design and cost estimation be undertaken to advance the project.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Internal controls and data verification</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original assay sheets for the individual samples collected by the pioneer investors from within the NORI Area are not available for auditing against the values in the database. We, AMC and NORI have not had access to the original assay sheets for the individual samples that are within the CCZ, and the quality control procedures used by the laboratories and the ISA. However, the consistency between the abundance and grade data collected by the pioneer investors, as presented in Section 9.1 of the NORI Technical Report Summary, supports the contention that the quality of the pioneer investor data is satisfactory.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12" o:spid="_x0000_s13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93" w:name="page94"/>
    <w:bookmarkEnd w:id="93"/>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1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213">
                      <a:extLst>
                        <a:ext uri="{28A0092B-C50C-407E-A947-70E740481C1C}"/>
                      </a:extLst>
                    </a:blip>
                    <a:srcRect/>
                    <a:stretch>
                      <a:fillRect/>
                    </a:stretch>
                  </pic:blipFill>
                  <pic:spPr bwMode="auto">
                    <a:xfrm>
                      <a:off x="0" y="0"/>
                      <a:ext cx="5080" cy="13970"/>
                    </a:xfrm>
                    <a:prstGeom prst="rect">
                      <a:avLst/>
                    </a:prstGeom>
                    <a:noFill/>
                  </pic:spPr>
                </pic:pic>
              </a:graphicData>
            </a:graphic>
          </wp:anchor>
        </w:drawing>
        <w:t>It is also reasonable to infer that the pioneer investor data are of sufficient quality for resource estimation because the ISA is an independent agency with significant accountability under the UNCLOS.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61"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Data collected by NORI is well-documented and was subject to satisfactory quality assurance/quality control processes. Documentation verified by the Qualified Person includes photographs, daily exploration reports, digital logging sheets and original assay reports. In the opinion of the Qualified Person, the NORI data was of high quality and suitable for estimation of measured mineral resources.</w:t>
      </w:r>
    </w:p>
    <w:p>
      <w:pPr>
        <w:spacing w:after="0" w:line="370"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Assaying of nodules collected by NORI in 2012, 2013, 2018, and 2019 confirm the mean grades of the historical grab samples and support the contention that the quality of the pioneer investor data is satisfactory for inclusion in resource estimation. The main limitation with the pioneer investor data is the likelihood that some of the abundance values were too low, due to loss of nodules from the FFG. Estimates of abundance that include pioneer investor data are therefore likely to be conservative.</w:t>
      </w:r>
    </w:p>
    <w:p>
      <w:pPr>
        <w:spacing w:after="0" w:line="161"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For more information about quality control/quality assurance and data verification, see Section 8 and Section 9 of the NORI Technical Report Summary.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TOML Contract Area</w:t>
      </w:r>
    </w:p>
    <w:p>
      <w:pPr>
        <w:spacing w:after="0" w:line="222"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information that follows relating to the TOML Contract Area of the CCZ is derived, for the most part, from, and in some instances is an extract from, the TOML Technical Report Summary prepared in compliance with the SEC Mining Rules. Portions of the following information are based on assumptions, qualifications and procedures which are not fully described herein. Reference should be made to the full text of the TOML Technical Report Summary, which has been filed as exhibit 96.2 to this Annual Report on Form 10-K. In the event that we determine that any of modifying factors, estimates and other scientific and technical information in the report materially change, we may update or file a new technical report in the future. The TOML Contract Area is an exploration stage property.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15" o:spid="_x0000_s13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214">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15">
                      <a:extLst>
                        <a:ext uri="{28A0092B-C50C-407E-A947-70E740481C1C}"/>
                      </a:extLst>
                    </a:blip>
                    <a:srcRect/>
                    <a:stretch>
                      <a:fillRect/>
                    </a:stretch>
                  </pic:blipFill>
                  <pic:spPr bwMode="auto">
                    <a:xfrm>
                      <a:off x="0" y="0"/>
                      <a:ext cx="5080" cy="13970"/>
                    </a:xfrm>
                    <a:prstGeom prst="rect">
                      <a:avLst/>
                    </a:prstGeom>
                    <a:noFill/>
                  </pic:spPr>
                </pic:pic>
              </a:graphicData>
            </a:graphic>
          </wp:anchor>
        </w:drawing>
        <w:t>Location of the TOML Contract Area and access</w:t>
      </w:r>
    </w:p>
    <w:p>
      <w:pPr>
        <w:spacing w:after="0" w:line="218" w:lineRule="exact"/>
        <w:rPr>
          <w:sz w:val="20"/>
          <w:szCs w:val="20"/>
          <w:color w:val="auto"/>
        </w:rPr>
      </w:pPr>
    </w:p>
    <w:p>
      <w:pPr>
        <w:jc w:val="both"/>
        <w:ind w:firstLine="311"/>
        <w:spacing w:after="0" w:line="275" w:lineRule="auto"/>
        <w:rPr>
          <w:sz w:val="20"/>
          <w:szCs w:val="20"/>
          <w:color w:val="auto"/>
        </w:rPr>
      </w:pPr>
      <w:r>
        <w:rPr>
          <w:rFonts w:ascii="Times New Roman" w:cs="Times New Roman" w:eastAsia="Times New Roman" w:hAnsi="Times New Roman"/>
          <w:sz w:val="17"/>
          <w:szCs w:val="17"/>
          <w:color w:val="auto"/>
        </w:rPr>
        <w:t>The TOML Area is located within the CCZ of the northeast Pacific Ocean. The CCZ is located in international waters between Hawaii and Mexico. The western-end of the CCZ is approximately 1,000 km south of the Hawaiian island group. From here, the CCZ extends over 4,500 km east-northeast, in an approximately 600 km wide trend, with the eastern limits approximately 2,000 km west of southern Mexico. The region is well-located to ship nodules to the American continent or across the Pacific to Asian markets. The TOML Contract Area comprises six separate blocks (A through F) in the CCZ with a combined area of 74,713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27305</wp:posOffset>
            </wp:positionV>
            <wp:extent cx="4745355" cy="36791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216">
                      <a:extLst>
                        <a:ext uri="{28A0092B-C50C-407E-A947-70E740481C1C}"/>
                      </a:extLst>
                    </a:blip>
                    <a:srcRect/>
                    <a:stretch>
                      <a:fillRect/>
                    </a:stretch>
                  </pic:blipFill>
                  <pic:spPr bwMode="auto">
                    <a:xfrm>
                      <a:off x="0" y="0"/>
                      <a:ext cx="4745355" cy="367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TOML Contract Area extents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4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UTM</w:t>
            </w:r>
          </w:p>
        </w:tc>
        <w:tc>
          <w:tcPr>
            <w:tcW w:w="0" w:type="dxa"/>
            <w:vAlign w:val="bottom"/>
          </w:tcPr>
          <w:p>
            <w:pPr>
              <w:spacing w:after="0"/>
              <w:rPr>
                <w:sz w:val="1"/>
                <w:szCs w:val="1"/>
                <w:color w:val="auto"/>
              </w:rPr>
            </w:pPr>
          </w:p>
        </w:tc>
      </w:tr>
      <w:tr>
        <w:trPr>
          <w:trHeight w:val="143"/>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Area</w:t>
            </w:r>
          </w:p>
        </w:tc>
        <w:tc>
          <w:tcPr>
            <w:tcW w:w="8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rPr>
              <w:t>Latitude</w:t>
            </w:r>
          </w:p>
        </w:tc>
        <w:tc>
          <w:tcPr>
            <w:tcW w:w="8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Latitude</w:t>
            </w: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Longitude</w:t>
            </w: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Longitude</w:t>
            </w:r>
          </w:p>
        </w:tc>
        <w:tc>
          <w:tcPr>
            <w:tcW w:w="7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X</w:t>
            </w:r>
          </w:p>
        </w:tc>
        <w:tc>
          <w:tcPr>
            <w:tcW w:w="78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X</w:t>
            </w:r>
          </w:p>
        </w:tc>
        <w:tc>
          <w:tcPr>
            <w:tcW w:w="82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8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UTM Y</w:t>
            </w: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00" w:type="dxa"/>
            <w:vAlign w:val="bottom"/>
            <w:gridSpan w:val="2"/>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(DD)</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(DD)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(DD)</w:t>
            </w:r>
          </w:p>
        </w:tc>
        <w:tc>
          <w:tcPr>
            <w:tcW w:w="1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(DD)</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(m)</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Zone</w:t>
            </w:r>
          </w:p>
        </w:tc>
        <w:tc>
          <w:tcPr>
            <w:tcW w:w="0" w:type="dxa"/>
            <w:vAlign w:val="bottom"/>
          </w:tcPr>
          <w:p>
            <w:pPr>
              <w:spacing w:after="0"/>
              <w:rPr>
                <w:sz w:val="1"/>
                <w:szCs w:val="1"/>
                <w:color w:val="auto"/>
              </w:rPr>
            </w:pPr>
          </w:p>
        </w:tc>
      </w:tr>
      <w:tr>
        <w:trPr>
          <w:trHeight w:val="200"/>
        </w:trPr>
        <w:tc>
          <w:tcPr>
            <w:tcW w:w="226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A</w:t>
            </w:r>
          </w:p>
        </w:tc>
        <w:tc>
          <w:tcPr>
            <w:tcW w:w="140" w:type="dxa"/>
            <w:vAlign w:val="bottom"/>
            <w:tcBorders>
              <w:top w:val="single" w:sz="8" w:color="C7EAF2"/>
            </w:tcBorders>
            <w:shd w:val="clear" w:color="auto" w:fill="C7EAF2"/>
          </w:tcPr>
          <w:p>
            <w:pPr>
              <w:spacing w:after="0"/>
              <w:rPr>
                <w:sz w:val="17"/>
                <w:szCs w:val="17"/>
                <w:color w:val="auto"/>
              </w:rPr>
            </w:pPr>
          </w:p>
        </w:tc>
        <w:tc>
          <w:tcPr>
            <w:tcW w:w="7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7.167 N</w:t>
            </w:r>
          </w:p>
        </w:tc>
        <w:tc>
          <w:tcPr>
            <w:tcW w:w="140" w:type="dxa"/>
            <w:vAlign w:val="bottom"/>
            <w:tcBorders>
              <w:top w:val="single" w:sz="8" w:color="C7EAF2"/>
            </w:tcBorders>
            <w:shd w:val="clear" w:color="auto" w:fill="C7EAF2"/>
          </w:tcPr>
          <w:p>
            <w:pPr>
              <w:spacing w:after="0"/>
              <w:rPr>
                <w:sz w:val="17"/>
                <w:szCs w:val="17"/>
                <w:color w:val="auto"/>
              </w:rPr>
            </w:pPr>
          </w:p>
        </w:tc>
        <w:tc>
          <w:tcPr>
            <w:tcW w:w="700" w:type="dxa"/>
            <w:vAlign w:val="bottom"/>
            <w:tcBorders>
              <w:top w:val="single" w:sz="8" w:color="auto"/>
            </w:tcBorders>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8.167 N</w:t>
            </w:r>
          </w:p>
        </w:tc>
        <w:tc>
          <w:tcPr>
            <w:tcW w:w="140" w:type="dxa"/>
            <w:vAlign w:val="bottom"/>
            <w:tcBorders>
              <w:top w:val="single" w:sz="8" w:color="C7EAF2"/>
            </w:tcBorders>
            <w:shd w:val="clear" w:color="auto" w:fill="C7EAF2"/>
          </w:tcPr>
          <w:p>
            <w:pPr>
              <w:spacing w:after="0"/>
              <w:rPr>
                <w:sz w:val="17"/>
                <w:szCs w:val="17"/>
                <w:color w:val="auto"/>
              </w:rPr>
            </w:pPr>
          </w:p>
        </w:tc>
        <w:tc>
          <w:tcPr>
            <w:tcW w:w="86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151.667 W</w:t>
            </w:r>
          </w:p>
        </w:tc>
        <w:tc>
          <w:tcPr>
            <w:tcW w:w="140" w:type="dxa"/>
            <w:vAlign w:val="bottom"/>
            <w:tcBorders>
              <w:top w:val="single" w:sz="8" w:color="C7EAF2"/>
            </w:tcBorders>
            <w:shd w:val="clear" w:color="auto" w:fill="C7EAF2"/>
          </w:tcPr>
          <w:p>
            <w:pPr>
              <w:spacing w:after="0"/>
              <w:rPr>
                <w:sz w:val="17"/>
                <w:szCs w:val="17"/>
                <w:color w:val="auto"/>
              </w:rPr>
            </w:pPr>
          </w:p>
        </w:tc>
        <w:tc>
          <w:tcPr>
            <w:tcW w:w="84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152.510 W</w:t>
            </w:r>
          </w:p>
        </w:tc>
        <w:tc>
          <w:tcPr>
            <w:tcW w:w="140" w:type="dxa"/>
            <w:vAlign w:val="bottom"/>
            <w:tcBorders>
              <w:top w:val="single" w:sz="8" w:color="C7EAF2"/>
            </w:tcBorders>
            <w:shd w:val="clear" w:color="auto" w:fill="C7EAF2"/>
          </w:tcPr>
          <w:p>
            <w:pPr>
              <w:spacing w:after="0"/>
              <w:rPr>
                <w:sz w:val="17"/>
                <w:szCs w:val="17"/>
                <w:color w:val="auto"/>
              </w:rPr>
            </w:pPr>
          </w:p>
        </w:tc>
        <w:tc>
          <w:tcPr>
            <w:tcW w:w="60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553972</w:t>
            </w:r>
          </w:p>
        </w:tc>
        <w:tc>
          <w:tcPr>
            <w:tcW w:w="140" w:type="dxa"/>
            <w:vAlign w:val="bottom"/>
            <w:tcBorders>
              <w:top w:val="single" w:sz="8" w:color="C7EAF2"/>
            </w:tcBorders>
            <w:shd w:val="clear" w:color="auto" w:fill="C7EAF2"/>
          </w:tcPr>
          <w:p>
            <w:pPr>
              <w:spacing w:after="0"/>
              <w:rPr>
                <w:sz w:val="17"/>
                <w:szCs w:val="17"/>
                <w:color w:val="auto"/>
              </w:rPr>
            </w:pPr>
          </w:p>
        </w:tc>
        <w:tc>
          <w:tcPr>
            <w:tcW w:w="64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647187</w:t>
            </w:r>
          </w:p>
        </w:tc>
        <w:tc>
          <w:tcPr>
            <w:tcW w:w="140" w:type="dxa"/>
            <w:vAlign w:val="bottom"/>
            <w:tcBorders>
              <w:top w:val="single" w:sz="8" w:color="C7EAF2"/>
            </w:tcBorders>
            <w:shd w:val="clear" w:color="auto" w:fill="C7EAF2"/>
          </w:tcPr>
          <w:p>
            <w:pPr>
              <w:spacing w:after="0"/>
              <w:rPr>
                <w:sz w:val="17"/>
                <w:szCs w:val="17"/>
                <w:color w:val="auto"/>
              </w:rPr>
            </w:pPr>
          </w:p>
        </w:tc>
        <w:tc>
          <w:tcPr>
            <w:tcW w:w="6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792205</w:t>
            </w:r>
          </w:p>
        </w:tc>
        <w:tc>
          <w:tcPr>
            <w:tcW w:w="140" w:type="dxa"/>
            <w:vAlign w:val="bottom"/>
            <w:tcBorders>
              <w:top w:val="single" w:sz="8" w:color="C7EAF2"/>
            </w:tcBorders>
            <w:shd w:val="clear" w:color="auto" w:fill="C7EAF2"/>
          </w:tcPr>
          <w:p>
            <w:pPr>
              <w:spacing w:after="0"/>
              <w:rPr>
                <w:sz w:val="17"/>
                <w:szCs w:val="17"/>
                <w:color w:val="auto"/>
              </w:rPr>
            </w:pPr>
          </w:p>
        </w:tc>
        <w:tc>
          <w:tcPr>
            <w:tcW w:w="6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902968</w:t>
            </w:r>
          </w:p>
        </w:tc>
        <w:tc>
          <w:tcPr>
            <w:tcW w:w="160" w:type="dxa"/>
            <w:vAlign w:val="bottom"/>
            <w:tcBorders>
              <w:top w:val="single" w:sz="8" w:color="C7EAF2"/>
            </w:tcBorders>
            <w:shd w:val="clear" w:color="auto" w:fill="C7EAF2"/>
          </w:tcPr>
          <w:p>
            <w:pPr>
              <w:spacing w:after="0"/>
              <w:rPr>
                <w:sz w:val="17"/>
                <w:szCs w:val="17"/>
                <w:color w:val="auto"/>
              </w:rPr>
            </w:pPr>
          </w:p>
        </w:tc>
        <w:tc>
          <w:tcPr>
            <w:tcW w:w="3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5"/>
              </w:rPr>
              <w:t>05N</w:t>
            </w:r>
          </w:p>
        </w:tc>
        <w:tc>
          <w:tcPr>
            <w:tcW w:w="0" w:type="dxa"/>
            <w:vAlign w:val="bottom"/>
          </w:tcPr>
          <w:p>
            <w:pPr>
              <w:spacing w:after="0"/>
              <w:rPr>
                <w:sz w:val="1"/>
                <w:szCs w:val="1"/>
                <w:color w:val="auto"/>
              </w:rPr>
            </w:pPr>
          </w:p>
        </w:tc>
      </w:tr>
      <w:tr>
        <w:trPr>
          <w:trHeight w:val="207"/>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13.580 N</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14.667 N</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132.000 W</w:t>
            </w:r>
          </w:p>
        </w:tc>
        <w:tc>
          <w:tcPr>
            <w:tcW w:w="14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133.200 W</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694518</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824685</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1502009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1623605</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08P</w:t>
            </w:r>
          </w:p>
        </w:tc>
        <w:tc>
          <w:tcPr>
            <w:tcW w:w="0" w:type="dxa"/>
            <w:vAlign w:val="bottom"/>
          </w:tcPr>
          <w:p>
            <w:pPr>
              <w:spacing w:after="0"/>
              <w:rPr>
                <w:sz w:val="1"/>
                <w:szCs w:val="1"/>
                <w:color w:val="auto"/>
              </w:rPr>
            </w:pPr>
          </w:p>
        </w:tc>
      </w:tr>
      <w:tr>
        <w:trPr>
          <w:trHeight w:val="207"/>
        </w:trPr>
        <w:tc>
          <w:tcPr>
            <w:tcW w:w="240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w:t>
            </w:r>
          </w:p>
        </w:tc>
        <w:tc>
          <w:tcPr>
            <w:tcW w:w="8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shd w:val="clear" w:color="auto" w:fill="C7EAF2"/>
              </w:rPr>
              <w:t>15.000 N</w:t>
            </w:r>
          </w:p>
        </w:tc>
        <w:tc>
          <w:tcPr>
            <w:tcW w:w="840" w:type="dxa"/>
            <w:vAlign w:val="bottom"/>
            <w:gridSpan w:val="2"/>
            <w:shd w:val="clear" w:color="auto" w:fill="C7EAF2"/>
          </w:tcPr>
          <w:p>
            <w:pPr>
              <w:jc w:val="center"/>
              <w:ind w:right="160"/>
              <w:spacing w:after="0"/>
              <w:rPr>
                <w:sz w:val="20"/>
                <w:szCs w:val="20"/>
                <w:color w:val="auto"/>
              </w:rPr>
            </w:pPr>
            <w:r>
              <w:rPr>
                <w:rFonts w:ascii="Times New Roman" w:cs="Times New Roman" w:eastAsia="Times New Roman" w:hAnsi="Times New Roman"/>
                <w:sz w:val="17"/>
                <w:szCs w:val="17"/>
                <w:color w:val="auto"/>
                <w:shd w:val="clear" w:color="auto" w:fill="C7EAF2"/>
              </w:rPr>
              <w:t>15.800 N</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shd w:val="clear" w:color="auto" w:fill="C7EAF2"/>
              </w:rPr>
              <w:t>128.583 W</w:t>
            </w:r>
          </w:p>
        </w:tc>
        <w:tc>
          <w:tcPr>
            <w:tcW w:w="140" w:type="dxa"/>
            <w:vAlign w:val="bottom"/>
            <w:shd w:val="clear" w:color="auto" w:fill="C7EAF2"/>
          </w:tcPr>
          <w:p>
            <w:pPr>
              <w:spacing w:after="0"/>
              <w:rPr>
                <w:sz w:val="18"/>
                <w:szCs w:val="18"/>
                <w:color w:val="auto"/>
              </w:rPr>
            </w:pPr>
          </w:p>
        </w:tc>
        <w:tc>
          <w:tcPr>
            <w:tcW w:w="980" w:type="dxa"/>
            <w:vAlign w:val="bottom"/>
            <w:gridSpan w:val="2"/>
            <w:shd w:val="clear" w:color="auto" w:fill="C7EAF2"/>
          </w:tcPr>
          <w:p>
            <w:pPr>
              <w:jc w:val="center"/>
              <w:ind w:right="180"/>
              <w:spacing w:after="0"/>
              <w:rPr>
                <w:sz w:val="20"/>
                <w:szCs w:val="20"/>
                <w:color w:val="auto"/>
              </w:rPr>
            </w:pPr>
            <w:r>
              <w:rPr>
                <w:rFonts w:ascii="Times New Roman" w:cs="Times New Roman" w:eastAsia="Times New Roman" w:hAnsi="Times New Roman"/>
                <w:sz w:val="17"/>
                <w:szCs w:val="17"/>
                <w:color w:val="auto"/>
              </w:rPr>
              <w:t>131.000 W</w:t>
            </w:r>
          </w:p>
        </w:tc>
        <w:tc>
          <w:tcPr>
            <w:tcW w:w="6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284947</w:t>
            </w:r>
          </w:p>
        </w:tc>
        <w:tc>
          <w:tcPr>
            <w:tcW w:w="140" w:type="dxa"/>
            <w:vAlign w:val="bottom"/>
            <w:shd w:val="clear" w:color="auto" w:fill="C7EAF2"/>
          </w:tcPr>
          <w:p>
            <w:pPr>
              <w:spacing w:after="0"/>
              <w:rPr>
                <w:sz w:val="18"/>
                <w:szCs w:val="18"/>
                <w:color w:val="auto"/>
              </w:rPr>
            </w:pPr>
          </w:p>
        </w:tc>
        <w:tc>
          <w:tcPr>
            <w:tcW w:w="64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544791</w:t>
            </w:r>
          </w:p>
        </w:tc>
        <w:tc>
          <w:tcPr>
            <w:tcW w:w="140" w:type="dxa"/>
            <w:vAlign w:val="bottom"/>
            <w:shd w:val="clear" w:color="auto" w:fill="C7EAF2"/>
          </w:tcPr>
          <w:p>
            <w:pPr>
              <w:spacing w:after="0"/>
              <w:rPr>
                <w:sz w:val="18"/>
                <w:szCs w:val="18"/>
                <w:color w:val="auto"/>
              </w:rPr>
            </w:pPr>
          </w:p>
        </w:tc>
        <w:tc>
          <w:tcPr>
            <w:tcW w:w="6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1658371</w:t>
            </w:r>
          </w:p>
        </w:tc>
        <w:tc>
          <w:tcPr>
            <w:tcW w:w="140" w:type="dxa"/>
            <w:vAlign w:val="bottom"/>
            <w:shd w:val="clear" w:color="auto" w:fill="C7EAF2"/>
          </w:tcPr>
          <w:p>
            <w:pPr>
              <w:spacing w:after="0"/>
              <w:rPr>
                <w:sz w:val="18"/>
                <w:szCs w:val="18"/>
                <w:color w:val="auto"/>
              </w:rPr>
            </w:pPr>
          </w:p>
        </w:tc>
        <w:tc>
          <w:tcPr>
            <w:tcW w:w="6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1747847</w:t>
            </w:r>
          </w:p>
        </w:tc>
        <w:tc>
          <w:tcPr>
            <w:tcW w:w="160" w:type="dxa"/>
            <w:vAlign w:val="bottom"/>
            <w:shd w:val="clear" w:color="auto" w:fill="C7EAF2"/>
          </w:tcPr>
          <w:p>
            <w:pPr>
              <w:spacing w:after="0"/>
              <w:rPr>
                <w:sz w:val="18"/>
                <w:szCs w:val="18"/>
                <w:color w:val="auto"/>
              </w:rPr>
            </w:pPr>
          </w:p>
        </w:tc>
        <w:tc>
          <w:tcPr>
            <w:tcW w:w="3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09P</w:t>
            </w:r>
          </w:p>
        </w:tc>
        <w:tc>
          <w:tcPr>
            <w:tcW w:w="0" w:type="dxa"/>
            <w:vAlign w:val="bottom"/>
          </w:tcPr>
          <w:p>
            <w:pPr>
              <w:spacing w:after="0"/>
              <w:rPr>
                <w:sz w:val="1"/>
                <w:szCs w:val="1"/>
                <w:color w:val="auto"/>
              </w:rPr>
            </w:pPr>
          </w:p>
        </w:tc>
      </w:tr>
      <w:tr>
        <w:trPr>
          <w:trHeight w:val="207"/>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13.125 N</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14.083 N</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123.583 W</w:t>
            </w:r>
          </w:p>
        </w:tc>
        <w:tc>
          <w:tcPr>
            <w:tcW w:w="14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125.333 W</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247293</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437022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1451031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1557860</w:t>
            </w: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10P</w:t>
            </w:r>
          </w:p>
        </w:tc>
        <w:tc>
          <w:tcPr>
            <w:tcW w:w="0" w:type="dxa"/>
            <w:vAlign w:val="bottom"/>
          </w:tcPr>
          <w:p>
            <w:pPr>
              <w:spacing w:after="0"/>
              <w:rPr>
                <w:sz w:val="1"/>
                <w:szCs w:val="1"/>
                <w:color w:val="auto"/>
              </w:rPr>
            </w:pPr>
          </w:p>
        </w:tc>
      </w:tr>
      <w:tr>
        <w:trPr>
          <w:trHeight w:val="207"/>
        </w:trPr>
        <w:tc>
          <w:tcPr>
            <w:tcW w:w="240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E</w:t>
            </w:r>
          </w:p>
        </w:tc>
        <w:tc>
          <w:tcPr>
            <w:tcW w:w="8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shd w:val="clear" w:color="auto" w:fill="C7EAF2"/>
              </w:rPr>
              <w:t>12.750 N</w:t>
            </w:r>
          </w:p>
        </w:tc>
        <w:tc>
          <w:tcPr>
            <w:tcW w:w="840" w:type="dxa"/>
            <w:vAlign w:val="bottom"/>
            <w:gridSpan w:val="2"/>
            <w:shd w:val="clear" w:color="auto" w:fill="C7EAF2"/>
          </w:tcPr>
          <w:p>
            <w:pPr>
              <w:jc w:val="center"/>
              <w:ind w:right="160"/>
              <w:spacing w:after="0"/>
              <w:rPr>
                <w:sz w:val="20"/>
                <w:szCs w:val="20"/>
                <w:color w:val="auto"/>
              </w:rPr>
            </w:pPr>
            <w:r>
              <w:rPr>
                <w:rFonts w:ascii="Times New Roman" w:cs="Times New Roman" w:eastAsia="Times New Roman" w:hAnsi="Times New Roman"/>
                <w:sz w:val="17"/>
                <w:szCs w:val="17"/>
                <w:color w:val="auto"/>
                <w:shd w:val="clear" w:color="auto" w:fill="C7EAF2"/>
              </w:rPr>
              <w:t>13.083 N</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shd w:val="clear" w:color="auto" w:fill="C7EAF2"/>
              </w:rPr>
              <w:t>123.583 W</w:t>
            </w:r>
          </w:p>
        </w:tc>
        <w:tc>
          <w:tcPr>
            <w:tcW w:w="140" w:type="dxa"/>
            <w:vAlign w:val="bottom"/>
            <w:shd w:val="clear" w:color="auto" w:fill="C7EAF2"/>
          </w:tcPr>
          <w:p>
            <w:pPr>
              <w:spacing w:after="0"/>
              <w:rPr>
                <w:sz w:val="18"/>
                <w:szCs w:val="18"/>
                <w:color w:val="auto"/>
              </w:rPr>
            </w:pPr>
          </w:p>
        </w:tc>
        <w:tc>
          <w:tcPr>
            <w:tcW w:w="980" w:type="dxa"/>
            <w:vAlign w:val="bottom"/>
            <w:gridSpan w:val="2"/>
            <w:shd w:val="clear" w:color="auto" w:fill="C7EAF2"/>
          </w:tcPr>
          <w:p>
            <w:pPr>
              <w:jc w:val="center"/>
              <w:ind w:right="180"/>
              <w:spacing w:after="0"/>
              <w:rPr>
                <w:sz w:val="20"/>
                <w:szCs w:val="20"/>
                <w:color w:val="auto"/>
              </w:rPr>
            </w:pPr>
            <w:r>
              <w:rPr>
                <w:rFonts w:ascii="Times New Roman" w:cs="Times New Roman" w:eastAsia="Times New Roman" w:hAnsi="Times New Roman"/>
                <w:sz w:val="17"/>
                <w:szCs w:val="17"/>
                <w:color w:val="auto"/>
              </w:rPr>
              <w:t>125.333 W</w:t>
            </w:r>
          </w:p>
        </w:tc>
        <w:tc>
          <w:tcPr>
            <w:tcW w:w="6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246693</w:t>
            </w:r>
          </w:p>
        </w:tc>
        <w:tc>
          <w:tcPr>
            <w:tcW w:w="140" w:type="dxa"/>
            <w:vAlign w:val="bottom"/>
            <w:shd w:val="clear" w:color="auto" w:fill="C7EAF2"/>
          </w:tcPr>
          <w:p>
            <w:pPr>
              <w:spacing w:after="0"/>
              <w:rPr>
                <w:sz w:val="18"/>
                <w:szCs w:val="18"/>
                <w:color w:val="auto"/>
              </w:rPr>
            </w:pPr>
          </w:p>
        </w:tc>
        <w:tc>
          <w:tcPr>
            <w:tcW w:w="64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436796</w:t>
            </w:r>
          </w:p>
        </w:tc>
        <w:tc>
          <w:tcPr>
            <w:tcW w:w="140" w:type="dxa"/>
            <w:vAlign w:val="bottom"/>
            <w:shd w:val="clear" w:color="auto" w:fill="C7EAF2"/>
          </w:tcPr>
          <w:p>
            <w:pPr>
              <w:spacing w:after="0"/>
              <w:rPr>
                <w:sz w:val="18"/>
                <w:szCs w:val="18"/>
                <w:color w:val="auto"/>
              </w:rPr>
            </w:pPr>
          </w:p>
        </w:tc>
        <w:tc>
          <w:tcPr>
            <w:tcW w:w="6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1409563</w:t>
            </w:r>
          </w:p>
        </w:tc>
        <w:tc>
          <w:tcPr>
            <w:tcW w:w="140" w:type="dxa"/>
            <w:vAlign w:val="bottom"/>
            <w:shd w:val="clear" w:color="auto" w:fill="C7EAF2"/>
          </w:tcPr>
          <w:p>
            <w:pPr>
              <w:spacing w:after="0"/>
              <w:rPr>
                <w:sz w:val="18"/>
                <w:szCs w:val="18"/>
                <w:color w:val="auto"/>
              </w:rPr>
            </w:pPr>
          </w:p>
        </w:tc>
        <w:tc>
          <w:tcPr>
            <w:tcW w:w="6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1447513</w:t>
            </w:r>
          </w:p>
        </w:tc>
        <w:tc>
          <w:tcPr>
            <w:tcW w:w="160" w:type="dxa"/>
            <w:vAlign w:val="bottom"/>
            <w:shd w:val="clear" w:color="auto" w:fill="C7EAF2"/>
          </w:tcPr>
          <w:p>
            <w:pPr>
              <w:spacing w:after="0"/>
              <w:rPr>
                <w:sz w:val="18"/>
                <w:szCs w:val="18"/>
                <w:color w:val="auto"/>
              </w:rPr>
            </w:pPr>
          </w:p>
        </w:tc>
        <w:tc>
          <w:tcPr>
            <w:tcW w:w="3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10P</w:t>
            </w:r>
          </w:p>
        </w:tc>
        <w:tc>
          <w:tcPr>
            <w:tcW w:w="0" w:type="dxa"/>
            <w:vAlign w:val="bottom"/>
          </w:tcPr>
          <w:p>
            <w:pPr>
              <w:spacing w:after="0"/>
              <w:rPr>
                <w:sz w:val="1"/>
                <w:szCs w:val="1"/>
                <w:color w:val="auto"/>
              </w:rPr>
            </w:pPr>
          </w:p>
        </w:tc>
      </w:tr>
      <w:tr>
        <w:trPr>
          <w:trHeight w:val="232"/>
        </w:trPr>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9.895 N</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11.083 N</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117.817 W</w:t>
            </w:r>
          </w:p>
        </w:tc>
        <w:tc>
          <w:tcPr>
            <w:tcW w:w="14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118.917 W</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289835</w:t>
            </w:r>
          </w:p>
        </w:tc>
        <w:tc>
          <w:tcPr>
            <w:tcW w:w="1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410804</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1093917</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1225828</w:t>
            </w:r>
          </w:p>
        </w:tc>
        <w:tc>
          <w:tcPr>
            <w:tcW w:w="1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11P</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4720" w:right="4000" w:hanging="4712"/>
        <w:spacing w:after="0" w:line="808" w:lineRule="auto"/>
        <w:tabs>
          <w:tab w:leader="none" w:pos="292"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Decimal degrees, UTM — Universal Transverse Mercator map projection 85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43180</wp:posOffset>
                </wp:positionV>
                <wp:extent cx="6110605" cy="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19" o:spid="_x0000_s13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3.4pt" to="481.3pt,3.4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95" w:name="page96"/>
    <w:bookmarkEnd w:id="95"/>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21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18">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CCZ lies between Hawaii and Mexico and is accessible by ship from various ports in the United States and South America. As the CCZ deposit does not include any habitable land and is not near coastal waters, there is no requirement to negotiate access rights from landowners for seafloor collection operations. All personnel and material will be transported to the project area by ship.</w:t>
      </w:r>
    </w:p>
    <w:p>
      <w:pPr>
        <w:spacing w:after="0" w:line="155" w:lineRule="exact"/>
        <w:rPr>
          <w:sz w:val="20"/>
          <w:szCs w:val="20"/>
          <w:color w:val="auto"/>
        </w:rPr>
      </w:pPr>
    </w:p>
    <w:p>
      <w:pPr>
        <w:ind w:right="180" w:firstLine="311"/>
        <w:spacing w:after="0" w:line="509" w:lineRule="auto"/>
        <w:rPr>
          <w:sz w:val="20"/>
          <w:szCs w:val="20"/>
          <w:color w:val="auto"/>
        </w:rPr>
      </w:pPr>
      <w:r>
        <w:rPr>
          <w:rFonts w:ascii="Times New Roman" w:cs="Times New Roman" w:eastAsia="Times New Roman" w:hAnsi="Times New Roman"/>
          <w:sz w:val="17"/>
          <w:szCs w:val="17"/>
          <w:color w:val="auto"/>
        </w:rPr>
        <w:t xml:space="preserve">See Section 3 of the TOML Technical Report Summary for further specific information of the location of the TOML Contract Area. </w:t>
      </w:r>
      <w:r>
        <w:rPr>
          <w:rFonts w:ascii="Times New Roman" w:cs="Times New Roman" w:eastAsia="Times New Roman" w:hAnsi="Times New Roman"/>
          <w:sz w:val="17"/>
          <w:szCs w:val="17"/>
          <w:b w:val="1"/>
          <w:bCs w:val="1"/>
          <w:i w:val="1"/>
          <w:iCs w:val="1"/>
          <w:color w:val="auto"/>
        </w:rPr>
        <w:t>Tenements and permits</w:t>
      </w: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See Business-Government Regulations-The TOML Exploration Contract, Business-Government Regulations-The TOML Sponsorship Agreement and Business-Government Regulations- International Seabed Authority above for information related to tenements and permits in the TOML Contract Area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TOML obligations and sponsorship</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Business-Government Regulations-The TOML Exploration Contract, Business-Government Regulations-The TOML Sponsorship Agreement above for information related to this agreement in the TOML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Royalties and taxes</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Business-Government Regulations-Royalties and taxes above for information with respect to our obligations for royalties and taxes in the TOML Contract Area.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History of previous exploration activities in the TOML Area</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Prior to the implementation of UNCLOS, many offshore exploration campaigns were completed by international organizations and consortia. A number of at-sea trial collection operations were successfully carried out in the CCZ in the 1970s to test potential collection concepts. These system tests evaluated the performance of a self-propelled and several towed collection and collection devices, along with submersible pumps and airlift technology for lifting the nodules from the deep ocean floor to the support vessel. Certain pioneer investors include those entities that carried out substantial exploration in the CCZ prior to the entry into force of UNCLOS, as well as those entities that inherited such exploration data.</w:t>
      </w:r>
    </w:p>
    <w:p>
      <w:pPr>
        <w:spacing w:after="0" w:line="166"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Exploration and development efforts in the CCZ started in the 1960s by state sponsored groups from Russia, France, Japan, Eastern Europe, China, Korea and Germany. Several commercial consortia also explored between the 1960s and the 1980s and in some instances their descendants are still involved to the present day. No commercial collection operations have yet been established in the CCZ. However, a variety of collectors, pick-up systems, and metallurgical processing flow sheets were tested, and several integrated “demonstration scale” systems operated in the CCZ for several months in the late 1970s. Processing test-work has encompassed a variety of hydrometallurgical and pyrometallurgical flow sheets, usually with good results.</w:t>
      </w:r>
    </w:p>
    <w:p>
      <w:pPr>
        <w:spacing w:after="0" w:line="166" w:lineRule="exact"/>
        <w:rPr>
          <w:sz w:val="20"/>
          <w:szCs w:val="20"/>
          <w:color w:val="auto"/>
        </w:rPr>
      </w:pPr>
    </w:p>
    <w:p>
      <w:pPr>
        <w:jc w:val="both"/>
        <w:ind w:firstLine="310"/>
        <w:spacing w:after="0" w:line="263" w:lineRule="auto"/>
        <w:rPr>
          <w:sz w:val="20"/>
          <w:szCs w:val="20"/>
          <w:color w:val="auto"/>
        </w:rPr>
      </w:pPr>
      <w:r>
        <w:rPr>
          <w:rFonts w:ascii="Times New Roman" w:cs="Times New Roman" w:eastAsia="Times New Roman" w:hAnsi="Times New Roman"/>
          <w:sz w:val="17"/>
          <w:szCs w:val="17"/>
          <w:color w:val="auto"/>
        </w:rPr>
        <w:t>Six exploration groups are known to have surveyed areas within the TOML Contract Area and collected samples of polymetallic nodules. Much of this work overlapped as it predated the signing of the Law of the Sea. These include the Japanese group (DORD), the South Korean group (KORDI), the Russian Federation group (Yuzhmorgeologiya), the French group (Ifremer), the German group (FIGNR or BGR), and the consortium, Ocean Minerals Company (OMCO). The timing and location (ISA, 2003) of the OMCO sampling is known but the results are not available outside of ISA published contour maps. Virtually all the samples in the TOML tenement area were obtained by FFG samplers, although a few results from box corers (BC) were also included.</w:t>
      </w:r>
    </w:p>
    <w:p>
      <w:pPr>
        <w:spacing w:after="0" w:line="16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See Section 5 of the TOML Technical Report Summary for further specific information of the history of previous exploration of the TOML Contract Area.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22" o:spid="_x0000_s13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1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220">
                      <a:extLst>
                        <a:ext uri="{28A0092B-C50C-407E-A947-70E740481C1C}"/>
                      </a:extLst>
                    </a:blip>
                    <a:srcRect/>
                    <a:stretch>
                      <a:fillRect/>
                    </a:stretch>
                  </pic:blipFill>
                  <pic:spPr bwMode="auto">
                    <a:xfrm>
                      <a:off x="0" y="0"/>
                      <a:ext cx="5080" cy="13970"/>
                    </a:xfrm>
                    <a:prstGeom prst="rect">
                      <a:avLst/>
                    </a:prstGeom>
                    <a:noFill/>
                  </pic:spPr>
                </pic:pic>
              </a:graphicData>
            </a:graphic>
          </wp:anchor>
        </w:drawing>
        <w:t>Geology and sampling</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Seafloor polymetallic nodules occur in all oceans but the CCZ hosts a relatively high abundance of nodules. The CCZ seafloor forms part of the Abyssal Plains, which are the largest physiographic province on Earth. This mineral field is essentially a single mineral deposit almost 5,000 km in length and up to 600 km wide. The size and level of uniformity of mineralization is unmatched by any mineral deposit of similar value on land. The mechanism of formation of the nodules is interpreted to be essentially identical across the entire CCZ, with only minor local variations. Consequently, there is relatively little difference between the size, shape or metal content of the nodules from one area to another. Figure 6.9 to Figure 6.11 of the TOML Technical Report Summary illustrate the remarkable continuity of grades and abundances across the whole of the CCZ.</w:t>
      </w:r>
    </w:p>
    <w:p>
      <w:pPr>
        <w:spacing w:after="0" w:line="17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Seafloor polymetallic nodules rest on the seafloor at the seawater — sediment interface. Such nodules are composed of nuclei and concentric layers of manganese and iron hydroxides and are formed by precipitation of metals from the surrounding seawater and sediment pore waters. Nickel, cobalt and copper are also precipitated and occur within the structure of the manganese and iron minerals.</w:t>
      </w:r>
    </w:p>
    <w:p>
      <w:pPr>
        <w:spacing w:after="0" w:line="155"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The specific conditions of the CCZ (water depth, latitude, and seafloor sediment type) are considered to be the key controls for the formation of polymetallic nodules. Nodules are typically 4 to 6 cm and up to 10 cm in diameter.</w:t>
      </w:r>
    </w:p>
    <w:p>
      <w:pPr>
        <w:spacing w:after="0" w:line="137"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exploration methods used to explore and delineate the mineral resources in the TOML and NORI areas were essentially the same. Multibeam echo-sounding system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better-quality sample. Measurements of nodule abundance obtained from physical samples were supplemented with estimates of abundance made using the long-axis estimation (“LAE”) method and high-resolution photographs of the seafloor.</w:t>
      </w:r>
    </w:p>
    <w:p>
      <w:pPr>
        <w:spacing w:after="0" w:line="166"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Data collected by TOML in 2013 and 2015 supports the historical data but also is of sufficient quantity and quality to allow estimation of an indicated mineral resource for five sub areas within TOML Areas B, C, D and F called B1, C1, D1, D2 and F1. More detailed data collected by TOML has also allowed estimation of a measured mineral resource for a single sub area within TOML Area B.</w:t>
      </w:r>
    </w:p>
    <w:p>
      <w:pPr>
        <w:spacing w:after="0" w:line="15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key data sets behind the inferred mineral resource estimate for TOML Areas A through E are surface samples obtained by free fall grab samplers, although a few results from box-corers were also included. Free fall grab samplers are the standard sampling method as they are the most productive tool available. They are believed to underestimate the actual abundance, as smaller nodules may escape some grabs during ascent and larger nodules around the edge of the sampler may be knocked or fall out during the sampling process. This may introduce some conservatism to the inferred mineral resource estimates.</w:t>
      </w:r>
    </w:p>
    <w:p>
      <w:pPr>
        <w:spacing w:after="0" w:line="165"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color w:val="auto"/>
        </w:rPr>
        <w:t>The key data behind the inferred mineral resource estimate for TOML Area F and the indicated and measured mineral resources are box-corers and measured photographs. Box-corers take longer to collect than free fall grab samplers, but they are believed to have less bias. Photos cover a much greater area than either free fall grabs or box-corers. The weight of individual nodules can be accurately estimated from the length of their long or major axis; a relationship first discovered in the 1970s. Using the box-core samples as calibration devices, TOML was able to measure the size of nodules on several hundred photographs in Areas B and C. Abundance is shown to be related both to nodule coverage in photos and to acoustic response (backscatter) from regional survey. These data thus provide very detailed indications of nodule abundance and continuity.</w:t>
      </w:r>
    </w:p>
    <w:p>
      <w:pPr>
        <w:spacing w:after="0" w:line="165" w:lineRule="exact"/>
        <w:rPr>
          <w:sz w:val="20"/>
          <w:szCs w:val="20"/>
          <w:color w:val="auto"/>
        </w:rPr>
      </w:pPr>
    </w:p>
    <w:p>
      <w:pPr>
        <w:jc w:val="both"/>
        <w:ind w:firstLine="311"/>
        <w:spacing w:after="0" w:line="228" w:lineRule="auto"/>
        <w:rPr>
          <w:sz w:val="20"/>
          <w:szCs w:val="20"/>
          <w:color w:val="auto"/>
        </w:rPr>
      </w:pPr>
      <w:r>
        <w:rPr>
          <w:rFonts w:ascii="Times New Roman" w:cs="Times New Roman" w:eastAsia="Times New Roman" w:hAnsi="Times New Roman"/>
          <w:sz w:val="17"/>
          <w:szCs w:val="17"/>
          <w:color w:val="auto"/>
        </w:rPr>
        <w:t>Many of the records of the sampling procedures used by the pioneer contractors were not available to the Qualified Persons, but it is likely that all of the pioneer contractors followed similar procedures to that used by TOML. Nodule abundance (wet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was derived by dividing the weight of recovered nodules by the surface area covered by the open jaws of the sampler or corer (typically 0.25 to 0.75 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A split of the nodules was dried, crushed and ground to enable grade determination via standard analytical methods (typically atomic absorption spectrometry, X-ray fluorescence or inductively coupled plasma methods), either on the vessel or back on shore. Specific nodule chemical standards were used for instrument calibration. TOML also present the results of field, submitted and laboratory duplicates of nodule samples.</w:t>
      </w:r>
    </w:p>
    <w:p>
      <w:pPr>
        <w:sectPr>
          <w:pgSz w:w="12240" w:h="15840" w:orient="portrait"/>
          <w:cols w:equalWidth="0" w:num="1">
            <w:col w:w="9620"/>
          </w:cols>
          <w:pgMar w:left="1320" w:top="1338" w:right="130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25" o:spid="_x0000_s13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8" w:right="1300" w:bottom="1440" w:gutter="0" w:footer="0" w:header="0"/>
          <w:type w:val="continuous"/>
        </w:sectPr>
      </w:pPr>
    </w:p>
    <w:bookmarkStart w:id="97" w:name="page98"/>
    <w:bookmarkEnd w:id="97"/>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22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22">
                      <a:extLst>
                        <a:ext uri="{28A0092B-C50C-407E-A947-70E740481C1C}"/>
                      </a:extLst>
                    </a:blip>
                    <a:srcRect/>
                    <a:stretch>
                      <a:fillRect/>
                    </a:stretch>
                  </pic:blipFill>
                  <pic:spPr bwMode="auto">
                    <a:xfrm>
                      <a:off x="0" y="0"/>
                      <a:ext cx="5080" cy="13970"/>
                    </a:xfrm>
                    <a:prstGeom prst="rect">
                      <a:avLst/>
                    </a:prstGeom>
                    <a:noFill/>
                  </pic:spPr>
                </pic:pic>
              </a:graphicData>
            </a:graphic>
          </wp:anchor>
        </w:drawing>
        <w:t>Analysis of the data revealed that, as a consequence of their origin, nodule grades vary only slightly across the CCZ, with spatial continuity of the abundance, Mn, Ni, Co, and Cu grades often ranging from the order of several kilometers up to several tens of kilometers. Nodule abundance is sometimes less continuous than grade, as it is also subject to local changes in net sedimentation (a consequence of seafloor slope, slumping, erosion and local currents).</w:t>
      </w:r>
    </w:p>
    <w:p>
      <w:pPr>
        <w:spacing w:after="0" w:line="161"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For more information about the TOML exploration campaigns in 2013 and 2015, see Section 7 of the TOML Technical Report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resource estimate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mineral resource was classified on the basis of the quality and uncertainty of the sample data and sample spacing, in accordance with the definitions of “inferred mineral resource,” “indicated mineral resource” and “measured mineral resource” under the SEC Mining Rules.</w:t>
      </w:r>
    </w:p>
    <w:p>
      <w:pPr>
        <w:spacing w:after="0" w:line="15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Estimation of tonnage and grade for the TOML Contract Area within the CCZ was undertaken using only sample data within the TOML Contract Area in the second quarter of 2016. The estimates are based on the historical box-core and free fall-grab nodule sampling (262 samples) supplemented with recently acquired TOML nodule box core (113 samples) and photo-profile data (20,857 frames over 587 line km). Only sample data within the TOML Contract Area was used to inform the estimates.</w:t>
      </w:r>
    </w:p>
    <w:p>
      <w:pPr>
        <w:spacing w:after="0" w:line="161"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Six block models were constructed using the geostatistical modelling programs Gstat 1.1-3 and R 3.2.5, one for each TOML Exploration Area (A to F), in three passes. The first pass used a parent block dimension of 1.75 km by 1.75 km and filled the areas defined as measured mineral resource. The second pass for indicated mineral resource used a parent block size of 3.5 km by 3.5 km while the third pass for inferred mineral resource used a parent block size of 7.0 km by 7.0 km.</w:t>
      </w:r>
    </w:p>
    <w:p>
      <w:pPr>
        <w:spacing w:after="0" w:line="160"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 modelling methodology used for estimating the mineral resource was determined through careful consideration of the scale of deposit, mechanism of nodule formation, geological controls and nature of the sampling method. The approach involved estimating nodule abundance and grades into a two-dimensional block model with abundance used for calculating tonnage. Abundance and grades were estimated using Ordinary Kriging (OK) with comparison (not reported) estimates using Inverse Distance Weighting (IDW) and nearest neighbor. The modelling methodology is similar to the method applied by the ISA (2010) for its global estimate which was produced by a multi-disciplinary effort that involved recognized subject matter experts.</w:t>
      </w:r>
    </w:p>
    <w:p>
      <w:pPr>
        <w:spacing w:after="0" w:line="16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historical nodule sample data is considered suitable for the purpose of estimating mineral resources to an inferred level of confidence. The Qualified Person also considered that the combination of the TOML and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160"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Inferred mineral resource classification was based on sampling by pioneer contractors on a nominal spacing of 20 km, the variation and uncertainty in the sample quality, and the likely presence of short-range variation to nodule abundance.</w:t>
      </w:r>
    </w:p>
    <w:p>
      <w:pPr>
        <w:spacing w:after="0" w:line="137"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Indicated mineral resource classification was based on box core sampling by TOML on a nominal spacing of approximately 7 km by 7 km (including photo profiling in some cases at 7 km by 3 km), supplemented by sampling by pioneer contractors.</w:t>
      </w:r>
    </w:p>
    <w:p>
      <w:pPr>
        <w:spacing w:after="0" w:line="137"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Measured mineral resource was based on box core sampling by TOML on a nominal spacing of approximately 7 km by 7 km plus photo-profiling on a nominal spacing of 3.5 km by 3.0 km, supplemented by sampling by pioneer contractors.</w:t>
      </w:r>
    </w:p>
    <w:p>
      <w:pPr>
        <w:spacing w:after="0" w:line="129" w:lineRule="exact"/>
        <w:rPr>
          <w:sz w:val="20"/>
          <w:szCs w:val="20"/>
          <w:color w:val="auto"/>
        </w:rPr>
      </w:pPr>
    </w:p>
    <w:p>
      <w:pPr>
        <w:jc w:val="both"/>
        <w:ind w:firstLine="312"/>
        <w:spacing w:after="0" w:line="231" w:lineRule="auto"/>
        <w:rPr>
          <w:sz w:val="20"/>
          <w:szCs w:val="20"/>
          <w:color w:val="auto"/>
        </w:rPr>
      </w:pPr>
      <w:r>
        <w:rPr>
          <w:rFonts w:ascii="Times New Roman" w:cs="Times New Roman" w:eastAsia="Times New Roman" w:hAnsi="Times New Roman"/>
          <w:sz w:val="17"/>
          <w:szCs w:val="17"/>
          <w:color w:val="auto"/>
        </w:rPr>
        <w:t>The mineral resource estimate for the TOML Contract Area, and at a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cut-off is set forth below. The estimated mineral resources were determined in 2021, as of December 31, 2020, and also reflect the estimated mineral resources as of December 31, 2022, as none of the mineral resources in these areas were depleted by mining or any other activities.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28" o:spid="_x0000_s13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98" w:name="page99"/>
    <w:bookmarkEnd w:id="98"/>
    <w:p>
      <w:pPr>
        <w:ind w:right="640"/>
        <w:spacing w:after="0" w:line="224"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2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224">
                      <a:extLst>
                        <a:ext uri="{28A0092B-C50C-407E-A947-70E740481C1C}"/>
                      </a:extLst>
                    </a:blip>
                    <a:srcRect/>
                    <a:stretch>
                      <a:fillRect/>
                    </a:stretch>
                  </pic:blipFill>
                  <pic:spPr bwMode="auto">
                    <a:xfrm>
                      <a:off x="0" y="0"/>
                      <a:ext cx="5080" cy="13970"/>
                    </a:xfrm>
                    <a:prstGeom prst="rect">
                      <a:avLst/>
                    </a:prstGeom>
                    <a:noFill/>
                  </pic:spPr>
                </pic:pic>
              </a:graphicData>
            </a:graphic>
          </wp:anchor>
        </w:drawing>
        <w:t>Mineral Resource Estimate December 31, 2022, In-Situ, for the TOML Contract Area within the CCZ at a 4 kg/m</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nodule abundance cut-off</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Mineral Resource Classification</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Tonnes</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Abundance</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Ni</w:t>
            </w:r>
          </w:p>
        </w:tc>
        <w:tc>
          <w:tcPr>
            <w:tcW w:w="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Cu</w:t>
            </w:r>
          </w:p>
        </w:tc>
        <w:tc>
          <w:tcPr>
            <w:tcW w:w="9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w:t>
            </w:r>
          </w:p>
        </w:tc>
        <w:tc>
          <w:tcPr>
            <w:tcW w:w="7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Mn</w:t>
            </w:r>
          </w:p>
        </w:tc>
        <w:tc>
          <w:tcPr>
            <w:tcW w:w="0" w:type="dxa"/>
            <w:vAlign w:val="bottom"/>
          </w:tcPr>
          <w:p>
            <w:pPr>
              <w:spacing w:after="0"/>
              <w:rPr>
                <w:sz w:val="1"/>
                <w:szCs w:val="1"/>
                <w:color w:val="auto"/>
              </w:rPr>
            </w:pPr>
          </w:p>
        </w:tc>
      </w:tr>
      <w:tr>
        <w:trPr>
          <w:trHeight w:val="168"/>
        </w:trPr>
        <w:tc>
          <w:tcPr>
            <w:tcW w:w="4200" w:type="dxa"/>
            <w:vAlign w:val="bottom"/>
            <w:gridSpan w:val="2"/>
            <w:vMerge w:val="continue"/>
          </w:tcPr>
          <w:p>
            <w:pPr>
              <w:spacing w:after="0"/>
              <w:rPr>
                <w:sz w:val="14"/>
                <w:szCs w:val="14"/>
                <w:color w:val="auto"/>
              </w:rPr>
            </w:pPr>
          </w:p>
        </w:tc>
        <w:tc>
          <w:tcPr>
            <w:tcW w:w="920" w:type="dxa"/>
            <w:vAlign w:val="bottom"/>
            <w:gridSpan w:val="2"/>
          </w:tcPr>
          <w:p>
            <w:pPr>
              <w:jc w:val="center"/>
              <w:ind w:right="140"/>
              <w:spacing w:after="0" w:line="168" w:lineRule="exact"/>
              <w:rPr>
                <w:sz w:val="20"/>
                <w:szCs w:val="20"/>
                <w:color w:val="auto"/>
              </w:rPr>
            </w:pPr>
            <w:r>
              <w:rPr>
                <w:rFonts w:ascii="Times New Roman" w:cs="Times New Roman" w:eastAsia="Times New Roman" w:hAnsi="Times New Roman"/>
                <w:sz w:val="13"/>
                <w:szCs w:val="13"/>
                <w:b w:val="1"/>
                <w:bCs w:val="1"/>
                <w:color w:val="auto"/>
              </w:rPr>
              <w:t>(x10</w:t>
            </w:r>
            <w:r>
              <w:rPr>
                <w:rFonts w:ascii="Times New Roman" w:cs="Times New Roman" w:eastAsia="Times New Roman" w:hAnsi="Times New Roman"/>
                <w:sz w:val="19"/>
                <w:szCs w:val="19"/>
                <w:b w:val="1"/>
                <w:bCs w:val="1"/>
                <w:color w:val="auto"/>
                <w:vertAlign w:val="superscript"/>
              </w:rPr>
              <w:t>6</w:t>
            </w:r>
            <w:r>
              <w:rPr>
                <w:rFonts w:ascii="Times New Roman" w:cs="Times New Roman" w:eastAsia="Times New Roman" w:hAnsi="Times New Roman"/>
                <w:sz w:val="13"/>
                <w:szCs w:val="13"/>
                <w:b w:val="1"/>
                <w:bCs w:val="1"/>
                <w:color w:val="auto"/>
              </w:rPr>
              <w:t xml:space="preserve"> wet t)*</w:t>
            </w:r>
          </w:p>
        </w:tc>
        <w:tc>
          <w:tcPr>
            <w:tcW w:w="920" w:type="dxa"/>
            <w:vAlign w:val="bottom"/>
            <w:gridSpan w:val="2"/>
          </w:tcPr>
          <w:p>
            <w:pPr>
              <w:ind w:left="40"/>
              <w:spacing w:after="0" w:line="168" w:lineRule="exact"/>
              <w:rPr>
                <w:sz w:val="20"/>
                <w:szCs w:val="20"/>
                <w:color w:val="auto"/>
              </w:rPr>
            </w:pPr>
            <w:r>
              <w:rPr>
                <w:rFonts w:ascii="Times New Roman" w:cs="Times New Roman" w:eastAsia="Times New Roman" w:hAnsi="Times New Roman"/>
                <w:sz w:val="13"/>
                <w:szCs w:val="13"/>
                <w:b w:val="1"/>
                <w:bCs w:val="1"/>
                <w:color w:val="auto"/>
              </w:rPr>
              <w:t>(wet kg/m</w:t>
            </w:r>
            <w:r>
              <w:rPr>
                <w:rFonts w:ascii="Times New Roman" w:cs="Times New Roman" w:eastAsia="Times New Roman" w:hAnsi="Times New Roman"/>
                <w:sz w:val="19"/>
                <w:szCs w:val="19"/>
                <w:b w:val="1"/>
                <w:bCs w:val="1"/>
                <w:color w:val="auto"/>
                <w:vertAlign w:val="superscript"/>
              </w:rPr>
              <w:t>2</w:t>
            </w:r>
            <w:r>
              <w:rPr>
                <w:rFonts w:ascii="Times New Roman" w:cs="Times New Roman" w:eastAsia="Times New Roman" w:hAnsi="Times New Roman"/>
                <w:sz w:val="13"/>
                <w:szCs w:val="13"/>
                <w:b w:val="1"/>
                <w:bCs w:val="1"/>
                <w:color w:val="auto"/>
              </w:rPr>
              <w:t>)</w:t>
            </w:r>
          </w:p>
        </w:tc>
        <w:tc>
          <w:tcPr>
            <w:tcW w:w="7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4"/>
                <w:szCs w:val="14"/>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404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Measured</w:t>
            </w:r>
          </w:p>
        </w:tc>
        <w:tc>
          <w:tcPr>
            <w:tcW w:w="160" w:type="dxa"/>
            <w:vAlign w:val="bottom"/>
            <w:tcBorders>
              <w:top w:val="single" w:sz="8" w:color="C7EAF2"/>
            </w:tcBorders>
            <w:shd w:val="clear" w:color="auto" w:fill="C7EAF2"/>
          </w:tcPr>
          <w:p>
            <w:pPr>
              <w:spacing w:after="0"/>
              <w:rPr>
                <w:sz w:val="17"/>
                <w:szCs w:val="17"/>
                <w:color w:val="auto"/>
              </w:rPr>
            </w:pPr>
          </w:p>
        </w:tc>
        <w:tc>
          <w:tcPr>
            <w:tcW w:w="7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60" w:type="dxa"/>
            <w:vAlign w:val="bottom"/>
            <w:tcBorders>
              <w:top w:val="single" w:sz="8" w:color="C7EAF2"/>
            </w:tcBorders>
            <w:shd w:val="clear" w:color="auto" w:fill="C7EAF2"/>
          </w:tcPr>
          <w:p>
            <w:pPr>
              <w:spacing w:after="0"/>
              <w:rPr>
                <w:sz w:val="17"/>
                <w:szCs w:val="17"/>
                <w:color w:val="auto"/>
              </w:rPr>
            </w:pPr>
          </w:p>
        </w:tc>
        <w:tc>
          <w:tcPr>
            <w:tcW w:w="7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Borders>
              <w:top w:val="single" w:sz="8" w:color="C7EAF2"/>
            </w:tcBorders>
            <w:shd w:val="clear" w:color="auto" w:fill="C7EAF2"/>
          </w:tcPr>
          <w:p>
            <w:pPr>
              <w:spacing w:after="0"/>
              <w:rPr>
                <w:sz w:val="17"/>
                <w:szCs w:val="17"/>
                <w:color w:val="auto"/>
              </w:rPr>
            </w:pPr>
          </w:p>
        </w:tc>
        <w:tc>
          <w:tcPr>
            <w:tcW w:w="7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60" w:type="dxa"/>
            <w:vAlign w:val="bottom"/>
            <w:tcBorders>
              <w:top w:val="single" w:sz="8" w:color="C7EAF2"/>
            </w:tcBorders>
            <w:shd w:val="clear" w:color="auto" w:fill="C7EAF2"/>
          </w:tcPr>
          <w:p>
            <w:pPr>
              <w:spacing w:after="0"/>
              <w:rPr>
                <w:sz w:val="17"/>
                <w:szCs w:val="17"/>
                <w:color w:val="auto"/>
              </w:rPr>
            </w:pPr>
          </w:p>
        </w:tc>
        <w:tc>
          <w:tcPr>
            <w:tcW w:w="7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60" w:type="dxa"/>
            <w:vAlign w:val="bottom"/>
            <w:tcBorders>
              <w:top w:val="single" w:sz="8" w:color="C7EAF2"/>
            </w:tcBorders>
            <w:shd w:val="clear" w:color="auto" w:fill="C7EAF2"/>
          </w:tcPr>
          <w:p>
            <w:pPr>
              <w:spacing w:after="0"/>
              <w:rPr>
                <w:sz w:val="17"/>
                <w:szCs w:val="17"/>
                <w:color w:val="auto"/>
              </w:rPr>
            </w:pPr>
          </w:p>
        </w:tc>
        <w:tc>
          <w:tcPr>
            <w:tcW w:w="7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60" w:type="dxa"/>
            <w:vAlign w:val="bottom"/>
            <w:tcBorders>
              <w:top w:val="single" w:sz="8" w:color="C7EAF2"/>
            </w:tcBorders>
            <w:shd w:val="clear" w:color="auto" w:fill="C7EAF2"/>
          </w:tcPr>
          <w:p>
            <w:pPr>
              <w:spacing w:after="0"/>
              <w:rPr>
                <w:sz w:val="17"/>
                <w:szCs w:val="17"/>
                <w:color w:val="auto"/>
              </w:rPr>
            </w:pPr>
          </w:p>
        </w:tc>
        <w:tc>
          <w:tcPr>
            <w:tcW w:w="7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0" w:type="dxa"/>
            <w:vAlign w:val="bottom"/>
          </w:tcPr>
          <w:p>
            <w:pPr>
              <w:spacing w:after="0"/>
              <w:rPr>
                <w:sz w:val="1"/>
                <w:szCs w:val="1"/>
                <w:color w:val="auto"/>
              </w:rPr>
            </w:pPr>
          </w:p>
        </w:tc>
      </w:tr>
      <w:tr>
        <w:trPr>
          <w:trHeight w:val="207"/>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Indicated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0" w:type="dxa"/>
            <w:vAlign w:val="bottom"/>
          </w:tcPr>
          <w:p>
            <w:pPr>
              <w:spacing w:after="0"/>
              <w:rPr>
                <w:sz w:val="1"/>
                <w:szCs w:val="1"/>
                <w:color w:val="auto"/>
              </w:rPr>
            </w:pPr>
          </w:p>
        </w:tc>
      </w:tr>
      <w:tr>
        <w:trPr>
          <w:trHeight w:val="207"/>
        </w:trPr>
        <w:tc>
          <w:tcPr>
            <w:tcW w:w="420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Measured + Indicated</w:t>
            </w:r>
          </w:p>
        </w:tc>
        <w:tc>
          <w:tcPr>
            <w:tcW w:w="7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60" w:type="dxa"/>
            <w:vAlign w:val="bottom"/>
            <w:shd w:val="clear" w:color="auto" w:fill="C7EAF2"/>
          </w:tcPr>
          <w:p>
            <w:pPr>
              <w:spacing w:after="0"/>
              <w:rPr>
                <w:sz w:val="18"/>
                <w:szCs w:val="18"/>
                <w:color w:val="auto"/>
              </w:rPr>
            </w:pPr>
          </w:p>
        </w:tc>
        <w:tc>
          <w:tcPr>
            <w:tcW w:w="7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shd w:val="clear" w:color="auto" w:fill="C7EAF2"/>
          </w:tcPr>
          <w:p>
            <w:pPr>
              <w:spacing w:after="0"/>
              <w:rPr>
                <w:sz w:val="18"/>
                <w:szCs w:val="18"/>
                <w:color w:val="auto"/>
              </w:rPr>
            </w:pPr>
          </w:p>
        </w:tc>
        <w:tc>
          <w:tcPr>
            <w:tcW w:w="7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60" w:type="dxa"/>
            <w:vAlign w:val="bottom"/>
            <w:shd w:val="clear" w:color="auto" w:fill="C7EAF2"/>
          </w:tcPr>
          <w:p>
            <w:pPr>
              <w:spacing w:after="0"/>
              <w:rPr>
                <w:sz w:val="18"/>
                <w:szCs w:val="18"/>
                <w:color w:val="auto"/>
              </w:rPr>
            </w:pPr>
          </w:p>
        </w:tc>
        <w:tc>
          <w:tcPr>
            <w:tcW w:w="7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60" w:type="dxa"/>
            <w:vAlign w:val="bottom"/>
            <w:shd w:val="clear" w:color="auto" w:fill="C7EAF2"/>
          </w:tcPr>
          <w:p>
            <w:pPr>
              <w:spacing w:after="0"/>
              <w:rPr>
                <w:sz w:val="18"/>
                <w:szCs w:val="18"/>
                <w:color w:val="auto"/>
              </w:rPr>
            </w:pPr>
          </w:p>
        </w:tc>
        <w:tc>
          <w:tcPr>
            <w:tcW w:w="7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0.21</w:t>
            </w:r>
          </w:p>
        </w:tc>
        <w:tc>
          <w:tcPr>
            <w:tcW w:w="160" w:type="dxa"/>
            <w:vAlign w:val="bottom"/>
            <w:shd w:val="clear" w:color="auto" w:fill="C7EAF2"/>
          </w:tcPr>
          <w:p>
            <w:pPr>
              <w:spacing w:after="0"/>
              <w:rPr>
                <w:sz w:val="18"/>
                <w:szCs w:val="18"/>
                <w:color w:val="auto"/>
              </w:rPr>
            </w:pPr>
          </w:p>
        </w:tc>
        <w:tc>
          <w:tcPr>
            <w:tcW w:w="7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0" w:type="dxa"/>
            <w:vAlign w:val="bottom"/>
          </w:tcPr>
          <w:p>
            <w:pPr>
              <w:spacing w:after="0"/>
              <w:rPr>
                <w:sz w:val="1"/>
                <w:szCs w:val="1"/>
                <w:color w:val="auto"/>
              </w:rPr>
            </w:pPr>
          </w:p>
        </w:tc>
      </w:tr>
      <w:tr>
        <w:trPr>
          <w:trHeight w:val="232"/>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Inferred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53975</wp:posOffset>
                </wp:positionV>
                <wp:extent cx="1529715" cy="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331" o:spid="_x0000_s13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4.25pt" to="120.6pt,4.25pt" o:allowincell="f" strokecolor="#000000" strokeweight="0.649pt"/>
            </w:pict>
          </mc:Fallback>
        </mc:AlternateContent>
      </w:r>
    </w:p>
    <w:p>
      <w:pPr>
        <w:spacing w:after="0" w:line="139"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Note: Tonnes are quoted on a wet basis and grades are quoted on a dry basis, which is common practice for bulk commodities. Moisture content was estimated to be 28% w/w. These estimates are presented on an undiluted basis without adjustment for resource recovery.</w:t>
      </w:r>
    </w:p>
    <w:p>
      <w:pPr>
        <w:spacing w:after="0" w:line="137" w:lineRule="exact"/>
        <w:rPr>
          <w:sz w:val="20"/>
          <w:szCs w:val="20"/>
          <w:color w:val="auto"/>
        </w:rPr>
      </w:pPr>
    </w:p>
    <w:p>
      <w:pPr>
        <w:ind w:left="440" w:hanging="431"/>
        <w:spacing w:after="0"/>
        <w:tabs>
          <w:tab w:leader="none" w:pos="4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totals are due to rounding of individual values. Mn, Ni, Cu and Co assays on samples dried at 105˚C</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TOML Contract Area has sufficient samples of adequate quality to define a mineral resource for Mn, Ni, Cu and Co. The estimate of abundance and hence tonnage for the inferred mineral resource for the TOML Contract Area may be biased low due to reliance on free fall grab samples in places.</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above mineral resource estimate (measured, indicated and inferred mineral resources), which was informed by data collected by TOML in 2013 and 2015, is presented in Table 11.9 of the TOML Technical Report Summary.</w:t>
      </w:r>
    </w:p>
    <w:p>
      <w:pPr>
        <w:spacing w:after="0" w:line="137" w:lineRule="exact"/>
        <w:rPr>
          <w:sz w:val="20"/>
          <w:szCs w:val="20"/>
          <w:color w:val="auto"/>
        </w:rPr>
      </w:pPr>
    </w:p>
    <w:p>
      <w:pPr>
        <w:jc w:val="both"/>
        <w:ind w:firstLine="311"/>
        <w:spacing w:after="0" w:line="238" w:lineRule="auto"/>
        <w:rPr>
          <w:sz w:val="20"/>
          <w:szCs w:val="20"/>
          <w:color w:val="auto"/>
        </w:rPr>
      </w:pPr>
      <w:r>
        <w:rPr>
          <w:rFonts w:ascii="Times New Roman" w:cs="Times New Roman" w:eastAsia="Times New Roman" w:hAnsi="Times New Roman"/>
          <w:sz w:val="17"/>
          <w:szCs w:val="17"/>
          <w:color w:val="auto"/>
        </w:rPr>
        <w:t>Due to the extremely low variance in the grades and the high metal content of the nodules, a cut-off based on abundance is appropriate for determining the limits of economic exploitation. A cut-off of 4 kg/m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abundance was chosen for the TOML Contract Area, based on the estimates of costs and revenues presented in the initial assessment contained in the NORI Technical Report Summary, generalized as follows: 1.7 Mt minimum annual tonnage mined; $0.25 Million/km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for offshore operating costs; 1,036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collected area processed; $95/dry tonne for transport costs; $119/dry tonne for processing costs; $15/dry tonne for corporate, general and administrative costs; $33/dry tonne for ISA and state royalties; 95% recovery of nickel at an assumed price of nickel metal $16,472/t; 86% recovery of copper at an assumed price of $6,872/t copper metal; 77% recovery of cobalt at an assumed price of $46,333/t cobalt metal; and 99% recovery of manganese at an assumed price of $4.50/dmtu manganese in manganese silicate. The metal prices assumed in the calculation of the cut-off were: nickel metal $16,472/t; nickel in nickel sulfate $18,807/t Ni; copper metal $6,872/t; cobalt metal $46,333/t; cobalt in cobalt sulfate $56,920/t Co; manganese in manganese silicate $4.50/dmtu. The price estimates are long term (2034 – 2046) forecasts provided in a report by CRU International Limited (CRU, 2020). The Qualified Person considered that this timeframe is reasonable in view of the likely time required to bring the majority of the TOML mineral resources into production.</w:t>
      </w:r>
    </w:p>
    <w:p>
      <w:pPr>
        <w:spacing w:after="0" w:line="187"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The initial inferred mineral resource for the TOML Contract Area was reported on March 20, 2013 by Golder Associates. The changes in the above mineral resource estimate from 2013 for the TOML Contract Area are due to:</w:t>
      </w:r>
    </w:p>
    <w:p>
      <w:pPr>
        <w:spacing w:after="0" w:line="137" w:lineRule="exact"/>
        <w:rPr>
          <w:sz w:val="20"/>
          <w:szCs w:val="20"/>
          <w:color w:val="auto"/>
        </w:rPr>
      </w:pPr>
    </w:p>
    <w:p>
      <w:pPr>
        <w:ind w:left="660" w:hanging="314"/>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inclusion of Areas E and F for the first time, and high abundances and grades in Area F;</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nodule abundance sample information (from box core and photo profile) collected during the 2015 campaign;</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the abundance estimates within the no nodule domain to zero in areas covered by MBES (TOML Areas B, C, D, E, F);</w:t>
      </w:r>
    </w:p>
    <w:p>
      <w:pPr>
        <w:spacing w:after="0" w:line="219" w:lineRule="exact"/>
        <w:rPr>
          <w:rFonts w:ascii="Times New Roman" w:cs="Times New Roman" w:eastAsia="Times New Roman" w:hAnsi="Times New Roman"/>
          <w:sz w:val="17"/>
          <w:szCs w:val="17"/>
          <w:color w:val="auto"/>
        </w:rPr>
      </w:pPr>
    </w:p>
    <w:p>
      <w:pPr>
        <w:ind w:left="660" w:hanging="315"/>
        <w:spacing w:after="0" w:line="269" w:lineRule="auto"/>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ordinary kriging (rather than inverse distance weighting) supported by short-range variogram to estimate abundance; and</w:t>
      </w:r>
    </w:p>
    <w:p>
      <w:pPr>
        <w:spacing w:after="0" w:line="200" w:lineRule="exact"/>
        <w:rPr>
          <w:rFonts w:ascii="Times New Roman" w:cs="Times New Roman" w:eastAsia="Times New Roman" w:hAnsi="Times New Roman"/>
          <w:sz w:val="17"/>
          <w:szCs w:val="17"/>
          <w:color w:val="auto"/>
        </w:rPr>
      </w:pPr>
    </w:p>
    <w:p>
      <w:pPr>
        <w:spacing w:after="0" w:line="202"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block model parent cell size related to improved sample spacing.</w:t>
      </w:r>
    </w:p>
    <w:p>
      <w:pPr>
        <w:spacing w:after="0" w:line="21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Comparison of the 2013 inferred mineral resource estimate and the above estimate shows that the additional data has increased the total mineral resource tonnage by 3%. In the areas with the newest data (the indicated and measured areas), abundance and grades are all higher in the new model than the 2013 model. These changes show that it is reasonable to expect that the majority of inferred mineral resources could be upgraded to indicated or measured resources with further exploration.</w:t>
      </w:r>
    </w:p>
    <w:p>
      <w:pPr>
        <w:sectPr>
          <w:pgSz w:w="12240" w:h="15840" w:orient="portrait"/>
          <w:cols w:equalWidth="0" w:num="1">
            <w:col w:w="9620"/>
          </w:cols>
          <w:pgMar w:left="1320" w:top="1328" w:right="130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32" o:spid="_x0000_s13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28" w:right="1300" w:bottom="1440" w:gutter="0" w:footer="0" w:header="0"/>
          <w:type w:val="continuous"/>
        </w:sectPr>
      </w:pPr>
    </w:p>
    <w:bookmarkStart w:id="99" w:name="page100"/>
    <w:bookmarkEnd w:id="99"/>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22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26">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Information concerning our mineral properties in the TOML Technical Report Summary and in this Annual Report on Form 10-K includes information that has been prepared in accordance with the requirements of the SEC Mining Rules set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As used in this Annual Report on Form 10-K, the terms “mineral resource,” “measured mineral resource,” “indicated mineral resource” and “inferred mineral resource” are defined and used in accordance with the SEC Mining Rules set forth in subpart 1300 of Regulation S-K. </w:t>
      </w:r>
      <w:r>
        <w:rPr>
          <w:rFonts w:ascii="Times New Roman" w:cs="Times New Roman" w:eastAsia="Times New Roman" w:hAnsi="Times New Roman"/>
          <w:sz w:val="17"/>
          <w:szCs w:val="17"/>
          <w:b w:val="1"/>
          <w:bCs w:val="1"/>
          <w:color w:val="auto"/>
        </w:rPr>
        <w:t>You are specifically cautioned not to assume that any part or all of the mineral deposits in these categories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ever be converted into mineral reserves, as defined by the SEC.</w:t>
      </w:r>
    </w:p>
    <w:p>
      <w:pPr>
        <w:spacing w:after="0" w:line="166"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 xml:space="preserve">You are cautioned that mineral resources do not have demonstrated economic value. Inferred mineral resources have a high degree of uncertainty as to their existence as to whether they can be economically or legally mined.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w:t>
      </w:r>
      <w:r>
        <w:rPr>
          <w:rFonts w:ascii="Times New Roman" w:cs="Times New Roman" w:eastAsia="Times New Roman" w:hAnsi="Times New Roman"/>
          <w:sz w:val="17"/>
          <w:szCs w:val="17"/>
          <w:b w:val="1"/>
          <w:bCs w:val="1"/>
          <w:color w:val="auto"/>
        </w:rPr>
        <w:t>Therefore, you are cautioned not to assume that all or any part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 inferred mineral resource exists, that it can be economically or legally mined, or that it will ever be upgraded to a higher category. Likewise, you are cautioned not to assume that all or any part of measured or indicated mineral resources will ever be upgraded to mineral reserves.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Reasonable prospects for economic extraction</w:t>
      </w:r>
    </w:p>
    <w:p>
      <w:pPr>
        <w:spacing w:after="0" w:line="218" w:lineRule="exact"/>
        <w:rPr>
          <w:sz w:val="20"/>
          <w:szCs w:val="20"/>
          <w:color w:val="auto"/>
        </w:rPr>
      </w:pPr>
    </w:p>
    <w:p>
      <w:pPr>
        <w:jc w:val="both"/>
        <w:ind w:firstLine="309"/>
        <w:spacing w:after="0" w:line="276" w:lineRule="auto"/>
        <w:rPr>
          <w:sz w:val="20"/>
          <w:szCs w:val="20"/>
          <w:color w:val="auto"/>
        </w:rPr>
      </w:pPr>
      <w:r>
        <w:rPr>
          <w:rFonts w:ascii="Times New Roman" w:cs="Times New Roman" w:eastAsia="Times New Roman" w:hAnsi="Times New Roman"/>
          <w:sz w:val="17"/>
          <w:szCs w:val="17"/>
          <w:color w:val="auto"/>
        </w:rPr>
        <w:t>The morphological features of the seafloor are similar in the TOML and the NORI Areas, which all lie within the Abyssal Plains and are characterized by sub-parallel basaltic lava ridges called abyssal hills. The Areas are punctuated by typically extinct volcanic knolls and seamounts and scattered sediment drifts in which few nodules are preserved at the seafloor.</w:t>
      </w:r>
    </w:p>
    <w:p>
      <w:pPr>
        <w:spacing w:after="0" w:line="15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exploration methods used to explore and delineate the mineral resources in the TOML and NORI areas were essentially the same. MBES was used to determine the depth of water (bathymetry) and the acoustic reflectance (backscatter) of the seabed. Nodule coverage was interpreted using the backscatter data. Physical sampling of the nodules was carried out initially using FFG samplers and in more recent years by BC samplers which provide a better- quality sample. Measurements of nodule abundance obtained from physical samples were supplemented with estimates of abundance made using the LAE method and high- resolution photographs of the seafloor.</w:t>
      </w:r>
    </w:p>
    <w:p>
      <w:pPr>
        <w:spacing w:after="0" w:line="165"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The sample preparation and assaying procedures used in the TOML and NORI Areas were essentially the same. The pioneer investor data lacks some supporting information but all studies to date indicate that the pioneer investor data is reliable. In both Areas, high standards of quality assurance/quality control were applied to the exploration programs that were carried out by TOML and NORI. The assay data are supported by the results of certified reference materials, duplicate samples, blank samples, and duplicate analyses at a second laboratory. Sample security was of a high standard and the Qualified Persons considered that there was negligible risk of interference with the samples.</w:t>
      </w:r>
    </w:p>
    <w:p>
      <w:pPr>
        <w:spacing w:after="0" w:line="37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development plan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Collection methods</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Recovery and collection methods that could be employed for commercial development of polymetallic nodule deposits in the CCZ were studied as described in the NORI Technical Report Summary. The commonality between the polymetallic nodule deposits in NORI Area D and the TOML Contract Area indicates that the methods proposed for the development of NORI Area D can reasonably be assumed to be equally relevant for future development in the TOML Contract Area. This is discussed further in Section 11.9.4 of the TOML Technical Report Summary, which assessed the collection methods.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main items of offshore infrastructure are the nodule collector vehicles, the riser, and three production support vessels (PSV).</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35" o:spid="_x0000_s13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00" w:name="page101"/>
    <w:bookmarkEnd w:id="100"/>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22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228">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nodules are expected to be collected from the seafloor by self-propelled, tracked, collector vehicles. No rock cutting, digging, drill-and-blast, or other breakage will be required at the point of collection. The collectors are expected to be remotely controlled and supplied with electric power via umbilical cables from the PSV. Suction dredge heads on each collector are expected to recover a dilute slurry of nodules, sediment, and water from the seafloor. A hopper on each vehicle is expected to separate sediment and excess water, which is expected to pass out of the hopper overflow, from the nodules, which is expected to be pumped as a higher concentration slurry via flexible hoses to a riser.</w:t>
      </w:r>
    </w:p>
    <w:p>
      <w:pPr>
        <w:spacing w:after="0" w:line="166"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The riser is a steel pipe through which nodules are expected to be transferred to the surface by means of an airlift. The riser is expected to consist of three main sections. The lower section is expected to carry the two-phase slurry of nodules and water from the collectors to the airlift injection point. The mid-section is expected to carry a three-phase mixture of slurry and air. This section is expected to also include two auxiliary pipes: one to carry the compressed air for the airlift system, and one to return water from dewatering of the slurry to its subsea discharge point. The upper section of riser is expected to have a larger diameter to account for the expansion of air in the airlift.</w:t>
      </w:r>
    </w:p>
    <w:p>
      <w:pPr>
        <w:spacing w:after="0" w:line="377"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The airlift works by lowering the average density of the slurry inside the riser to a level lower than seawater. The difference between the hydrostatic pressure of the seawater at depth and the pressure caused by the weight of the low-density three-phase slurry column inside the riser forces the slurry column to rise. The energy to achieve the lift is expected to be supplied by compressors housed on the PSV, which is expected to be capable of generating very high air pressures.</w:t>
      </w:r>
    </w:p>
    <w:p>
      <w:pPr>
        <w:spacing w:after="0" w:line="161"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The PSVs are expected to each support a RALS and its handling equipment, and are expected to house the airlift compressors, collector vehicle control stations, and material handling equipment. All power for offshore equipment, including the nodule collecting vehicles, is expected to be generated on the PSVs. The PSVs are expected to be equipped with controllable thrusters and are expected to be capable of dynamic positioning (DP), which are expected to allow the vessels and risers to track the collectors. Nodules are expected to be discharged from the RALS to the PSVs, where they are expected to be dewatered and temporarily stored or transferred directly to a transport vessel. A preliminary assessment of the transportation fleet for transfer of nodules from the CCZ to an existing deep-water industrial port equipped with bulk offloading facilities was examined. The TOML Technical Report Summary assumed that chartered vessels with 35,000 to 100,000 tonne deadweight capacities would be used to transport the dewatered nodules to the port of Lazaro Cardenas, Michoacan, Mexico, 960 nm from the NORI Area D reference site. The vessels are expected to be converted bulk mineral carriers with dynamic positioning (DP) to allow tracking behind the production support vessels during operations. The method of offloading, known as tandem offloading, is well established for offloading of oil production vessels in remote areas of the world.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Mineral processing and metallurgical testing</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polymetallic nodules in the TOML and NORI Areas have similar morphological, mineralogical, and grade characteristics. As noted in Section 10 of the TOML Technical Report Summary, all published historical work indicates that processing of nodules is technically feasible.</w:t>
      </w:r>
    </w:p>
    <w:p>
      <w:pPr>
        <w:spacing w:after="0" w:line="15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commonality between the polymetallic nodule deposits in NORI Area D and TOML Contract Area indicates that the methods proposed for the development of NORI Area D can reasonably be assumed to be equally relevant for future development in the TOML Contract Area. This is discussed further in Section 11.9.5 of the TOML Technical Report Summary, which assessed the following mineral processing scenario.</w:t>
      </w:r>
    </w:p>
    <w:p>
      <w:pPr>
        <w:spacing w:after="0" w:line="161"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The first part of the pyrometallurgical process is the RKEF process that is widely used in the nickel laterite industry. The second pyrometallurgical step (sulphidization of the alloy produced in the first step to form a matte and then partially conversion in a Peirce-Smith converter to remove iron), while not widely practiced, also has commercial precedent at the Doniambo plant of Societe Le Nickel in New Caledonia.</w:t>
      </w:r>
    </w:p>
    <w:p>
      <w:pPr>
        <w:spacing w:after="0" w:line="161"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Sulfuric acid leaching of matte from the pyrometallurgical process has precedent in the platinum group minerals (PGM) industry. Although copper producers typically have a solvent extraction step before electrowinning of their copper, direct copper electrowinning is done in most PGM refineries, where nickel and cobalt are also significant pay-metals. This is to maximize nickel recovery and minimize operating expenses. The nickel and cobalt are expected to be purified using solvent extraction, ion exchange and precipitation, which are all commercially proven hydrometallurgical processes. Battery grade nickel and cobalt sulfate are expected to then be crystallized from the purified solutions.</w:t>
      </w:r>
    </w:p>
    <w:p>
      <w:pPr>
        <w:sectPr>
          <w:pgSz w:w="12240" w:h="15840" w:orient="portrait"/>
          <w:cols w:equalWidth="0" w:num="1">
            <w:col w:w="9620"/>
          </w:cols>
          <w:pgMar w:left="1320" w:top="1337" w:right="130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38" o:spid="_x0000_s13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101" w:name="page102"/>
    <w:bookmarkEnd w:id="101"/>
    <w:p>
      <w:pPr>
        <w:ind w:left="3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22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30">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pyrometallurgical process is expected to form two byproducts as well as the matte for the hydrometallurgical refinery:</w:t>
      </w:r>
    </w:p>
    <w:p>
      <w:pPr>
        <w:spacing w:after="0" w:line="219" w:lineRule="exact"/>
        <w:rPr>
          <w:sz w:val="20"/>
          <w:szCs w:val="20"/>
          <w:color w:val="auto"/>
        </w:rPr>
      </w:pPr>
    </w:p>
    <w:p>
      <w:pPr>
        <w:ind w:left="660" w:hanging="315"/>
        <w:spacing w:after="0"/>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electric furnace slag containing silica and 53% MnO that is intended to be sold as feed to the Si-Mn industry; and</w:t>
      </w:r>
    </w:p>
    <w:p>
      <w:pPr>
        <w:spacing w:after="0" w:line="219"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converter aisle slag that could be used for aggregate in road construction or other applications.</w:t>
      </w:r>
    </w:p>
    <w:p>
      <w:pPr>
        <w:spacing w:after="0" w:line="219"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hydrometallurgical refinery is expected to generate iron residues that would, for a stand-alone plant, require disposal. However, these streams can be recycled back to the pyrometallurgical plant for re-treatment and recovery of entrained pay metals.</w:t>
      </w:r>
    </w:p>
    <w:p>
      <w:pPr>
        <w:spacing w:after="0" w:line="137" w:lineRule="exact"/>
        <w:rPr>
          <w:sz w:val="20"/>
          <w:szCs w:val="20"/>
          <w:color w:val="auto"/>
        </w:rPr>
      </w:pPr>
    </w:p>
    <w:p>
      <w:pPr>
        <w:jc w:val="both"/>
        <w:ind w:firstLine="311"/>
        <w:spacing w:after="0" w:line="237" w:lineRule="auto"/>
        <w:rPr>
          <w:sz w:val="20"/>
          <w:szCs w:val="20"/>
          <w:color w:val="auto"/>
        </w:rPr>
      </w:pPr>
      <w:r>
        <w:rPr>
          <w:rFonts w:ascii="Times New Roman" w:cs="Times New Roman" w:eastAsia="Times New Roman" w:hAnsi="Times New Roman"/>
          <w:sz w:val="17"/>
          <w:szCs w:val="17"/>
          <w:color w:val="auto"/>
        </w:rPr>
        <w:t>Selection of ammonia as a principal reagent in the hydrometallurgical refinery means that an additional by-product — ammonium sulfate — may be generated. This could be sold into the fertilizer industry.</w:t>
      </w:r>
    </w:p>
    <w:p>
      <w:pPr>
        <w:spacing w:after="0" w:line="1" w:lineRule="exact"/>
        <w:rPr>
          <w:sz w:val="20"/>
          <w:szCs w:val="20"/>
          <w:color w:val="auto"/>
        </w:rPr>
      </w:pPr>
    </w:p>
    <w:p>
      <w:pPr>
        <w:jc w:val="both"/>
        <w:ind w:firstLine="311"/>
        <w:spacing w:after="0" w:line="209" w:lineRule="auto"/>
        <w:rPr>
          <w:sz w:val="20"/>
          <w:szCs w:val="20"/>
          <w:color w:val="auto"/>
        </w:rPr>
      </w:pPr>
      <w:r>
        <w:rPr>
          <w:rFonts w:ascii="Times New Roman" w:cs="Times New Roman" w:eastAsia="Times New Roman" w:hAnsi="Times New Roman"/>
          <w:sz w:val="15"/>
          <w:szCs w:val="15"/>
          <w:color w:val="auto"/>
        </w:rPr>
        <w:t xml:space="preserve">The copper cathode quality from direct electrowinning, without a solvent extraction step, is expected to be </w:t>
      </w:r>
      <w:r>
        <w:rPr>
          <w:rFonts w:ascii="Cambria Math" w:cs="Cambria Math" w:eastAsia="Cambria Math" w:hAnsi="Cambria Math"/>
          <w:sz w:val="15"/>
          <w:szCs w:val="15"/>
          <w:color w:val="auto"/>
        </w:rPr>
        <w:t>≥</w:t>
      </w:r>
      <w:r>
        <w:rPr>
          <w:rFonts w:ascii="Times New Roman" w:cs="Times New Roman" w:eastAsia="Times New Roman" w:hAnsi="Times New Roman"/>
          <w:sz w:val="15"/>
          <w:szCs w:val="15"/>
          <w:color w:val="auto"/>
        </w:rPr>
        <w:t>99.9% Cu. Quality of the matte produced in the pyrometallurgical plant will have an impact on this, including the potential carryover of impurities beyond values assumed for the purpose of the IA.</w:t>
      </w:r>
    </w:p>
    <w:p>
      <w:pPr>
        <w:spacing w:after="0" w:line="186" w:lineRule="exact"/>
        <w:rPr>
          <w:sz w:val="20"/>
          <w:szCs w:val="20"/>
          <w:color w:val="auto"/>
        </w:rPr>
      </w:pPr>
    </w:p>
    <w:p>
      <w:pPr>
        <w:jc w:val="both"/>
        <w:ind w:right="20" w:firstLine="311"/>
        <w:spacing w:after="0" w:line="269" w:lineRule="auto"/>
        <w:rPr>
          <w:sz w:val="20"/>
          <w:szCs w:val="20"/>
          <w:color w:val="auto"/>
        </w:rPr>
      </w:pPr>
      <w:r>
        <w:rPr>
          <w:rFonts w:ascii="Times New Roman" w:cs="Times New Roman" w:eastAsia="Times New Roman" w:hAnsi="Times New Roman"/>
          <w:sz w:val="17"/>
          <w:szCs w:val="17"/>
          <w:color w:val="auto"/>
        </w:rPr>
        <w:t>The production of battery-grade nickel and cobalt sulfates is targeted instead of nickel or cobalt cathodes or other intermediate products.</w:t>
      </w: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summary:</w:t>
      </w:r>
    </w:p>
    <w:p>
      <w:pPr>
        <w:spacing w:after="0" w:line="219" w:lineRule="exact"/>
        <w:rPr>
          <w:sz w:val="20"/>
          <w:szCs w:val="20"/>
          <w:color w:val="auto"/>
        </w:rPr>
      </w:pPr>
    </w:p>
    <w:p>
      <w:pPr>
        <w:ind w:left="660" w:hanging="314"/>
        <w:spacing w:after="0" w:line="298" w:lineRule="auto"/>
        <w:tabs>
          <w:tab w:leader="none" w:pos="65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parts of the proposed process have commercial precedents in similar or analogous industries, however not as a whole continuous flowsheet.</w:t>
      </w:r>
    </w:p>
    <w:p>
      <w:pPr>
        <w:spacing w:after="0" w:line="136"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Pay-metals are recovered in the following forms:</w:t>
      </w:r>
    </w:p>
    <w:p>
      <w:pPr>
        <w:spacing w:after="0" w:line="36" w:lineRule="exact"/>
        <w:rPr>
          <w:rFonts w:ascii="Times New Roman" w:cs="Times New Roman" w:eastAsia="Times New Roman" w:hAnsi="Times New Roman"/>
          <w:sz w:val="17"/>
          <w:szCs w:val="17"/>
          <w:color w:val="auto"/>
        </w:rPr>
      </w:pPr>
    </w:p>
    <w:p>
      <w:pPr>
        <w:ind w:left="660" w:hanging="314"/>
        <w:spacing w:after="0" w:line="183" w:lineRule="auto"/>
        <w:tabs>
          <w:tab w:leader="none" w:pos="6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Copper cathodes with an expected quality of </w:t>
      </w:r>
      <w:r>
        <w:rPr>
          <w:rFonts w:ascii="Cambria Math" w:cs="Cambria Math" w:eastAsia="Cambria Math" w:hAnsi="Cambria Math"/>
          <w:sz w:val="14"/>
          <w:szCs w:val="14"/>
          <w:color w:val="auto"/>
        </w:rPr>
        <w:t>≥</w:t>
      </w:r>
      <w:r>
        <w:rPr>
          <w:rFonts w:ascii="Times New Roman" w:cs="Times New Roman" w:eastAsia="Times New Roman" w:hAnsi="Times New Roman"/>
          <w:sz w:val="14"/>
          <w:szCs w:val="14"/>
          <w:color w:val="auto"/>
        </w:rPr>
        <w:t>99.9% Cu.</w:t>
      </w:r>
    </w:p>
    <w:p>
      <w:pPr>
        <w:spacing w:after="0" w:line="2" w:lineRule="exact"/>
        <w:rPr>
          <w:rFonts w:ascii="Times New Roman" w:cs="Times New Roman" w:eastAsia="Times New Roman" w:hAnsi="Times New Roman"/>
          <w:sz w:val="14"/>
          <w:szCs w:val="14"/>
          <w:color w:val="auto"/>
        </w:rPr>
      </w:pPr>
    </w:p>
    <w:p>
      <w:pPr>
        <w:ind w:left="660" w:hanging="314"/>
        <w:spacing w:after="0"/>
        <w:tabs>
          <w:tab w:leader="none" w:pos="6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Battery-grade nickel sulfate.</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Battery-grade cobalt sulfate.</w:t>
      </w:r>
    </w:p>
    <w:p>
      <w:pPr>
        <w:spacing w:after="0" w:line="218" w:lineRule="exact"/>
        <w:rPr>
          <w:rFonts w:ascii="Times New Roman" w:cs="Times New Roman" w:eastAsia="Times New Roman" w:hAnsi="Times New Roman"/>
          <w:sz w:val="17"/>
          <w:szCs w:val="17"/>
          <w:color w:val="auto"/>
        </w:rPr>
      </w:pPr>
    </w:p>
    <w:p>
      <w:pPr>
        <w:ind w:left="660" w:hanging="314"/>
        <w:spacing w:after="0" w:line="298" w:lineRule="auto"/>
        <w:tabs>
          <w:tab w:leader="none" w:pos="661"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Rather than generating large waste streams, the process is expected to produce by-products including high manganese content furnace slag and ammonium sulfate.</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process assumptions used in this TOML Technical Report Summary will need to be verified as the project proceeds.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more information on mineral processing and metallurgical testing, see Section 10 of the TOML Technical Report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studies, permitting, community, or social impact</w:t>
      </w:r>
    </w:p>
    <w:p>
      <w:pPr>
        <w:spacing w:after="0" w:line="218"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Historically, a significant amount of technical work has been undertaken within the CCZ by contractors under the ISA and a significant body of information has been acquired during the past 40 years on the likely environmental impacts of collecting nodules from the seafloor.</w:t>
      </w:r>
    </w:p>
    <w:p>
      <w:pPr>
        <w:spacing w:after="0" w:line="359"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TOML’s offshore exploration campaigns have included sampling to support environmental studies, collection of high-resolution imagery and environmental baseline studies. A number of future campaigns are planned to collect data on ocean currents and water quality to assist plume modelling, environmental baseline studies, box core and multicorer sampling focused on benthic ecology and sediment characteristics.</w:t>
      </w:r>
    </w:p>
    <w:p>
      <w:pPr>
        <w:spacing w:after="0" w:line="16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social impacts of the offshore operation are expected to be positive. The CCZ is uninhabited by people, and there are no landowners associated with the TOML Areas. No significant commercial fishing is carried out in the area. The project is expected to provide a source of revenue to the sponsor country, Tonga, and to the ISA.</w:t>
      </w:r>
    </w:p>
    <w:p>
      <w:pPr>
        <w:sectPr>
          <w:pgSz w:w="12240" w:h="15840" w:orient="portrait"/>
          <w:cols w:equalWidth="0" w:num="1">
            <w:col w:w="9620"/>
          </w:cols>
          <w:pgMar w:left="1320" w:top="1337" w:right="130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41" o:spid="_x0000_s13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102" w:name="page103"/>
    <w:bookmarkEnd w:id="102"/>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23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32">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onshore environmental and social impacts have not yet been assessed because the process plant has not been designed in detail, and the location and host country (and hence regulatory regime) not confirmed. The planned metallurgical process is not expected to generate solid waste products.</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For more information on environmental studies, permitting and social or community impact, see Section 17 of the TOML Technical Report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Internal controls and data verification</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Data collected by TOML in 2013 and 2015 supports the historical data but also is of sufficient quantity and quality to allow estimation of an indicated mineral resource for five sub areas within TOML Areas B, C, D and F. More detailed data collected by TOML has also allowed estimation of a measured mineral resource for a single sub area within TOML Area B. Chain of custody, sample security, Quality Assurance and Quality Control were documented in detail for the TOML data.</w:t>
      </w:r>
    </w:p>
    <w:p>
      <w:pPr>
        <w:spacing w:after="0" w:line="160"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database provided by the ISA contains multiple independent datasets that were independently collected and sampled using similar methods (FFG or BC sampling) but with slightly different equipment and were assayed by different laboratories. Because the database contains multiple datasets the datasets can be compared with each other for the purpose of validating the internal consistency of the data. Additionally, there are a number of published summaries of data that have not been provided to the ISA but show similar mean grades to the data within the TOML Exploration Area.</w:t>
      </w:r>
    </w:p>
    <w:p>
      <w:pPr>
        <w:spacing w:after="0" w:line="165" w:lineRule="exact"/>
        <w:rPr>
          <w:sz w:val="20"/>
          <w:szCs w:val="20"/>
          <w:color w:val="auto"/>
        </w:rPr>
      </w:pPr>
    </w:p>
    <w:p>
      <w:pPr>
        <w:jc w:val="both"/>
        <w:ind w:firstLine="311"/>
        <w:spacing w:after="0" w:line="299" w:lineRule="auto"/>
        <w:rPr>
          <w:sz w:val="20"/>
          <w:szCs w:val="20"/>
          <w:color w:val="auto"/>
        </w:rPr>
      </w:pPr>
      <w:r>
        <w:rPr>
          <w:rFonts w:ascii="Times New Roman" w:cs="Times New Roman" w:eastAsia="Times New Roman" w:hAnsi="Times New Roman"/>
          <w:sz w:val="17"/>
          <w:szCs w:val="17"/>
          <w:color w:val="auto"/>
        </w:rPr>
        <w:t>The sample data are supported by independent third-party data, have been reviewed by the ISA LTC during the process of granting licenses to the Pioneer Contractors, and are maintained by the independent ISA.</w:t>
      </w:r>
    </w:p>
    <w:p>
      <w:pPr>
        <w:spacing w:after="0" w:line="13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database includes all data submitted to the ISA that were collected in the Reserved Areas of the CCZ. The data were collected by parties completely independent of TOML or the previous owner of TOML and retained exclusively in the custody of the ISA prior to their transfer. The data sets were also subject to third-party review by the ISA’s LTC, as part of the process of granting Pioneer Contractors Exploration Areas.</w:t>
      </w:r>
    </w:p>
    <w:p>
      <w:pPr>
        <w:spacing w:after="0" w:line="16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original assay sheets from the laboratories for the individual nodule samples within the TOML Contract Area are not available. Neither are the quality control procedures used by the laboratories and the ISA. It is reasonable to infer that the historical data is of sufficient quality for an Inferred Mineral Resource estimate because:</w:t>
      </w:r>
    </w:p>
    <w:p>
      <w:pPr>
        <w:spacing w:after="0" w:line="155" w:lineRule="exact"/>
        <w:rPr>
          <w:sz w:val="20"/>
          <w:szCs w:val="20"/>
          <w:color w:val="auto"/>
        </w:rPr>
      </w:pPr>
    </w:p>
    <w:p>
      <w:pPr>
        <w:jc w:val="both"/>
        <w:ind w:left="660" w:hanging="315"/>
        <w:spacing w:after="0" w:line="276" w:lineRule="auto"/>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ISA is an independent agency with significant accountability under the Law of the Sea. Part of its mandate is the receipt and storage of seafloor sampling data suitable for the estimation of nodule resources and the legally binding award of licenses. It is reasonable to assume that a reasonable level of care was applied by the ISA.</w:t>
      </w:r>
    </w:p>
    <w:p>
      <w:pPr>
        <w:spacing w:after="0" w:line="155" w:lineRule="exact"/>
        <w:rPr>
          <w:rFonts w:ascii="Times New Roman" w:cs="Times New Roman" w:eastAsia="Times New Roman" w:hAnsi="Times New Roman"/>
          <w:sz w:val="17"/>
          <w:szCs w:val="17"/>
          <w:color w:val="auto"/>
        </w:rPr>
      </w:pPr>
    </w:p>
    <w:p>
      <w:pPr>
        <w:ind w:left="660" w:right="20" w:hanging="315"/>
        <w:spacing w:after="0" w:line="298" w:lineRule="auto"/>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Comparison of the six independent data sets from the CCZ shows a high level of consistency in abundance and grade and, conversely, provides no evidence of bias or systematic error in the TOML data.</w:t>
      </w:r>
    </w:p>
    <w:p>
      <w:pPr>
        <w:spacing w:after="0" w:line="136" w:lineRule="exact"/>
        <w:rPr>
          <w:rFonts w:ascii="Times New Roman" w:cs="Times New Roman" w:eastAsia="Times New Roman" w:hAnsi="Times New Roman"/>
          <w:sz w:val="17"/>
          <w:szCs w:val="17"/>
          <w:color w:val="auto"/>
        </w:rPr>
      </w:pPr>
    </w:p>
    <w:p>
      <w:pPr>
        <w:ind w:left="660" w:hanging="314"/>
        <w:spacing w:after="0" w:line="298" w:lineRule="auto"/>
        <w:tabs>
          <w:tab w:leader="none" w:pos="6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TOML nodule sampling confirms the existence, and abundance and grade continuity of the polymetallic nodules within the TOML Exploration Areas.</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Qualified Person considered that the combination of the TOML historical nodule sample data (physical samples and photo based long axis estimates) combined with detailed backscatter, photo profiling and geological interpretation is sufficient to estimate polymetallic nodule indicated mineral resources and, in one small especially data rich area, measured mineral resources.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44" o:spid="_x0000_s13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103" w:name="page104"/>
    <w:bookmarkEnd w:id="103"/>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23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34">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primary characteristic of the polymetallic nodule deposit that separates this deposit from typical terrestrial manganese, nickel and copper deposits is that the nodules themselves can be accurately mapped through photo-profiles and backscatter acoustic response. The bulk of the polymetallic nodules sit on top of the seabed allowing them to be photographed. However, in some areas such as TOML Area D some nodules are partially covered by sediment making it more difficult to detect the presence and abundance of the nodules. The most accurate method for determining nodule abundance is through physical sampling by box-core or free fall-grab sampling. However, these methods are costly and result in wide sample spacing. Due to the fact that nodules are visible, photography can be used in many areas to estimate nodule abundance directly. The two methods for doing this are estimating the nodule percent coverage (percent of exposed nodule surface area within the photo) and measuring each individual nodule long-axis and then using these measurements to calculate abundance using variants of the formula defined by Felix (1980). The long-axis estimation (LAE) method is the most accurate and preferred method but comes at a cost in the time to manually process each photo — limiting the number of photos that can be used for estimating abundance. The benefit of using photographs is being able to demonstrate continuity between physical sample location and accurately quantify nodule abundance. TOML is developing an automated method of doing these measurements for future application.</w:t>
      </w:r>
    </w:p>
    <w:p>
      <w:pPr>
        <w:spacing w:after="0" w:line="174"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The Qualified Person considered the abundance estimates derived from photographs to date from TOML Areas B and C, to be suitable for estimating nodule abundance for the mineral resource.</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For more information about quality control/quality assurance and data verification, see Section 8 and Section 9 of the TOML Technical Report Summary.</w:t>
      </w:r>
    </w:p>
    <w:p>
      <w:pPr>
        <w:spacing w:after="0" w:line="13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Except as set forth below, we are not currently a party to any material legal proceedings.</w:t>
      </w:r>
    </w:p>
    <w:p>
      <w:pPr>
        <w:spacing w:after="0" w:line="219"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 xml:space="preserve">On September 20, 2021, we commenced litigation in the New York Supreme Court, New York County against two investors who failed to fund their PIPE commitments in connection with the closing of the Business Combination. These actions are captioned </w:t>
      </w:r>
      <w:r>
        <w:rPr>
          <w:rFonts w:ascii="Times New Roman" w:cs="Times New Roman" w:eastAsia="Times New Roman" w:hAnsi="Times New Roman"/>
          <w:sz w:val="17"/>
          <w:szCs w:val="17"/>
          <w:i w:val="1"/>
          <w:iCs w:val="1"/>
          <w:color w:val="auto"/>
        </w:rPr>
        <w:t xml:space="preserve">Sustainable Opportunities Acquisition Corp. n/k/a TMC the metals company Inc. v. Ethos Fund I, LP, Ethos GP, LLC, Ethos DeepGreen PIPE, LLC, and Ethos Manager, LLC, </w:t>
      </w:r>
      <w:r>
        <w:rPr>
          <w:rFonts w:ascii="Times New Roman" w:cs="Times New Roman" w:eastAsia="Times New Roman" w:hAnsi="Times New Roman"/>
          <w:sz w:val="17"/>
          <w:szCs w:val="17"/>
          <w:color w:val="auto"/>
        </w:rPr>
        <w:t>Index No. 655527/2021 (N.Y. Sup. Ct.) and</w:t>
      </w:r>
      <w:r>
        <w:rPr>
          <w:rFonts w:ascii="Times New Roman" w:cs="Times New Roman" w:eastAsia="Times New Roman" w:hAnsi="Times New Roman"/>
          <w:sz w:val="17"/>
          <w:szCs w:val="17"/>
          <w:i w:val="1"/>
          <w:iCs w:val="1"/>
          <w:color w:val="auto"/>
        </w:rPr>
        <w:t xml:space="preserve"> Sustainable Opportunities Acquisition Corp. n/k/a TMC the metals company Inc. v. Ramas Capital Management, LLC, Ramas Energy Opportunities I, LP, Ramas Energy Opportunities I GP, LLC, and Ganesh Betanabhatla</w:t>
      </w:r>
      <w:r>
        <w:rPr>
          <w:rFonts w:ascii="Times New Roman" w:cs="Times New Roman" w:eastAsia="Times New Roman" w:hAnsi="Times New Roman"/>
          <w:sz w:val="17"/>
          <w:szCs w:val="17"/>
          <w:color w:val="auto"/>
        </w:rPr>
        <w:t>, Index No. 655528/2021 (N.Y. Sup. Ct.). The operative complaints allege that the investors breached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which was unsuccessful. The matter is proceeding into the discovery phase. There can be no assurances, however, that we will be successful in our efforts against these investors.</w:t>
      </w:r>
    </w:p>
    <w:p>
      <w:pPr>
        <w:spacing w:after="0" w:line="172"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On October 28, 2021, a shareholder filed a putative class action against us, one of our executive and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The Plaintiff is seeking to recover compensable damages caused by the alleged wrongdoings. We deny any allegations of wrongdoing and have filed and served the plaintiff a motion to dismiss on July 12, 2022 and intend to defend against this lawsuit. On September 26, 2022, the motion to dismiss was fully briefed and the parties are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either cannot be reliably estimated. A resolution of this lawsuit adverse to us or the other defendants, however, could have a material effect on our financial position and results of operations in the period in which the lawsuit is resolved.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47" o:spid="_x0000_s13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04" w:name="page105"/>
    <w:bookmarkEnd w:id="104"/>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3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36">
                      <a:extLst>
                        <a:ext uri="{28A0092B-C50C-407E-A947-70E740481C1C}"/>
                      </a:extLst>
                    </a:blip>
                    <a:srcRect/>
                    <a:stretch>
                      <a:fillRect/>
                    </a:stretch>
                  </pic:blipFill>
                  <pic:spPr bwMode="auto">
                    <a:xfrm>
                      <a:off x="0" y="0"/>
                      <a:ext cx="5080" cy="13970"/>
                    </a:xfrm>
                    <a:prstGeom prst="rect">
                      <a:avLst/>
                    </a:prstGeom>
                    <a:noFill/>
                  </pic:spPr>
                </pic:pic>
              </a:graphicData>
            </a:graphic>
          </wp:anchor>
        </w:drawing>
        <w:t>In February 2022, we received letters from the SEC notifying us of an investigation and requesting the voluntary production of documents and information regarding our 2020 acquisition of Tonga Offshore Mining Limited from Deep Sea Mining Finance Ltd. and our Business Combination with SOAC. The Company is continuing to cooperate with the investigation and respond voluntarily to the SEC’s requests.</w:t>
      </w:r>
    </w:p>
    <w:p>
      <w:pPr>
        <w:spacing w:after="0" w:line="161"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 xml:space="preserve">On January 23, 2023, an investor in the 2021 PIPE from the Business Combination filed a lawsuit against us in New York Supreme Court, New York County, captioned </w:t>
      </w:r>
      <w:r>
        <w:rPr>
          <w:rFonts w:ascii="Times New Roman" w:cs="Times New Roman" w:eastAsia="Times New Roman" w:hAnsi="Times New Roman"/>
          <w:sz w:val="17"/>
          <w:szCs w:val="17"/>
          <w:i w:val="1"/>
          <w:iCs w:val="1"/>
          <w:color w:val="auto"/>
        </w:rPr>
        <w:t>Atalaya Special Purpose Investment Fund II LP et al. v. Sustainable Opportunities Acquisition Corp.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n/k/a TMC The Metals Company Inc</w:t>
      </w:r>
      <w:r>
        <w:rPr>
          <w:rFonts w:ascii="Times New Roman" w:cs="Times New Roman" w:eastAsia="Times New Roman" w:hAnsi="Times New Roman"/>
          <w:sz w:val="17"/>
          <w:szCs w:val="17"/>
          <w:color w:val="auto"/>
        </w:rPr>
        <w:t>., Index No. 650449/2023 (N.Y. Sup. Ct.). The complaint alleges that we breached the representations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warranties in the plaintiff’s PIPE Subscription Agreement and breached the covenant of good faith and fair dealing. The Plaintiffs are seeking to recover compensable damages caused by the alleged wrongdoings. There have been no substantive developments in this case. We deny any allegations of wrongdoing and are preparing to file a motion to dismiss. There is no assurance, however, that we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23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38">
                      <a:extLst>
                        <a:ext uri="{28A0092B-C50C-407E-A947-70E740481C1C}"/>
                      </a:extLst>
                    </a:blip>
                    <a:srcRect/>
                    <a:stretch>
                      <a:fillRect/>
                    </a:stretch>
                  </pic:blipFill>
                  <pic:spPr bwMode="auto">
                    <a:xfrm>
                      <a:off x="0" y="0"/>
                      <a:ext cx="5080" cy="13970"/>
                    </a:xfrm>
                    <a:prstGeom prst="rect">
                      <a:avLst/>
                    </a:prstGeom>
                    <a:noFill/>
                  </pic:spPr>
                </pic:pic>
              </a:graphicData>
            </a:graphic>
          </wp:anchor>
        </w:drawing>
        <w:t>PART II</w:t>
      </w:r>
    </w:p>
    <w:p>
      <w:pPr>
        <w:spacing w:after="0" w:line="21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2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Our common shares and Public Warrants began trading on The Nasdaq Global Select Market on September 10, 2021 under the symbols “TMC” and “TMCWW,”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As of March 24, 2023, there were approximately 277,878,995 common shares issued and outstanding held of record by 106 holders, approximately 15,000,000 Public Warrants held of record by one holder and 9,500,000 private placement warrants issued in connection with SOAC’s initial public offering held of record by 22 holders, each exercisable for one Common Share at a price of $11.50 per share.</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Such numbers do not include beneficial owners holding our securities through nominee names.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Securities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did not repurchase any of our equity securities during the years ended December 31,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25" w:lineRule="exact"/>
        <w:rPr>
          <w:sz w:val="20"/>
          <w:szCs w:val="20"/>
          <w:color w:val="auto"/>
        </w:rPr>
      </w:pPr>
    </w:p>
    <w:p>
      <w:pPr>
        <w:jc w:val="both"/>
        <w:ind w:firstLine="1"/>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of the financial condition and results of our operations should be read in conjunction with the financial statements and the notes to those statements appearing elsewhere in this Annual Report on Form 10-K. Some of the information contained in this discussion and analysis or set forth elsewhere in this report, including information with respect to our plans and strategy for our business, includes forward-looking statements that involve risks and uncertainties. You should read the Risk Factors set forth in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We are a deep-sea minerals exploration company focused on the collection and processing of polymetallic nodules found on the seafloor in international waters of the CCZ, about 1,500 miles south-west of San Diego, California.</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53" o:spid="_x0000_s13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06" w:name="page107"/>
    <w:bookmarkEnd w:id="106"/>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23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40">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 These four metals contained in the polymetallic nodules are critical for the transition to low carbon energy.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intermediate nickel-copper-cobalt matte) for EV and renewable energy storage markets, (ii) copper cathode for EV wiring, clean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68"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Exploration and exploitation of seabed minerals in international waters is regulated by the ISA, an intergovernmental organization established pursuant to the 1994 Agreement Relating to the Implementation of the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km2, or 0.4% of the global seafloor, 17 of which are in the CCZ. We hold exclusive exploration and commercial rights to three of the 17 polymetallic nodule contract areas in the CCZ; two based on ISA exploration contracts through our subsidiaries NORI and TOML, sponsored by Nauru and Tonga, respectively, and exclusive commercial rights through our subsidiary, DGE, and its arrangement with Marawa, a company owned and sponsored by Kiribati.</w:t>
      </w:r>
    </w:p>
    <w:p>
      <w:pPr>
        <w:spacing w:after="0" w:line="168" w:lineRule="exact"/>
        <w:rPr>
          <w:sz w:val="20"/>
          <w:szCs w:val="20"/>
          <w:color w:val="auto"/>
        </w:rPr>
      </w:pPr>
    </w:p>
    <w:p>
      <w:pPr>
        <w:jc w:val="both"/>
        <w:ind w:firstLine="312"/>
        <w:spacing w:after="0" w:line="256" w:lineRule="auto"/>
        <w:rPr>
          <w:sz w:val="20"/>
          <w:szCs w:val="20"/>
          <w:color w:val="auto"/>
        </w:rPr>
      </w:pPr>
      <w:r>
        <w:rPr>
          <w:rFonts w:ascii="Times New Roman" w:cs="Times New Roman" w:eastAsia="Times New Roman" w:hAnsi="Times New Roman"/>
          <w:sz w:val="17"/>
          <w:szCs w:val="17"/>
          <w:color w:val="auto"/>
        </w:rPr>
        <w:t>We have key strategic alliances with (i) Allseas, a leading global offshore contractor, which developed and tested a pilot collection system, which is expected to be modified into an initial smaller scale commercial production system and serve as the basis for the design of a full-scale commercial production system and (ii) Glencore International AG (Glencore) which holds offtake rights to 50% of the NORI nickel and copper production. In addition, we have worked with an engineering firm Hatch and consultants KPM to develop a near-zero solid waste flowsheet. The primary processing stages of the flowsheet from nodule to NiCuCo matte intermediate were demonstrated as part of our pilot plant program at FLSmidth and Xpert Process Solutions’ (XPS, a Glencore company) facilities. The matte refining stages are being tested at SGS Lakefield. The near-zero solid waste flowsheet provides a design that is expected to serve as the basis for our onshore processing facilities. After several months of joint pre-feasibility work in 2022 and in consultation with Epsilon Carbon Pvt, LTD. (Epsilon Carbon) under our March 2022 business collaboration MoU, we decided to pause this work on a new build plant in India until Project Zero has started commercial production using an existing processing facility requiring lower capital expenditures and which we believe may offer a lower risk solution to get Project Zero into production. In November 2022, we entered into a non-binding MoU with Pacific Metals Co Ltd (PAMCO) of Japan, to evaluate the toll treatment of an initial quantity of 1.3 million tonnes of wet polymetallic nodules per year at PAMCO’s Hachinohe smelting facility starting in 2025. The toll treatment is intended to take place on a dedicated rotary kiln-electric arc furnace (RKEF) processing line and produce two products: nickel-copper-cobalt alloy — an intermediate product used as feedstock to produce Li-ion battery cathodes — and a manganese silicate product used to make silico-manganese alloy, a critical input into steel manufacturing. We expect this partnership to progress to a binding MoU and a strategic alliance in the second half of 2023, subject to successful evaluation study outcomes and agreement to mutually acceptable commercial terms, in lieu of continuing to pursue an opportunity to build a new Project Zero Plant in India together with Epsilon Carbon as was previously envisioned under our March 2022 business collaboration MoU with Epsilon Carbon. There can be no assurance that we will enter into such binding MoU or definitive strategic alliance in a particular time period, or at all, or on terms similar to those set forth in the MoU, or that if such binding MoU or definitive strategic alliance are entered into by us or that the existing facility will be able to successfully process nodules in a particular time period, or at all.</w:t>
      </w:r>
    </w:p>
    <w:p>
      <w:pPr>
        <w:spacing w:after="0" w:line="391"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We are currently focused on applying for our first exploitation contract from the ISA on the NORI Area D contract area and, subject to regulatory review by the ISA, intend to start commercial production end of 2024 / start of 2025. To reach our objective and initiate commercial production, we are: (i) defining our resource and project economics, (ii) developing and testing an offshore nodule collection system, (iii) assessing the ESG impacts of offshore nodule collection, and (iv) developing and testing onshore technology and systems to process collected polymetallic nodules into a manganese silicate product, and an intermediate nickel-copper-cobalt matte product and/or end-products like nickel and cobalt sulfates, and copper cathode.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107" w:name="page108"/>
    <w:bookmarkEnd w:id="107"/>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24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242">
                      <a:extLst>
                        <a:ext uri="{28A0092B-C50C-407E-A947-70E740481C1C}"/>
                      </a:extLst>
                    </a:blip>
                    <a:srcRect/>
                    <a:stretch>
                      <a:fillRect/>
                    </a:stretch>
                  </pic:blipFill>
                  <pic:spPr bwMode="auto">
                    <a:xfrm>
                      <a:off x="0" y="0"/>
                      <a:ext cx="5080" cy="13970"/>
                    </a:xfrm>
                    <a:prstGeom prst="rect">
                      <a:avLst/>
                    </a:prstGeom>
                    <a:noFill/>
                  </pic:spPr>
                </pic:pic>
              </a:graphicData>
            </a:graphic>
          </wp:anchor>
        </w:drawing>
        <w:t>We are still in the exploration phase and have not yet declared mineral reserves. We have yet to obtain any exploitation contracts from the ISA to commence commercial scale polymetallic nodule collection in the CCZ nor have we obtained the applicable environmental and other permits required to build and operate commercial scale polymetallic nodule processing and refining plants on land.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Highlights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Below are a few of the developments that occurred in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NORI Area D Project:</w:t>
      </w:r>
    </w:p>
    <w:p>
      <w:pPr>
        <w:spacing w:after="0" w:line="219" w:lineRule="exact"/>
        <w:rPr>
          <w:sz w:val="20"/>
          <w:szCs w:val="20"/>
          <w:color w:val="auto"/>
        </w:rPr>
      </w:pPr>
    </w:p>
    <w:p>
      <w:pPr>
        <w:ind w:left="660" w:hanging="314"/>
        <w:spacing w:after="0"/>
        <w:tabs>
          <w:tab w:leader="none" w:pos="6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Pilot Collection System Trials and Monitoring Campaign:</w:t>
      </w:r>
    </w:p>
    <w:p>
      <w:pPr>
        <w:spacing w:after="0" w:line="219" w:lineRule="exact"/>
        <w:rPr>
          <w:sz w:val="20"/>
          <w:szCs w:val="20"/>
          <w:color w:val="auto"/>
        </w:rPr>
      </w:pPr>
    </w:p>
    <w:p>
      <w:pPr>
        <w:jc w:val="both"/>
        <w:ind w:left="1280" w:hanging="313"/>
        <w:spacing w:after="0" w:line="263" w:lineRule="auto"/>
        <w:tabs>
          <w:tab w:leader="none" w:pos="1280" w:val="left"/>
        </w:tabs>
        <w:numPr>
          <w:ilvl w:val="0"/>
          <w:numId w:val="48"/>
        </w:numPr>
        <w:rPr>
          <w:rFonts w:ascii="Courier New" w:cs="Courier New" w:eastAsia="Courier New" w:hAnsi="Courier New"/>
          <w:sz w:val="17"/>
          <w:szCs w:val="17"/>
          <w:color w:val="auto"/>
        </w:rPr>
      </w:pPr>
      <w:r>
        <w:rPr>
          <w:rFonts w:ascii="Times New Roman" w:cs="Times New Roman" w:eastAsia="Times New Roman" w:hAnsi="Times New Roman"/>
          <w:sz w:val="17"/>
          <w:szCs w:val="17"/>
          <w:b w:val="1"/>
          <w:bCs w:val="1"/>
          <w:color w:val="auto"/>
        </w:rPr>
        <w:t xml:space="preserve">ISA Recommendation: </w:t>
      </w:r>
      <w:r>
        <w:rPr>
          <w:rFonts w:ascii="Times New Roman" w:cs="Times New Roman" w:eastAsia="Times New Roman" w:hAnsi="Times New Roman"/>
          <w:sz w:val="17"/>
          <w:szCs w:val="17"/>
          <w:color w:val="auto"/>
        </w:rPr>
        <w:t>In September 2022, following the completion of its review of NORI’s Environmental Impact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Statement (EIS) and EMMP, the ISA allowed us to proceed with independently monitored integrated pilot collection system trials in NORI Area D in the CCZ following our implementation of their recommendations with respect to the trials.</w:t>
      </w:r>
    </w:p>
    <w:p>
      <w:pPr>
        <w:spacing w:after="0" w:line="164" w:lineRule="exact"/>
        <w:rPr>
          <w:sz w:val="20"/>
          <w:szCs w:val="20"/>
          <w:color w:val="auto"/>
        </w:rPr>
      </w:pPr>
    </w:p>
    <w:p>
      <w:pPr>
        <w:jc w:val="both"/>
        <w:ind w:left="1280" w:hanging="312"/>
        <w:spacing w:after="0" w:line="258" w:lineRule="auto"/>
        <w:tabs>
          <w:tab w:leader="none" w:pos="1281" w:val="left"/>
        </w:tabs>
        <w:numPr>
          <w:ilvl w:val="0"/>
          <w:numId w:val="49"/>
        </w:numPr>
        <w:rPr>
          <w:rFonts w:ascii="Courier New" w:cs="Courier New" w:eastAsia="Courier New" w:hAnsi="Courier New"/>
          <w:sz w:val="17"/>
          <w:szCs w:val="17"/>
          <w:color w:val="auto"/>
        </w:rPr>
      </w:pPr>
      <w:r>
        <w:rPr>
          <w:rFonts w:ascii="Times New Roman" w:cs="Times New Roman" w:eastAsia="Times New Roman" w:hAnsi="Times New Roman"/>
          <w:sz w:val="17"/>
          <w:szCs w:val="17"/>
          <w:b w:val="1"/>
          <w:bCs w:val="1"/>
          <w:color w:val="auto"/>
        </w:rPr>
        <w:t xml:space="preserve">Start of Monitoring Campaign: </w:t>
      </w:r>
      <w:r>
        <w:rPr>
          <w:rFonts w:ascii="Times New Roman" w:cs="Times New Roman" w:eastAsia="Times New Roman" w:hAnsi="Times New Roman"/>
          <w:sz w:val="17"/>
          <w:szCs w:val="17"/>
          <w:color w:val="auto"/>
        </w:rPr>
        <w:t>In accordance with the ISA’s recommendation, in September 2022, the team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engineers at Allseas and scientists from some of the world’s leading deep-sea research institutions and industry-leading contractors began an extensive environmental baseline and impact monitoring campaign in preparation for NORI’s now completed pilot nodule collection system trials in the NORI Area D of the CCZ. Scientists aboard a dedicated 103-meter-long monitoring vessel conducted pre-disturbance monitoring studies on a sub-section of the NORI Area D exploration area to establish an environmental baseline before NORI’s collection system trials. The environmental and operational data gathered during these trials will be used to help ensure the safe and efficient collection of polymetallic nodules to meet expected demand for critical minerals for the clean energy transition and will be part of the ISA’s review of our expected submission of an application for an exploitation contract for the NORI Area D.</w:t>
      </w:r>
    </w:p>
    <w:p>
      <w:pPr>
        <w:spacing w:after="0" w:line="167" w:lineRule="exact"/>
        <w:rPr>
          <w:sz w:val="20"/>
          <w:szCs w:val="20"/>
          <w:color w:val="auto"/>
        </w:rPr>
      </w:pPr>
    </w:p>
    <w:p>
      <w:pPr>
        <w:jc w:val="both"/>
        <w:ind w:left="1280" w:hanging="313"/>
        <w:spacing w:after="0" w:line="258" w:lineRule="auto"/>
        <w:tabs>
          <w:tab w:leader="none" w:pos="1281" w:val="left"/>
        </w:tabs>
        <w:numPr>
          <w:ilvl w:val="1"/>
          <w:numId w:val="50"/>
        </w:numPr>
        <w:rPr>
          <w:rFonts w:ascii="Courier New" w:cs="Courier New" w:eastAsia="Courier New" w:hAnsi="Courier New"/>
          <w:sz w:val="17"/>
          <w:szCs w:val="17"/>
          <w:color w:val="auto"/>
        </w:rPr>
      </w:pPr>
      <w:r>
        <w:rPr>
          <w:rFonts w:ascii="Times New Roman" w:cs="Times New Roman" w:eastAsia="Times New Roman" w:hAnsi="Times New Roman"/>
          <w:sz w:val="17"/>
          <w:szCs w:val="17"/>
          <w:b w:val="1"/>
          <w:bCs w:val="1"/>
          <w:color w:val="auto"/>
        </w:rPr>
        <w:t xml:space="preserve">Successful Conclusion of NORI Integrated Collector Test: </w:t>
      </w:r>
      <w:r>
        <w:rPr>
          <w:rFonts w:ascii="Times New Roman" w:cs="Times New Roman" w:eastAsia="Times New Roman" w:hAnsi="Times New Roman"/>
          <w:sz w:val="17"/>
          <w:szCs w:val="17"/>
          <w:color w:val="auto"/>
        </w:rPr>
        <w:t>On November 14, 2022, we announced that NORI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Allseas successfully concluded the first integrated system test in the CCZ since the 1970s, achieving all significant pilot milestones while collecting approximately 4,500 tonnes of seafloor polymetallic nodules. Over 3,000 tonnes of nodules were transported up a 4.3-kilometer-long riser system to the surface production vessel,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while the additional 1,500 tonnes of nodules were purposely left behind on the seafloor as part of the trials. Concurrently, aboard a dedicated monitoring vessel, marine experts and academic scientists conducted the first environmental monitoring program of an integrated pilot collector system test, which utilizes the baseline data which we began to collect in September 2022.</w:t>
      </w:r>
    </w:p>
    <w:p>
      <w:pPr>
        <w:spacing w:after="0" w:line="379" w:lineRule="exact"/>
        <w:rPr>
          <w:rFonts w:ascii="Courier New" w:cs="Courier New" w:eastAsia="Courier New" w:hAnsi="Courier New"/>
          <w:sz w:val="17"/>
          <w:szCs w:val="17"/>
          <w:color w:val="auto"/>
        </w:rPr>
      </w:pPr>
    </w:p>
    <w:p>
      <w:pPr>
        <w:jc w:val="both"/>
        <w:ind w:left="660" w:hanging="314"/>
        <w:spacing w:after="0" w:line="270" w:lineRule="auto"/>
        <w:tabs>
          <w:tab w:leader="none" w:pos="66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Project Zero System: </w:t>
      </w:r>
      <w:r>
        <w:rPr>
          <w:rFonts w:ascii="Times New Roman" w:cs="Times New Roman" w:eastAsia="Times New Roman" w:hAnsi="Times New Roman"/>
          <w:sz w:val="17"/>
          <w:szCs w:val="17"/>
          <w:color w:val="auto"/>
        </w:rPr>
        <w:t>In March 2022, our subsidiary, NORI, and Allseas entered into a non-binding term sheet for the potential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and operation of a commercial nodule collection system (Project Zero System). The pilot nodule collection system developed and successfully tested by Allseas is expected to be upgraded to a Project Zero System with a targeted production capacity of at least 1.3 Mtpa of wet nodules, with expected production readiness by the fourth quarter of 2024.</w:t>
      </w:r>
    </w:p>
    <w:p>
      <w:pPr>
        <w:spacing w:after="0" w:line="157" w:lineRule="exact"/>
        <w:rPr>
          <w:rFonts w:ascii="Times New Roman" w:cs="Times New Roman" w:eastAsia="Times New Roman" w:hAnsi="Times New Roman"/>
          <w:sz w:val="17"/>
          <w:szCs w:val="17"/>
          <w:color w:val="auto"/>
        </w:rPr>
      </w:pPr>
    </w:p>
    <w:p>
      <w:pPr>
        <w:jc w:val="both"/>
        <w:ind w:left="660" w:hanging="314"/>
        <w:spacing w:after="0" w:line="266" w:lineRule="auto"/>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EMMP for Exploitation Application: </w:t>
      </w:r>
      <w:r>
        <w:rPr>
          <w:rFonts w:ascii="Times New Roman" w:cs="Times New Roman" w:eastAsia="Times New Roman" w:hAnsi="Times New Roman"/>
          <w:sz w:val="17"/>
          <w:szCs w:val="17"/>
          <w:color w:val="auto"/>
        </w:rPr>
        <w:t>In July 2022, our Australian subsidiary entered into a research funding agreement with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consortium of institutions led by Australia’s Commonwealth Scientific Industrial Research Organization (CSIRO) to create a framework for the development of an ecosystem-based Environmental Management and Monitoring Plan (EMMP) for our proposed deep-sea polymetallic nodule collection operations in the CCZ. Resulting EMMP will form an integral part of NORI’s exploitation application to the ISA.</w:t>
      </w:r>
    </w:p>
    <w:p>
      <w:pPr>
        <w:spacing w:after="0" w:line="161" w:lineRule="exact"/>
        <w:rPr>
          <w:rFonts w:ascii="Times New Roman" w:cs="Times New Roman" w:eastAsia="Times New Roman" w:hAnsi="Times New Roman"/>
          <w:sz w:val="17"/>
          <w:szCs w:val="17"/>
          <w:color w:val="auto"/>
        </w:rPr>
      </w:pPr>
    </w:p>
    <w:p>
      <w:pPr>
        <w:jc w:val="both"/>
        <w:ind w:left="660" w:hanging="314"/>
        <w:spacing w:after="0" w:line="266" w:lineRule="auto"/>
        <w:tabs>
          <w:tab w:leader="none" w:pos="6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Independent Lifecycle Impact Assessment of NORI Area D Project: </w:t>
      </w:r>
      <w:r>
        <w:rPr>
          <w:rFonts w:ascii="Times New Roman" w:cs="Times New Roman" w:eastAsia="Times New Roman" w:hAnsi="Times New Roman"/>
          <w:sz w:val="17"/>
          <w:szCs w:val="17"/>
          <w:color w:val="auto"/>
        </w:rPr>
        <w:t>In April 2022, we announced that we chose the leading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lithium-ion battery supply chain research firm, Benchmark, to conduct an independent lifecycle assessment of the environmental impacts of our planned NORI Area D polymetallic nodule project and compare these impacts to producing the same metals from commonly used production pathways using conventional land ores. Benchmark completed its comprehensive Lifecycle Impact Assessment for us in March 2023.</w:t>
      </w:r>
    </w:p>
    <w:p>
      <w:pPr>
        <w:sectPr>
          <w:pgSz w:w="12240" w:h="15840" w:orient="portrait"/>
          <w:cols w:equalWidth="0" w:num="1">
            <w:col w:w="9620"/>
          </w:cols>
          <w:pgMar w:left="1320" w:top="1337" w:right="1300"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24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244">
                      <a:extLst>
                        <a:ext uri="{28A0092B-C50C-407E-A947-70E740481C1C}"/>
                      </a:extLst>
                    </a:blip>
                    <a:srcRect/>
                    <a:stretch>
                      <a:fillRect/>
                    </a:stretch>
                  </pic:blipFill>
                  <pic:spPr bwMode="auto">
                    <a:xfrm>
                      <a:off x="0" y="0"/>
                      <a:ext cx="5080" cy="13970"/>
                    </a:xfrm>
                    <a:prstGeom prst="rect">
                      <a:avLst/>
                    </a:prstGeom>
                    <a:noFill/>
                  </pic:spPr>
                </pic:pic>
              </a:graphicData>
            </a:graphic>
          </wp:anchor>
        </w:drawing>
        <w:t>Onshore Processing:</w:t>
      </w:r>
    </w:p>
    <w:p>
      <w:pPr>
        <w:spacing w:after="0" w:line="219" w:lineRule="exact"/>
        <w:rPr>
          <w:sz w:val="20"/>
          <w:szCs w:val="20"/>
          <w:color w:val="auto"/>
        </w:rPr>
      </w:pPr>
    </w:p>
    <w:p>
      <w:pPr>
        <w:jc w:val="both"/>
        <w:ind w:left="660" w:hanging="315"/>
        <w:spacing w:after="0" w:line="264" w:lineRule="auto"/>
        <w:tabs>
          <w:tab w:leader="none" w:pos="66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SINTEF Manganese Study: </w:t>
      </w:r>
      <w:r>
        <w:rPr>
          <w:rFonts w:ascii="Times New Roman" w:cs="Times New Roman" w:eastAsia="Times New Roman" w:hAnsi="Times New Roman"/>
          <w:sz w:val="17"/>
          <w:szCs w:val="17"/>
          <w:color w:val="auto"/>
        </w:rPr>
        <w:t>In May 2022, we announced that we had retained SINTEF, one of Europe’s leading independent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research institutions, to analyze our manganese silicate product that can be used to produce silicomanganese alloy for steelmaking. SINTEF found that our high-grade nodule-derived manganese silicate, which we estimate could account for approximately one third of potential future revenues, behaves similarly to traditional land-based manganese sources and appears to have significant advantages on cost and carbon dioxide footprint, with the potential for 7 to 17% higher value-in-use, depending on carbon tax regimes.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Social and Governance (ESG):</w:t>
      </w:r>
    </w:p>
    <w:p>
      <w:pPr>
        <w:spacing w:after="0" w:line="219" w:lineRule="exact"/>
        <w:rPr>
          <w:sz w:val="20"/>
          <w:szCs w:val="20"/>
          <w:color w:val="auto"/>
        </w:rPr>
      </w:pPr>
    </w:p>
    <w:p>
      <w:pPr>
        <w:jc w:val="both"/>
        <w:ind w:left="660" w:hanging="314"/>
        <w:spacing w:after="0" w:line="278" w:lineRule="auto"/>
        <w:tabs>
          <w:tab w:leader="none" w:pos="66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Impact Report 2021: </w:t>
      </w:r>
      <w:r>
        <w:rPr>
          <w:rFonts w:ascii="Times New Roman" w:cs="Times New Roman" w:eastAsia="Times New Roman" w:hAnsi="Times New Roman"/>
          <w:sz w:val="17"/>
          <w:szCs w:val="17"/>
          <w:color w:val="auto"/>
        </w:rPr>
        <w:t>In May 2022, we published our inaugural Impact Report setting out our motivations for collecting nodules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providing a forward-looking view of the potential environmental impacts of our expected operations and the efforts underway to potentially eliminate or reduce them.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219" w:lineRule="exact"/>
        <w:rPr>
          <w:sz w:val="20"/>
          <w:szCs w:val="20"/>
          <w:color w:val="auto"/>
        </w:rPr>
      </w:pPr>
    </w:p>
    <w:p>
      <w:pPr>
        <w:jc w:val="both"/>
        <w:ind w:left="660" w:hanging="315"/>
        <w:spacing w:after="0" w:line="266" w:lineRule="auto"/>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PIPE Financing</w:t>
      </w:r>
      <w:r>
        <w:rPr>
          <w:rFonts w:ascii="Times New Roman" w:cs="Times New Roman" w:eastAsia="Times New Roman" w:hAnsi="Times New Roman"/>
          <w:sz w:val="17"/>
          <w:szCs w:val="17"/>
          <w:color w:val="auto"/>
        </w:rPr>
        <w:t>: On August 15, 2022, we announced a private placement financing which raised aggregate gross cash proceeds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$30.4 million (approximately $30 million net proceeds, after deducting placement agent fees and offering expenses) through the issuance of approximately 38.0 million common shares. A majority of the committed funds came from our existing shareholders and insiders. We filed a resale registration statement for the common shares issued to the investors in the financing with the SEC on September 16, 2022, which the SEC declared effective on October 14, 2022.</w:t>
      </w:r>
    </w:p>
    <w:p>
      <w:pPr>
        <w:spacing w:after="0" w:line="160" w:lineRule="exact"/>
        <w:rPr>
          <w:rFonts w:ascii="Times New Roman" w:cs="Times New Roman" w:eastAsia="Times New Roman" w:hAnsi="Times New Roman"/>
          <w:sz w:val="17"/>
          <w:szCs w:val="17"/>
          <w:color w:val="auto"/>
        </w:rPr>
      </w:pPr>
    </w:p>
    <w:p>
      <w:pPr>
        <w:jc w:val="both"/>
        <w:ind w:left="660" w:hanging="314"/>
        <w:spacing w:after="0" w:line="270" w:lineRule="auto"/>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At-The-Market (ATM) Offering: </w:t>
      </w:r>
      <w:r>
        <w:rPr>
          <w:rFonts w:ascii="Times New Roman" w:cs="Times New Roman" w:eastAsia="Times New Roman" w:hAnsi="Times New Roman"/>
          <w:sz w:val="17"/>
          <w:szCs w:val="17"/>
          <w:color w:val="auto"/>
        </w:rPr>
        <w:t>On December 22, 2022, we announced an At-The-Market offering with Stifel, Nicolaus &amp;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Incorporated and Wedbush Securities Inc., as sales agents, pursuant to which we may, from time to time, issue and sell up to $30 million of our common shares. As of the date of this Annual Report on Form 10-K, no sales of common shares have been made under this offering.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UAW Agreement:</w:t>
      </w:r>
    </w:p>
    <w:p>
      <w:pPr>
        <w:spacing w:after="0" w:line="222"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17"/>
          <w:szCs w:val="17"/>
          <w:color w:val="auto"/>
        </w:rPr>
        <w:t>In September 2022, we announced that we had entered into a labor neutrality agreement with the International Union, United Automobile, Aerospace and Agricultural Implement Workers of America (“UAW”) designed to bolster the critical mineral supply chain, which we believe lays the groundwork for sustainable production of electric car batteries while also creates a path to potential job growth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Developments Subsequent to December 31, 2022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Consortium for ESG disclosure of marine minerals:</w:t>
      </w:r>
    </w:p>
    <w:p>
      <w:pPr>
        <w:spacing w:after="0" w:line="222"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7"/>
          <w:szCs w:val="17"/>
          <w:color w:val="auto"/>
        </w:rPr>
        <w:t>On February 14, 2023, we announced that we had joined a broad international consortium to develop a handbook for Environmental, Social and Governance (ESG) disclosure in relation to marine minerals. The purpose of the guidance document is to enable evidence-based assessments of the ESG performance of marine mineral projects in the context of global standards. Marine minerals are emerging as a strong potential source to help meet growing metals demand. As with any extractive industries, consideration of ESG issues is key to ensuring transparent and responsible supply chains. The ESG handbook will provide guidance to addresses material topics related to marine mineral projects in the deep-sea environment using a standardized approach.</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62" name="Shape 3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62" o:spid="_x0000_s13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24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246">
                      <a:extLst>
                        <a:ext uri="{28A0092B-C50C-407E-A947-70E740481C1C}"/>
                      </a:extLst>
                    </a:blip>
                    <a:srcRect/>
                    <a:stretch>
                      <a:fillRect/>
                    </a:stretch>
                  </pic:blipFill>
                  <pic:spPr bwMode="auto">
                    <a:xfrm>
                      <a:off x="0" y="0"/>
                      <a:ext cx="5080" cy="13970"/>
                    </a:xfrm>
                    <a:prstGeom prst="rect">
                      <a:avLst/>
                    </a:prstGeom>
                    <a:noFill/>
                  </pic:spPr>
                </pic:pic>
              </a:graphicData>
            </a:graphic>
          </wp:anchor>
        </w:drawing>
        <w:t>Strategic Partnership on Low-Carbon Royalties:</w:t>
      </w:r>
    </w:p>
    <w:p>
      <w:pPr>
        <w:spacing w:after="0" w:line="222"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7"/>
          <w:szCs w:val="17"/>
          <w:color w:val="auto"/>
        </w:rPr>
        <w:t>On February 21, 2023, we and our wholly-owned subsidiary, NORI, entered into a strategic partnership with Low Carbon Royalties Inc.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Partnership, NORI contributed a 2% gross overriding royalty (the “NORI Royalty”) on our NORI contract area to Low Carbon Royalties. We retained the right to repurchase up to 75% of the NORI Royalty at an agreed capped return, exercisable in two transactions, between the second and the tenth anniversary of the Partnership. If both repurchase transactions are executed, the NORI Royalty will be reduced to 0.5%. Low Carbon Royalties also owns a 1.6% gross overriding royalty on a producing natural gas field in Latin America. In consideration of the NORI Royalty, we received a 35.0% common ownership interest in Low Carbon Royalties on a fully-diluted basis as of closing and $5.0 million in cash</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Engagement with Bechtel Australia Pty Ltd:</w:t>
      </w:r>
    </w:p>
    <w:p>
      <w:pPr>
        <w:spacing w:after="0" w:line="222" w:lineRule="exact"/>
        <w:rPr>
          <w:sz w:val="20"/>
          <w:szCs w:val="20"/>
          <w:color w:val="auto"/>
        </w:rPr>
      </w:pPr>
    </w:p>
    <w:p>
      <w:pPr>
        <w:jc w:val="both"/>
        <w:ind w:left="640"/>
        <w:spacing w:after="0" w:line="265" w:lineRule="auto"/>
        <w:rPr>
          <w:sz w:val="20"/>
          <w:szCs w:val="20"/>
          <w:color w:val="auto"/>
        </w:rPr>
      </w:pPr>
      <w:r>
        <w:rPr>
          <w:rFonts w:ascii="Times New Roman" w:cs="Times New Roman" w:eastAsia="Times New Roman" w:hAnsi="Times New Roman"/>
          <w:sz w:val="17"/>
          <w:szCs w:val="17"/>
          <w:color w:val="auto"/>
        </w:rPr>
        <w:t>On March 9, 2023, we announced that we entered into an agreement with Bechtel Australia Pty Ltd (Bechtel), a global leader in engineering, procurement and construction, to collect and compile the techno-economic studies prepared by various consultants required for NORI to lodge its application for an exploitation contract for its NORI Area D Project with the ISA. Bechtel will collect and compile technical and economic studies prepared by various consultants that will underpin NORI’s application to the ISA for an exploitation contract, which we expect to have ready for submission in the second half of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 Credit Facility with Allseas:</w:t>
      </w:r>
    </w:p>
    <w:p>
      <w:pPr>
        <w:spacing w:after="0" w:line="222"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17"/>
          <w:szCs w:val="17"/>
          <w:color w:val="auto"/>
        </w:rPr>
        <w:t>On March 22, 2023, we entered into an Unsecured Credit Facility Agreement (“Credit Facility”) with Argentum Credit Virtuti GCV (the “Lender”), the parent of Allseas Investments S.A. and an affiliate of Allseas, pursuant to which, we may borrow from the Lender up to $25,000,000 in the aggregate, from time to time, subject to certain conditions. All amounts drawn under the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Business Combination</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On September 9, 2021, we completed the Business Combination with SOAC. The transaction resulted in the combined company being renamed “TMC the metals company Inc.” and the combined company’s common shares and warrants to purchase common shares commenced trading on the Nasdaq on September 10, 2021, under the symbols “TMC” and “TMCWW,” respectively. As a result of the Business Combination, we received gross proceeds of approximately $137.6 million.</w:t>
      </w:r>
    </w:p>
    <w:p>
      <w:pPr>
        <w:spacing w:after="0" w:line="160"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6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ectPr>
          <w:pgSz w:w="12240" w:h="15840" w:orient="portrait"/>
          <w:cols w:equalWidth="0" w:num="1">
            <w:col w:w="9620"/>
          </w:cols>
          <w:pgMar w:left="1320" w:top="1334" w:right="130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65" name="Shape 3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65" o:spid="_x0000_s13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24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248">
                      <a:extLst>
                        <a:ext uri="{28A0092B-C50C-407E-A947-70E740481C1C}"/>
                      </a:extLst>
                    </a:blip>
                    <a:srcRect/>
                    <a:stretch>
                      <a:fillRect/>
                    </a:stretch>
                  </pic:blipFill>
                  <pic:spPr bwMode="auto">
                    <a:xfrm>
                      <a:off x="0" y="0"/>
                      <a:ext cx="5080" cy="13970"/>
                    </a:xfrm>
                    <a:prstGeom prst="rect">
                      <a:avLst/>
                    </a:prstGeom>
                    <a:noFill/>
                  </pic:spPr>
                </pic:pic>
              </a:graphicData>
            </a:graphic>
          </wp:anchor>
        </w:drawing>
        <w:t>Exploration Contracts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currently hold exclusive exploration rights to certain polymetallic nodule areas in the CCZ through our subsidiaries NORI and TOML, sponsored by the Republic of Nauru and the Kingdom of Tonga, respectively, and exclusive commercial rights through our subsidiary’s (DGE), arrangement with Marawa, a company owned and sponsored by the Republic of Kiribati.</w:t>
      </w:r>
    </w:p>
    <w:p>
      <w:pPr>
        <w:spacing w:after="0" w:line="155" w:lineRule="exact"/>
        <w:rPr>
          <w:sz w:val="20"/>
          <w:szCs w:val="20"/>
          <w:color w:val="auto"/>
        </w:rPr>
      </w:pPr>
    </w:p>
    <w:p>
      <w:pPr>
        <w:jc w:val="both"/>
        <w:ind w:firstLine="312"/>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NORI. </w:t>
      </w:r>
      <w:r>
        <w:rPr>
          <w:rFonts w:ascii="Times New Roman" w:cs="Times New Roman" w:eastAsia="Times New Roman" w:hAnsi="Times New Roman"/>
          <w:sz w:val="17"/>
          <w:szCs w:val="17"/>
          <w:color w:val="auto"/>
        </w:rPr>
        <w:t>NORI our wholly-owned subsidiary, holds exploration rights to four blocks (NORI Area A, B, C, and D, the “NORI Contract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Area”) covering 74,830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to this Annual Report on Form 10-K.</w:t>
      </w:r>
    </w:p>
    <w:p>
      <w:pPr>
        <w:spacing w:after="0" w:line="183" w:lineRule="exact"/>
        <w:rPr>
          <w:sz w:val="20"/>
          <w:szCs w:val="20"/>
          <w:color w:val="auto"/>
        </w:rPr>
      </w:pPr>
    </w:p>
    <w:p>
      <w:pPr>
        <w:jc w:val="both"/>
        <w:ind w:firstLine="311"/>
        <w:spacing w:after="0"/>
        <w:rPr>
          <w:sz w:val="20"/>
          <w:szCs w:val="20"/>
          <w:color w:val="auto"/>
        </w:rPr>
      </w:pPr>
      <w:r>
        <w:rPr>
          <w:rFonts w:ascii="Times New Roman" w:cs="Times New Roman" w:eastAsia="Times New Roman" w:hAnsi="Times New Roman"/>
          <w:sz w:val="17"/>
          <w:szCs w:val="17"/>
          <w:i w:val="1"/>
          <w:iCs w:val="1"/>
          <w:color w:val="auto"/>
        </w:rPr>
        <w:t xml:space="preserve">TOML. </w:t>
      </w:r>
      <w:r>
        <w:rPr>
          <w:rFonts w:ascii="Times New Roman" w:cs="Times New Roman" w:eastAsia="Times New Roman" w:hAnsi="Times New Roman"/>
          <w:sz w:val="17"/>
          <w:szCs w:val="17"/>
          <w:color w:val="auto"/>
        </w:rPr>
        <w:t>TOML our wholly-owned subsidiary which we acquired in March 2020, holds exploration rights to an area covering 74,713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to this Annual Report on Form 10-K.</w:t>
      </w:r>
    </w:p>
    <w:p>
      <w:pPr>
        <w:spacing w:after="0" w:line="187" w:lineRule="exact"/>
        <w:rPr>
          <w:sz w:val="20"/>
          <w:szCs w:val="20"/>
          <w:color w:val="auto"/>
        </w:rPr>
      </w:pPr>
    </w:p>
    <w:p>
      <w:pPr>
        <w:jc w:val="both"/>
        <w:ind w:firstLine="311"/>
        <w:spacing w:after="0"/>
        <w:rPr>
          <w:sz w:val="20"/>
          <w:szCs w:val="20"/>
          <w:color w:val="auto"/>
        </w:rPr>
      </w:pPr>
      <w:r>
        <w:rPr>
          <w:rFonts w:ascii="Times New Roman" w:cs="Times New Roman" w:eastAsia="Times New Roman" w:hAnsi="Times New Roman"/>
          <w:sz w:val="17"/>
          <w:szCs w:val="17"/>
          <w:i w:val="1"/>
          <w:iCs w:val="1"/>
          <w:color w:val="auto"/>
        </w:rPr>
        <w:t xml:space="preserve">Marawa. </w:t>
      </w:r>
      <w:r>
        <w:rPr>
          <w:rFonts w:ascii="Times New Roman" w:cs="Times New Roman" w:eastAsia="Times New Roman" w:hAnsi="Times New Roman"/>
          <w:sz w:val="17"/>
          <w:szCs w:val="17"/>
          <w:color w:val="auto"/>
        </w:rPr>
        <w:t>DGE, our wholly-owned subsidiary, entered into agreements with Marawa and Kiribati which provide DGE with exclusive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exploration rights to an area covering 74,990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(the “Marawa Contract Area”). The exploration contract between Marawa and the ISA (the “Marawa Exploration Contract”) was signed on January 19, 2015. To date, limited offshore marine resource definition activities in the Marawa Contract Area have occurred. We expect to collaborate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Trends, Opportunities and Uncertainties</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Item 7A entitled “</w:t>
      </w:r>
      <w:r>
        <w:rPr>
          <w:rFonts w:ascii="Times New Roman" w:cs="Times New Roman" w:eastAsia="Times New Roman" w:hAnsi="Times New Roman"/>
          <w:sz w:val="17"/>
          <w:szCs w:val="17"/>
          <w:i w:val="1"/>
          <w:iCs w:val="1"/>
          <w:color w:val="auto"/>
        </w:rPr>
        <w:t>Quantitative and Qualitative Disclosures About Market Risk</w:t>
      </w:r>
      <w:r>
        <w:rPr>
          <w:rFonts w:ascii="Times New Roman" w:cs="Times New Roman" w:eastAsia="Times New Roman" w:hAnsi="Times New Roman"/>
          <w:sz w:val="17"/>
          <w:szCs w:val="17"/>
          <w:color w:val="auto"/>
        </w:rPr>
        <w:t>” and Item 1A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included in this Annual Report on Form 10-K.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Climate Change</w:t>
      </w:r>
    </w:p>
    <w:p>
      <w:pPr>
        <w:spacing w:after="0" w:line="22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are committed to adopting the Task Force on Climate-Related Financial Disclosures recommendations. In our inaugural Impact Report published in May 2022, we provided climate-related disclosure and shared how we believe our mission is aligned with supporting the global energy transition and contributing to a circular metals economy. We recognize that climate change may have a meaningful impact on our financial performance over time, and we have begun the process of consolidating key risks and corresponding action plans to mitigate their negative impact of climate change on our operations.</w:t>
      </w:r>
    </w:p>
    <w:p>
      <w:pPr>
        <w:spacing w:after="0" w:line="16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Our climate related transition risks and opportunities are likely to be driven by changes in regulation, public policy, and technology as well as risk of business disruptions due to climate related events.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68" name="Shape 3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68" o:spid="_x0000_s13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24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250">
                      <a:extLst>
                        <a:ext uri="{28A0092B-C50C-407E-A947-70E740481C1C}"/>
                      </a:extLst>
                    </a:blip>
                    <a:srcRect/>
                    <a:stretch>
                      <a:fillRect/>
                    </a:stretch>
                  </pic:blipFill>
                  <pic:spPr bwMode="auto">
                    <a:xfrm>
                      <a:off x="0" y="0"/>
                      <a:ext cx="5080" cy="13970"/>
                    </a:xfrm>
                    <a:prstGeom prst="rect">
                      <a:avLst/>
                    </a:prstGeom>
                    <a:noFill/>
                  </pic:spPr>
                </pic:pic>
              </a:graphicData>
            </a:graphic>
          </wp:anchor>
        </w:drawing>
        <w:t>Regulatory risks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55"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are working on a plan for continuous reduction of emissions and aiming to develop operations with near zero emissions. When selecting the location of our onshore plant, one of our requirements is access to renewable energy as our metallurgical process will be the most energy intensive step in our operations. In addition, we are seeking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policy risks</w:t>
      </w:r>
    </w:p>
    <w:p>
      <w:pPr>
        <w:spacing w:after="0" w:line="218"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zero emissions and are reviewing and designing technologies to achieve this goal. The location of our onshore plant will be key, and we will be working on science-based targets and scenario analysis.</w:t>
      </w:r>
    </w:p>
    <w:p>
      <w:pPr>
        <w:spacing w:after="0" w:line="374"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To support the EV and battery storage value chain, we are seeking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Technology risks</w:t>
      </w:r>
    </w:p>
    <w:p>
      <w:pPr>
        <w:spacing w:after="0" w:line="21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Physical risks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Global Inflation</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2022, the global inflation rate rose sharply. Marine fuel prices and vessel day rates were higher year-over-year and have increased our exploration expenses beyond what we had originally expected. Additionally, we are experiencing higher offshore labor costs through our contractors.</w:t>
      </w:r>
    </w:p>
    <w:p>
      <w:pPr>
        <w:spacing w:after="0" w:line="15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As a pre-revenue company, persistent inflation may affect our ultimate cash requirements prior to our ability to begin commercial production.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22"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ectPr>
          <w:pgSz w:w="12240" w:h="15840" w:orient="portrait"/>
          <w:cols w:equalWidth="0" w:num="1">
            <w:col w:w="9620"/>
          </w:cols>
          <w:pgMar w:left="1320" w:top="1338" w:right="130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71" name="Shape 3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71" o:spid="_x0000_s13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8" w:right="1300"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25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252">
                      <a:extLst>
                        <a:ext uri="{28A0092B-C50C-407E-A947-70E740481C1C}"/>
                      </a:extLst>
                    </a:blip>
                    <a:srcRect/>
                    <a:stretch>
                      <a:fillRect/>
                    </a:stretch>
                  </pic:blipFill>
                  <pic:spPr bwMode="auto">
                    <a:xfrm>
                      <a:off x="0" y="0"/>
                      <a:ext cx="5080" cy="13970"/>
                    </a:xfrm>
                    <a:prstGeom prst="rect">
                      <a:avLst/>
                    </a:prstGeom>
                    <a:noFill/>
                  </pic:spPr>
                </pic:pic>
              </a:graphicData>
            </a:graphic>
          </wp:anchor>
        </w:drawing>
        <w:t>Components of Results of Operations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are an exploration-stage company with no revenue to date and a net loss of $171 million for the year ended December 31, 2022, compared to a net loss of $141.3 million in the prior year. We have an accumulated deficit of approximately $475.1 million from inception through December 31, 2022.</w:t>
      </w:r>
    </w:p>
    <w:p>
      <w:pPr>
        <w:spacing w:after="0" w:line="155"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To date, we have not generated any revenue. We do not expect to generate revenue until at least 2025 and only if NORI receives an exploitation contract from the ISA and we are able to successfully collect and process polymetallic nodules into saleable products on a commercial scale. Any revenue from initial production is difficult to predict.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Exploration and Evaluation Expenses</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55"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Income/Expense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Interest income consists primarily of interest income earned on our cash and cash equivalents.</w:t>
      </w:r>
    </w:p>
    <w:p>
      <w:pPr>
        <w:spacing w:after="0" w:line="219"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Interest expense resulted from our financing transactions, specifically the convertible debentures issued in February 2021, which accrued interest at 7% per annum. The convertible debentures were fully converted into DeepGreen common shares on September 9, 2021.</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Loss</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foreign exchange income or loss for the periods primarily relates to our cash held in Canadian dollars and to the settlement of costs incurred in foreign currencies, depending on either the strengthening or weakening of the U.S. dollar.</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74" name="Shape 3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74" o:spid="_x0000_s13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25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254">
                      <a:extLst>
                        <a:ext uri="{28A0092B-C50C-407E-A947-70E740481C1C}"/>
                      </a:extLst>
                    </a:blip>
                    <a:srcRect/>
                    <a:stretch>
                      <a:fillRect/>
                    </a:stretch>
                  </pic:blipFill>
                  <pic:spPr bwMode="auto">
                    <a:xfrm>
                      <a:off x="0" y="0"/>
                      <a:ext cx="5080" cy="13970"/>
                    </a:xfrm>
                    <a:prstGeom prst="rect">
                      <a:avLst/>
                    </a:prstGeom>
                    <a:noFill/>
                  </pic:spPr>
                </pic:pic>
              </a:graphicData>
            </a:graphic>
          </wp:anchor>
        </w:drawing>
        <w:t>Change in Fair Value of Warrants Liabilities</w:t>
      </w:r>
    </w:p>
    <w:p>
      <w:pPr>
        <w:spacing w:after="0" w:line="218"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Change in fair value of warrants liabilities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DeepGreen was determined to be the accounting acquirer and therefore, all information prior to the Business Combination, including the prior period financial information, represent the financial condition and operating results of DeepGreen.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periods ended December 31, 2022 and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720" w:type="dxa"/>
            <w:vAlign w:val="bottom"/>
          </w:tcPr>
          <w:p>
            <w:pPr>
              <w:spacing w:after="0"/>
              <w:rPr>
                <w:sz w:val="13"/>
                <w:szCs w:val="13"/>
                <w:color w:val="auto"/>
              </w:rPr>
            </w:pPr>
          </w:p>
        </w:tc>
        <w:tc>
          <w:tcPr>
            <w:tcW w:w="2080" w:type="dxa"/>
            <w:vAlign w:val="bottom"/>
            <w:gridSpan w:val="8"/>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w w:val="98"/>
              </w:rPr>
              <w:t>For the 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gridSpan w:val="5"/>
          </w:tcPr>
          <w:p>
            <w:pPr>
              <w:jc w:val="center"/>
              <w:ind w:left="557"/>
              <w:spacing w:after="0"/>
              <w:rPr>
                <w:sz w:val="20"/>
                <w:szCs w:val="20"/>
                <w:color w:val="auto"/>
              </w:rPr>
            </w:pPr>
            <w:r>
              <w:rPr>
                <w:rFonts w:ascii="Times New Roman" w:cs="Times New Roman" w:eastAsia="Times New Roman" w:hAnsi="Times New Roman"/>
                <w:sz w:val="14"/>
                <w:szCs w:val="14"/>
                <w:b w:val="1"/>
                <w:bCs w:val="1"/>
                <w:color w:val="auto"/>
                <w:w w:val="95"/>
              </w:rPr>
              <w:t>For the Year Ended</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54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right="1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5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except as noted)</w:t>
            </w:r>
          </w:p>
        </w:tc>
        <w:tc>
          <w:tcPr>
            <w:tcW w:w="720" w:type="dxa"/>
            <w:vAlign w:val="bottom"/>
          </w:tcPr>
          <w:p>
            <w:pPr>
              <w:spacing w:after="0"/>
              <w:rPr>
                <w:sz w:val="12"/>
                <w:szCs w:val="12"/>
                <w:color w:val="auto"/>
              </w:rPr>
            </w:pPr>
          </w:p>
        </w:tc>
        <w:tc>
          <w:tcPr>
            <w:tcW w:w="760" w:type="dxa"/>
            <w:vAlign w:val="bottom"/>
          </w:tcPr>
          <w:p>
            <w:pPr>
              <w:jc w:val="right"/>
              <w:ind w:right="162"/>
              <w:spacing w:after="0" w:line="143"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gridSpan w:val="4"/>
          </w:tcPr>
          <w:p>
            <w:pPr>
              <w:jc w:val="right"/>
              <w:ind w:right="114"/>
              <w:spacing w:after="0" w:line="143"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72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177"/>
              <w:spacing w:after="0" w:line="143"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6"/>
              <w:spacing w:after="0" w:line="143"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7"/>
              </w:rPr>
              <w:t>% Change</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2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Exploration and evaluation expenses</w:t>
            </w:r>
          </w:p>
        </w:tc>
        <w:tc>
          <w:tcPr>
            <w:tcW w:w="720" w:type="dxa"/>
            <w:vAlign w:val="bottom"/>
            <w:tcBorders>
              <w:top w:val="single" w:sz="8" w:color="C7EAF2"/>
            </w:tcBorders>
            <w:shd w:val="clear" w:color="auto" w:fill="C7EAF2"/>
          </w:tcPr>
          <w:p>
            <w:pPr>
              <w:spacing w:after="0"/>
              <w:rPr>
                <w:sz w:val="17"/>
                <w:szCs w:val="17"/>
                <w:color w:val="auto"/>
              </w:rPr>
            </w:pPr>
          </w:p>
        </w:tc>
        <w:tc>
          <w:tcPr>
            <w:tcW w:w="7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$ 104,259</w:t>
            </w:r>
          </w:p>
        </w:tc>
        <w:tc>
          <w:tcPr>
            <w:tcW w:w="20" w:type="dxa"/>
            <w:vAlign w:val="bottom"/>
            <w:tcBorders>
              <w:top w:val="single" w:sz="8" w:color="auto"/>
            </w:tcBorders>
            <w:shd w:val="clear" w:color="auto" w:fill="C7EAF2"/>
          </w:tcPr>
          <w:p>
            <w:pPr>
              <w:spacing w:after="0"/>
              <w:rPr>
                <w:sz w:val="17"/>
                <w:szCs w:val="17"/>
                <w:color w:val="auto"/>
              </w:rPr>
            </w:pPr>
          </w:p>
        </w:tc>
        <w:tc>
          <w:tcPr>
            <w:tcW w:w="160" w:type="dxa"/>
            <w:vAlign w:val="bottom"/>
            <w:tcBorders>
              <w:top w:val="single" w:sz="8" w:color="C7EAF2"/>
            </w:tcBorders>
            <w:shd w:val="clear" w:color="auto" w:fill="C7EAF2"/>
          </w:tcPr>
          <w:p>
            <w:pPr>
              <w:spacing w:after="0"/>
              <w:rPr>
                <w:sz w:val="17"/>
                <w:szCs w:val="17"/>
                <w:color w:val="auto"/>
              </w:rPr>
            </w:pPr>
          </w:p>
        </w:tc>
        <w:tc>
          <w:tcPr>
            <w:tcW w:w="1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12,825</w:t>
            </w:r>
          </w:p>
        </w:tc>
        <w:tc>
          <w:tcPr>
            <w:tcW w:w="100" w:type="dxa"/>
            <w:vAlign w:val="bottom"/>
            <w:tcBorders>
              <w:top w:val="single" w:sz="8" w:color="C7EAF2"/>
            </w:tcBorders>
            <w:shd w:val="clear" w:color="auto" w:fill="C7EAF2"/>
          </w:tcPr>
          <w:p>
            <w:pPr>
              <w:spacing w:after="0"/>
              <w:rPr>
                <w:sz w:val="17"/>
                <w:szCs w:val="17"/>
                <w:color w:val="auto"/>
              </w:rPr>
            </w:pPr>
          </w:p>
        </w:tc>
        <w:tc>
          <w:tcPr>
            <w:tcW w:w="80" w:type="dxa"/>
            <w:vAlign w:val="bottom"/>
            <w:tcBorders>
              <w:top w:val="single" w:sz="8" w:color="C7EAF2"/>
            </w:tcBorders>
            <w:shd w:val="clear" w:color="auto" w:fill="C7EAF2"/>
          </w:tcPr>
          <w:p>
            <w:pPr>
              <w:spacing w:after="0"/>
              <w:rPr>
                <w:sz w:val="17"/>
                <w:szCs w:val="17"/>
                <w:color w:val="auto"/>
              </w:rPr>
            </w:pPr>
          </w:p>
        </w:tc>
        <w:tc>
          <w:tcPr>
            <w:tcW w:w="280" w:type="dxa"/>
            <w:vAlign w:val="bottom"/>
            <w:tcBorders>
              <w:top w:val="single" w:sz="8" w:color="auto"/>
            </w:tcBorders>
            <w:shd w:val="clear" w:color="auto" w:fill="C7EAF2"/>
          </w:tcPr>
          <w:p>
            <w:pPr>
              <w:spacing w:after="0"/>
              <w:rPr>
                <w:sz w:val="17"/>
                <w:szCs w:val="17"/>
                <w:color w:val="auto"/>
              </w:rPr>
            </w:pPr>
          </w:p>
        </w:tc>
        <w:tc>
          <w:tcPr>
            <w:tcW w:w="3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80" w:type="dxa"/>
            <w:vAlign w:val="bottom"/>
            <w:tcBorders>
              <w:top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60" w:type="dxa"/>
            <w:vAlign w:val="bottom"/>
            <w:tcBorders>
              <w:top w:val="single" w:sz="8" w:color="C7EAF2"/>
            </w:tcBorders>
            <w:shd w:val="clear" w:color="auto" w:fill="C7EAF2"/>
          </w:tcPr>
          <w:p>
            <w:pPr>
              <w:spacing w:after="0"/>
              <w:rPr>
                <w:sz w:val="17"/>
                <w:szCs w:val="17"/>
                <w:color w:val="auto"/>
              </w:rPr>
            </w:pPr>
          </w:p>
        </w:tc>
        <w:tc>
          <w:tcPr>
            <w:tcW w:w="7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9"/>
                <w:shd w:val="clear" w:color="auto" w:fill="C7EAF2"/>
              </w:rPr>
              <w:t>$ 144,599</w:t>
            </w:r>
          </w:p>
        </w:tc>
        <w:tc>
          <w:tcPr>
            <w:tcW w:w="18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93,006</w:t>
            </w:r>
          </w:p>
        </w:tc>
        <w:tc>
          <w:tcPr>
            <w:tcW w:w="160" w:type="dxa"/>
            <w:vAlign w:val="bottom"/>
            <w:tcBorders>
              <w:top w:val="single" w:sz="8" w:color="C7EAF2"/>
            </w:tcBorders>
            <w:shd w:val="clear" w:color="auto" w:fill="C7EAF2"/>
          </w:tcPr>
          <w:p>
            <w:pPr>
              <w:spacing w:after="0"/>
              <w:rPr>
                <w:sz w:val="17"/>
                <w:szCs w:val="17"/>
                <w:color w:val="auto"/>
              </w:rPr>
            </w:pPr>
          </w:p>
        </w:tc>
        <w:tc>
          <w:tcPr>
            <w:tcW w:w="20" w:type="dxa"/>
            <w:vAlign w:val="bottom"/>
            <w:tcBorders>
              <w:top w:val="single" w:sz="8" w:color="C7EAF2"/>
            </w:tcBorders>
            <w:shd w:val="clear" w:color="auto" w:fill="C7EAF2"/>
          </w:tcPr>
          <w:p>
            <w:pPr>
              <w:spacing w:after="0"/>
              <w:rPr>
                <w:sz w:val="17"/>
                <w:szCs w:val="17"/>
                <w:color w:val="auto"/>
              </w:rPr>
            </w:pPr>
          </w:p>
        </w:tc>
        <w:tc>
          <w:tcPr>
            <w:tcW w:w="6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60" w:type="dxa"/>
            <w:vAlign w:val="bottom"/>
            <w:tcBorders>
              <w:top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84"/>
                <w:shd w:val="clear" w:color="auto" w:fill="C7EAF2"/>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56,583</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Change in fair value of warrants liability</w:t>
            </w:r>
          </w:p>
        </w:tc>
        <w:tc>
          <w:tcPr>
            <w:tcW w:w="14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(1,251)</w:t>
            </w:r>
          </w:p>
        </w:tc>
        <w:tc>
          <w:tcPr>
            <w:tcW w:w="2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(8,497)</w:t>
            </w:r>
          </w:p>
        </w:tc>
        <w:tc>
          <w:tcPr>
            <w:tcW w:w="100" w:type="dxa"/>
            <w:vAlign w:val="bottom"/>
            <w:shd w:val="clear" w:color="auto" w:fill="C7EAF2"/>
          </w:tcPr>
          <w:p>
            <w:pPr>
              <w:spacing w:after="0"/>
              <w:rPr>
                <w:sz w:val="18"/>
                <w:szCs w:val="18"/>
                <w:color w:val="auto"/>
              </w:rPr>
            </w:pPr>
          </w:p>
        </w:tc>
        <w:tc>
          <w:tcPr>
            <w:tcW w:w="80" w:type="dxa"/>
            <w:vAlign w:val="bottom"/>
            <w:shd w:val="clear" w:color="auto" w:fill="C7EAF2"/>
          </w:tcPr>
          <w:p>
            <w:pPr>
              <w:spacing w:after="0"/>
              <w:rPr>
                <w:sz w:val="18"/>
                <w:szCs w:val="18"/>
                <w:color w:val="auto"/>
              </w:rPr>
            </w:pPr>
          </w:p>
        </w:tc>
        <w:tc>
          <w:tcPr>
            <w:tcW w:w="280" w:type="dxa"/>
            <w:vAlign w:val="bottom"/>
            <w:shd w:val="clear" w:color="auto" w:fill="C7EAF2"/>
          </w:tcPr>
          <w:p>
            <w:pPr>
              <w:spacing w:after="0"/>
              <w:rPr>
                <w:sz w:val="18"/>
                <w:szCs w:val="18"/>
                <w:color w:val="auto"/>
              </w:rPr>
            </w:pPr>
          </w:p>
        </w:tc>
        <w:tc>
          <w:tcPr>
            <w:tcW w:w="54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853 %</w:t>
            </w:r>
          </w:p>
        </w:tc>
        <w:tc>
          <w:tcPr>
            <w:tcW w:w="60" w:type="dxa"/>
            <w:vAlign w:val="bottom"/>
            <w:shd w:val="clear" w:color="auto" w:fill="C7EAF2"/>
          </w:tcPr>
          <w:p>
            <w:pPr>
              <w:spacing w:after="0"/>
              <w:rPr>
                <w:sz w:val="18"/>
                <w:szCs w:val="18"/>
                <w:color w:val="auto"/>
              </w:rPr>
            </w:pPr>
          </w:p>
        </w:tc>
        <w:tc>
          <w:tcPr>
            <w:tcW w:w="7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18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(9,375)</w:t>
            </w:r>
          </w:p>
        </w:tc>
        <w:tc>
          <w:tcPr>
            <w:tcW w:w="160" w:type="dxa"/>
            <w:vAlign w:val="bottom"/>
            <w:shd w:val="clear" w:color="auto" w:fill="C7EAF2"/>
          </w:tcPr>
          <w:p>
            <w:pPr>
              <w:spacing w:after="0"/>
              <w:rPr>
                <w:sz w:val="18"/>
                <w:szCs w:val="18"/>
                <w:color w:val="auto"/>
              </w:rPr>
            </w:pPr>
          </w:p>
        </w:tc>
        <w:tc>
          <w:tcPr>
            <w:tcW w:w="6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84"/>
                <w:shd w:val="clear" w:color="auto" w:fill="C7EAF2"/>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 loss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Interest expense (income)</w:t>
            </w:r>
          </w:p>
        </w:tc>
        <w:tc>
          <w:tcPr>
            <w:tcW w:w="14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2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680" w:type="dxa"/>
            <w:vAlign w:val="bottom"/>
            <w:gridSpan w:val="2"/>
            <w:shd w:val="clear" w:color="auto" w:fill="C7EAF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7EAF2"/>
          </w:tcPr>
          <w:p>
            <w:pPr>
              <w:spacing w:after="0"/>
              <w:rPr>
                <w:sz w:val="18"/>
                <w:szCs w:val="18"/>
                <w:color w:val="auto"/>
              </w:rPr>
            </w:pPr>
          </w:p>
        </w:tc>
        <w:tc>
          <w:tcPr>
            <w:tcW w:w="280" w:type="dxa"/>
            <w:vAlign w:val="bottom"/>
            <w:shd w:val="clear" w:color="auto" w:fill="C7EAF2"/>
          </w:tcPr>
          <w:p>
            <w:pPr>
              <w:spacing w:after="0"/>
              <w:rPr>
                <w:sz w:val="18"/>
                <w:szCs w:val="18"/>
                <w:color w:val="auto"/>
              </w:rPr>
            </w:pPr>
          </w:p>
        </w:tc>
        <w:tc>
          <w:tcPr>
            <w:tcW w:w="540" w:type="dxa"/>
            <w:vAlign w:val="bottom"/>
            <w:gridSpan w:val="2"/>
            <w:shd w:val="clear" w:color="auto" w:fill="C7EAF2"/>
          </w:tcPr>
          <w:p>
            <w:pPr>
              <w:jc w:val="right"/>
              <w:ind w:right="154"/>
              <w:spacing w:after="0"/>
              <w:rPr>
                <w:sz w:val="20"/>
                <w:szCs w:val="20"/>
                <w:color w:val="auto"/>
              </w:rPr>
            </w:pPr>
            <w:r>
              <w:rPr>
                <w:rFonts w:ascii="Times New Roman" w:cs="Times New Roman" w:eastAsia="Times New Roman" w:hAnsi="Times New Roman"/>
                <w:sz w:val="17"/>
                <w:szCs w:val="17"/>
                <w:color w:val="auto"/>
                <w:w w:val="95"/>
              </w:rPr>
              <w:t>N/A</w:t>
            </w:r>
          </w:p>
        </w:tc>
        <w:tc>
          <w:tcPr>
            <w:tcW w:w="60" w:type="dxa"/>
            <w:vAlign w:val="bottom"/>
            <w:shd w:val="clear" w:color="auto" w:fill="C7EAF2"/>
          </w:tcPr>
          <w:p>
            <w:pPr>
              <w:spacing w:after="0"/>
              <w:rPr>
                <w:sz w:val="18"/>
                <w:szCs w:val="18"/>
                <w:color w:val="auto"/>
              </w:rPr>
            </w:pPr>
          </w:p>
        </w:tc>
        <w:tc>
          <w:tcPr>
            <w:tcW w:w="7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18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160" w:type="dxa"/>
            <w:vAlign w:val="bottom"/>
            <w:shd w:val="clear" w:color="auto" w:fill="C7EAF2"/>
          </w:tcPr>
          <w:p>
            <w:pPr>
              <w:spacing w:after="0"/>
              <w:rPr>
                <w:sz w:val="18"/>
                <w:szCs w:val="18"/>
                <w:color w:val="auto"/>
              </w:rPr>
            </w:pPr>
          </w:p>
        </w:tc>
        <w:tc>
          <w:tcPr>
            <w:tcW w:w="6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1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84"/>
                <w:shd w:val="clear" w:color="auto" w:fill="C7EAF2"/>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Tax expense</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w w:val="95"/>
              </w:rPr>
              <w:t>N/A</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20" w:type="dxa"/>
            <w:vAlign w:val="bottom"/>
            <w:tcBorders>
              <w:top w:val="single" w:sz="8" w:color="C7EAF2"/>
              <w:bottom w:val="single" w:sz="8" w:color="C7EAF2"/>
            </w:tcBorders>
            <w:shd w:val="clear" w:color="auto" w:fill="C7EAF2"/>
          </w:tcPr>
          <w:p>
            <w:pPr>
              <w:spacing w:after="0" w:line="201" w:lineRule="exact"/>
              <w:rPr>
                <w:sz w:val="20"/>
                <w:szCs w:val="20"/>
                <w:color w:val="auto"/>
              </w:rPr>
            </w:pPr>
            <w:r>
              <w:rPr>
                <w:rFonts w:ascii="Times New Roman" w:cs="Times New Roman" w:eastAsia="Times New Roman" w:hAnsi="Times New Roman"/>
                <w:sz w:val="19"/>
                <w:szCs w:val="19"/>
                <w:color w:val="auto"/>
              </w:rPr>
              <w:t>Loss for the year, after tax</w:t>
            </w:r>
          </w:p>
        </w:tc>
        <w:tc>
          <w:tcPr>
            <w:tcW w:w="720" w:type="dxa"/>
            <w:vAlign w:val="bottom"/>
            <w:tcBorders>
              <w:top w:val="single" w:sz="8" w:color="C7EAF2"/>
              <w:bottom w:val="single" w:sz="8" w:color="C7EAF2"/>
            </w:tcBorders>
            <w:shd w:val="clear" w:color="auto" w:fill="C7EAF2"/>
          </w:tcPr>
          <w:p>
            <w:pPr>
              <w:spacing w:after="0"/>
              <w:rPr>
                <w:sz w:val="17"/>
                <w:szCs w:val="17"/>
                <w:color w:val="auto"/>
              </w:rPr>
            </w:pPr>
          </w:p>
        </w:tc>
        <w:tc>
          <w:tcPr>
            <w:tcW w:w="7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$ 109,569</w:t>
            </w:r>
          </w:p>
        </w:tc>
        <w:tc>
          <w:tcPr>
            <w:tcW w:w="20" w:type="dxa"/>
            <w:vAlign w:val="bottom"/>
            <w:tcBorders>
              <w:top w:val="single" w:sz="8" w:color="C7EAF2"/>
              <w:bottom w:val="single" w:sz="8" w:color="C7EAF2"/>
            </w:tcBorders>
            <w:shd w:val="clear" w:color="auto" w:fill="C7EAF2"/>
          </w:tcPr>
          <w:p>
            <w:pPr>
              <w:spacing w:after="0"/>
              <w:rPr>
                <w:sz w:val="17"/>
                <w:szCs w:val="17"/>
                <w:color w:val="auto"/>
              </w:rPr>
            </w:pPr>
          </w:p>
        </w:tc>
        <w:tc>
          <w:tcPr>
            <w:tcW w:w="160" w:type="dxa"/>
            <w:vAlign w:val="bottom"/>
            <w:tcBorders>
              <w:top w:val="single" w:sz="8" w:color="C7EAF2"/>
              <w:bottom w:val="single" w:sz="8" w:color="C7EAF2"/>
            </w:tcBorders>
            <w:shd w:val="clear" w:color="auto" w:fill="C7EAF2"/>
          </w:tcPr>
          <w:p>
            <w:pPr>
              <w:spacing w:after="0"/>
              <w:rPr>
                <w:sz w:val="17"/>
                <w:szCs w:val="17"/>
                <w:color w:val="auto"/>
              </w:rPr>
            </w:pPr>
          </w:p>
        </w:tc>
        <w:tc>
          <w:tcPr>
            <w:tcW w:w="10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19,798</w:t>
            </w:r>
          </w:p>
        </w:tc>
        <w:tc>
          <w:tcPr>
            <w:tcW w:w="100" w:type="dxa"/>
            <w:vAlign w:val="bottom"/>
            <w:tcBorders>
              <w:top w:val="single" w:sz="8" w:color="C7EAF2"/>
              <w:bottom w:val="single" w:sz="8" w:color="C7EAF2"/>
            </w:tcBorders>
            <w:shd w:val="clear" w:color="auto" w:fill="C7EAF2"/>
          </w:tcPr>
          <w:p>
            <w:pPr>
              <w:spacing w:after="0"/>
              <w:rPr>
                <w:sz w:val="17"/>
                <w:szCs w:val="17"/>
                <w:color w:val="auto"/>
              </w:rPr>
            </w:pPr>
          </w:p>
        </w:tc>
        <w:tc>
          <w:tcPr>
            <w:tcW w:w="80" w:type="dxa"/>
            <w:vAlign w:val="bottom"/>
            <w:tcBorders>
              <w:top w:val="single" w:sz="8" w:color="C7EAF2"/>
              <w:bottom w:val="single" w:sz="8" w:color="C7EAF2"/>
            </w:tcBorders>
            <w:shd w:val="clear" w:color="auto" w:fill="C7EAF2"/>
          </w:tcPr>
          <w:p>
            <w:pPr>
              <w:spacing w:after="0"/>
              <w:rPr>
                <w:sz w:val="17"/>
                <w:szCs w:val="17"/>
                <w:color w:val="auto"/>
              </w:rPr>
            </w:pPr>
          </w:p>
        </w:tc>
        <w:tc>
          <w:tcPr>
            <w:tcW w:w="280" w:type="dxa"/>
            <w:vAlign w:val="bottom"/>
            <w:tcBorders>
              <w:top w:val="single" w:sz="8" w:color="auto"/>
              <w:bottom w:val="single" w:sz="8" w:color="auto"/>
            </w:tcBorders>
            <w:shd w:val="clear" w:color="auto" w:fill="C7EAF2"/>
          </w:tcPr>
          <w:p>
            <w:pPr>
              <w:spacing w:after="0"/>
              <w:rPr>
                <w:sz w:val="17"/>
                <w:szCs w:val="17"/>
                <w:color w:val="auto"/>
              </w:rPr>
            </w:pPr>
          </w:p>
        </w:tc>
        <w:tc>
          <w:tcPr>
            <w:tcW w:w="3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240" w:type="dxa"/>
            <w:vAlign w:val="bottom"/>
            <w:tcBorders>
              <w:top w:val="single" w:sz="8" w:color="C7EAF2"/>
              <w:bottom w:val="single" w:sz="8" w:color="C7EAF2"/>
            </w:tcBorders>
            <w:gridSpan w:val="2"/>
            <w:shd w:val="clear" w:color="auto" w:fill="C7EAF2"/>
          </w:tcPr>
          <w:p>
            <w:pPr>
              <w:jc w:val="right"/>
              <w:ind w:right="100"/>
              <w:spacing w:after="0"/>
              <w:rPr>
                <w:sz w:val="20"/>
                <w:szCs w:val="20"/>
                <w:color w:val="auto"/>
              </w:rPr>
            </w:pPr>
            <w:r>
              <w:rPr>
                <w:rFonts w:ascii="Times New Roman" w:cs="Times New Roman" w:eastAsia="Times New Roman" w:hAnsi="Times New Roman"/>
                <w:sz w:val="17"/>
                <w:szCs w:val="17"/>
                <w:color w:val="auto"/>
                <w:w w:val="84"/>
              </w:rPr>
              <w:t>%</w:t>
            </w:r>
          </w:p>
        </w:tc>
        <w:tc>
          <w:tcPr>
            <w:tcW w:w="7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9"/>
                <w:shd w:val="clear" w:color="auto" w:fill="C7EAF2"/>
              </w:rPr>
              <w:t>$ 170,964</w:t>
            </w:r>
          </w:p>
        </w:tc>
        <w:tc>
          <w:tcPr>
            <w:tcW w:w="180" w:type="dxa"/>
            <w:vAlign w:val="bottom"/>
            <w:tcBorders>
              <w:top w:val="single" w:sz="8" w:color="C7EAF2"/>
              <w:bottom w:val="single" w:sz="8" w:color="C7EAF2"/>
            </w:tcBorders>
            <w:shd w:val="clear" w:color="auto" w:fill="C7EAF2"/>
          </w:tcPr>
          <w:p>
            <w:pPr>
              <w:spacing w:after="0"/>
              <w:rPr>
                <w:sz w:val="17"/>
                <w:szCs w:val="17"/>
                <w:color w:val="auto"/>
              </w:rPr>
            </w:pPr>
          </w:p>
        </w:tc>
        <w:tc>
          <w:tcPr>
            <w:tcW w:w="12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141,299</w:t>
            </w:r>
          </w:p>
        </w:tc>
        <w:tc>
          <w:tcPr>
            <w:tcW w:w="160" w:type="dxa"/>
            <w:vAlign w:val="bottom"/>
            <w:tcBorders>
              <w:top w:val="single" w:sz="8" w:color="C7EAF2"/>
              <w:bottom w:val="single" w:sz="8" w:color="C7EAF2"/>
            </w:tcBorders>
            <w:shd w:val="clear" w:color="auto" w:fill="C7EAF2"/>
          </w:tcPr>
          <w:p>
            <w:pPr>
              <w:spacing w:after="0"/>
              <w:rPr>
                <w:sz w:val="17"/>
                <w:szCs w:val="17"/>
                <w:color w:val="auto"/>
              </w:rPr>
            </w:pPr>
          </w:p>
        </w:tc>
        <w:tc>
          <w:tcPr>
            <w:tcW w:w="20" w:type="dxa"/>
            <w:vAlign w:val="bottom"/>
            <w:tcBorders>
              <w:top w:val="single" w:sz="8" w:color="C7EAF2"/>
              <w:bottom w:val="single" w:sz="8" w:color="C7EAF2"/>
            </w:tcBorders>
            <w:shd w:val="clear" w:color="auto" w:fill="C7EAF2"/>
          </w:tcPr>
          <w:p>
            <w:pPr>
              <w:spacing w:after="0"/>
              <w:rPr>
                <w:sz w:val="17"/>
                <w:szCs w:val="17"/>
                <w:color w:val="auto"/>
              </w:rPr>
            </w:pPr>
          </w:p>
        </w:tc>
        <w:tc>
          <w:tcPr>
            <w:tcW w:w="64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tcBorders>
              <w:top w:val="single" w:sz="8" w:color="C7EAF2"/>
              <w:bottom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84"/>
                <w:shd w:val="clear" w:color="auto" w:fill="C7EAF2"/>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Full Year 2022 compared to Full Year 2021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Exploration and Evaluation Expenses</w:t>
      </w:r>
    </w:p>
    <w:p>
      <w:pPr>
        <w:spacing w:after="0" w:line="218"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Exploration and evaluation expenses for the year ended December 31, 2022 were $144.6 million, compared to $93.0 million for the year ended December 31, 2021. The increase of $51.6 million was primarily due to the increased work and completion of the PMTS in November 2022, which included the recognition of the grant date value of the Allseas Warrant of $69.9 million which became exercisable with the completion of the PMTS. The increase in 2022 was partially offset by a decrease in expenses associated with environmental studies of $2.2 million, due to the completion of the NORI Area D environmental baseline campaigns in the fourth quarter of 2021, and a reduction in share-based compensation of $18.5 million, as a significant number of stock options were awarded in March 2021, in recognition of past services and in anticipation of the Business Combination, while no stock options were awarded in 2022. In 2021, offshore campaign costs in support of environmental studies included a fair value increase of $12.2 million that was recognized on the issuance of DeepGreen common shares to our former supplier Maersk Supply Service A/S (“Maersk”).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(“G&amp;A”) Expenses</w:t>
      </w:r>
    </w:p>
    <w:p>
      <w:pPr>
        <w:spacing w:after="0" w:line="21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G&amp;A expenses for the year ended December 31, 2022 were $29.5 million compared to $56.6 million in the prior year. The decrease of $27.1 million in G&amp;A in 2022 was mainly as a result of lower share-based compensation in 2022 of $24.8 million, as 2021 included the award of a significant number of stock options in recognition of past services and in anticipation of the Business Combination. This decrease was partially offset by higher G&amp;A expenses in 2022, for personnel, legal and other expenses associated with being a public company. In addition, 2021 included higher expenses for consulting and communications related to the Business Combination.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During 2022, we earned interest of $1.1 million mainly from the investment of our cash on hand, as compared to 2021 where we recognized interest expense of $1.0 million mainly as a result of the issuance of 7% convertible debentures of $26.0 million during February 2021, prior to their conversion into our common shares in connection with the Business Combination.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77" name="Shape 3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77" o:spid="_x0000_s14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25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256">
                      <a:extLst>
                        <a:ext uri="{28A0092B-C50C-407E-A947-70E740481C1C}"/>
                      </a:extLst>
                    </a:blip>
                    <a:srcRect/>
                    <a:stretch>
                      <a:fillRect/>
                    </a:stretch>
                  </pic:blipFill>
                  <pic:spPr bwMode="auto">
                    <a:xfrm>
                      <a:off x="0" y="0"/>
                      <a:ext cx="5080" cy="13970"/>
                    </a:xfrm>
                    <a:prstGeom prst="rect">
                      <a:avLst/>
                    </a:prstGeom>
                    <a:noFill/>
                  </pic:spPr>
                </pic:pic>
              </a:graphicData>
            </a:graphic>
          </wp:anchor>
        </w:drawing>
        <w:t>Change in Fair Value of Warrants Liability</w:t>
      </w:r>
    </w:p>
    <w:p>
      <w:pPr>
        <w:spacing w:after="0" w:line="218"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Change in fair value of warrants liability primarily consists of the change in the fair value of the 9,500,000 Private Warrants. The credit recorded in both years reflects the decrease in the market price of our warrants.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which were converted into common shares as part of the Business Combination. In addition, on September 9, 2021, we completed the Business Combination with SOAC, and as a result we received gross proceeds of approximately $137.6 million. On August 12, 2022, we completed a private placement raising gross cash proceeds of $30.4 million (approximately $30 million net of transaction fees). As of December 31, 2022, we had cash on hand of $46.8 million.</w:t>
      </w:r>
    </w:p>
    <w:p>
      <w:pPr>
        <w:spacing w:after="0" w:line="171"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We received lower than expected cash proceeds upon closing of the Business Combination resulting from higher-than-expected redemptions of SOAC’s Class A ordinary shares and the default by certain PIPE investors in their funding obligations in connection with the closing of the Business Combination. As a result, we revised our work plan to focus on activities necessary to have an application ready for submission to the ISA in the second half of 2023 for an exploitation contract for the NORI Area D and stopped and/or deferred work and expenses associated with other activities.</w:t>
      </w:r>
    </w:p>
    <w:p>
      <w:pPr>
        <w:spacing w:after="0" w:line="16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Area D, and by negotiating the settlement of program expenditures with our equity whenever possible.</w:t>
      </w:r>
    </w:p>
    <w:p>
      <w:pPr>
        <w:spacing w:after="0" w:line="160"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in sufficient amounts, or at all.</w:t>
      </w:r>
    </w:p>
    <w:p>
      <w:pPr>
        <w:spacing w:after="0" w:line="171"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recently signed credit facility with Allseas, when compared with our forecasted cash expenditures, we believe we will have sufficient funds to meet our obligations that become due within the next twelve months. Our estimates used in reaching this conclusion are based on information available as at the date of filing this Annual Report on Form 10-K. Accordingly, actual results could differ from these estimates and resulting variances may result in our need for additional funding in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68"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In addition, we will need and are seeking additional financing to fund our continued operations. These financings could include additional public or private equity, debt financings, equity-linked financings or other sources of financing, including through non-dilutive asset, royalty or project-based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80" name="Shape 3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80" o:spid="_x0000_s14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115" w:name="page116"/>
    <w:bookmarkEnd w:id="115"/>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25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258">
                      <a:extLst>
                        <a:ext uri="{28A0092B-C50C-407E-A947-70E740481C1C}"/>
                      </a:extLst>
                    </a:blip>
                    <a:srcRect/>
                    <a:stretch>
                      <a:fillRect/>
                    </a:stretch>
                  </pic:blipFill>
                  <pic:spPr bwMode="auto">
                    <a:xfrm>
                      <a:off x="0" y="0"/>
                      <a:ext cx="5080" cy="13970"/>
                    </a:xfrm>
                    <a:prstGeom prst="rect">
                      <a:avLst/>
                    </a:prstGeom>
                    <a:noFill/>
                  </pic:spPr>
                </pic:pic>
              </a:graphicData>
            </a:graphic>
          </wp:anchor>
        </w:drawing>
        <w:t>On September 16, 2022, we filed a registration statement on Form S-3 with the Securities and Exchange Commission, which the SEC declared effective on October 14, 2022, to sell up to $100 million of securities, before any fees or expenses of the offering, which includes the $30 million that may be sold under the At-the-Market Equity Distribution Agreement discussed below. Securities that may be sold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65"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On December 22, 2022, we entered into an At-the-Market Equity Distribution Agreement with Stifel, Nicolaus &amp; Company, Incorporated and Wedbush Securities Inc., as sales agents, allowing us, from time to time, to issue and sell common shares with an aggregate offering price of up to $30 million. The offer and sales of the shares are made under our effective “shelf” registration statement on Form S-3 filed with the SEC on September 16, 2022, which the SEC declared effective on October 14, 2022. As of the date of this Annual Report on Form 10-K, no sales of common shares have been made under this offering.</w:t>
      </w:r>
    </w:p>
    <w:p>
      <w:pPr>
        <w:spacing w:after="0" w:line="165"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On March 22, 2023, we entered into a Credit Facility with Argentum Credit Virtuti GCV, the parent of Allseas Investments S.A. and an affiliate of Allseas, pursuant to which, we may borrow from the Lender up to $25,000,000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spacing w:after="0" w:line="171"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w:t>
      </w:r>
    </w:p>
    <w:p>
      <w:pPr>
        <w:spacing w:after="0" w:line="168" w:lineRule="exact"/>
        <w:rPr>
          <w:sz w:val="20"/>
          <w:szCs w:val="20"/>
          <w:color w:val="auto"/>
        </w:rPr>
      </w:pPr>
    </w:p>
    <w:p>
      <w:pPr>
        <w:jc w:val="both"/>
        <w:ind w:firstLine="310"/>
        <w:spacing w:after="0" w:line="258" w:lineRule="auto"/>
        <w:rPr>
          <w:sz w:val="20"/>
          <w:szCs w:val="20"/>
          <w:color w:val="auto"/>
        </w:rPr>
      </w:pPr>
      <w:r>
        <w:rPr>
          <w:rFonts w:ascii="Times New Roman" w:cs="Times New Roman" w:eastAsia="Times New Roman" w:hAnsi="Times New Roman"/>
          <w:sz w:val="17"/>
          <w:szCs w:val="17"/>
          <w:color w:val="auto"/>
        </w:rPr>
        <w:t>We expect our capital expenditures and working capital requirements to increase materially in the near future as NORI and TOML seek to obtain exploitation contracts, perform the required environmental studies, complete pre-feasibility and feasibility studies. We believe that our cash on hand and availability of borrowing under our recently entered into credit facility with Allseas will be sufficient to meet our working capital and capital expenditure requirements over the next twelve months. With these funds, we expect to be able to complete our assessment of the offshore environmental impacts based on data collected during our campaigns completed in 2022 and lodge our application in the second half of 2023 to move from exploration phase to exploitation phase. We may, however, need additional cash resources due to changes in business conditions or other developments, including, but not limited to, deferral of approvals, capital cost escalation, currently unrecognized technical and development challenges or changes in external business environment. To the extent that our current resources are insufficient to satisfy our cash requirements, we may need to seek additional equity, debt or other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Summary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Comparison of the Periods Ended December 31, 2022 and December 31, 2021</w:t>
      </w:r>
    </w:p>
    <w:p>
      <w:pPr>
        <w:spacing w:after="0" w:line="216"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following table summarizes our sources and uses of cash for the three months and years ended December 31, 2022 and December 31, 2021.</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16" w:name="page117"/>
    <w:bookmarkEnd w:id="116"/>
    <w:p>
      <w:pPr>
        <w:ind w:left="3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25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260">
                      <a:extLst>
                        <a:ext uri="{28A0092B-C50C-407E-A947-70E740481C1C}"/>
                      </a:extLst>
                    </a:blip>
                    <a:srcRect/>
                    <a:stretch>
                      <a:fillRect/>
                    </a:stretch>
                  </pic:blipFill>
                  <pic:spPr bwMode="auto">
                    <a:xfrm>
                      <a:off x="0" y="0"/>
                      <a:ext cx="5080" cy="13970"/>
                    </a:xfrm>
                    <a:prstGeom prst="rect">
                      <a:avLst/>
                    </a:prstGeom>
                    <a:noFill/>
                  </pic:spPr>
                </pic:pic>
              </a:graphicData>
            </a:graphic>
          </wp:anchor>
        </w:drawing>
        <w:t>Presented below is a summary of our operating, investing and financing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40" w:type="dxa"/>
            <w:vAlign w:val="bottom"/>
            <w:gridSpan w:val="6"/>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For the Year Ended</w:t>
            </w:r>
          </w:p>
        </w:tc>
        <w:tc>
          <w:tcPr>
            <w:tcW w:w="0" w:type="dxa"/>
            <w:vAlign w:val="bottom"/>
          </w:tcPr>
          <w:p>
            <w:pPr>
              <w:spacing w:after="0"/>
              <w:rPr>
                <w:sz w:val="1"/>
                <w:szCs w:val="1"/>
                <w:color w:val="auto"/>
              </w:rPr>
            </w:pPr>
          </w:p>
        </w:tc>
      </w:tr>
      <w:tr>
        <w:trPr>
          <w:trHeight w:val="234"/>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gridSpan w:val="5"/>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4"/>
          </w:tcPr>
          <w:p>
            <w:pPr>
              <w:jc w:val="right"/>
              <w:ind w:right="397"/>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136"/>
        </w:trPr>
        <w:tc>
          <w:tcPr>
            <w:tcW w:w="436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276"/>
              <w:spacing w:after="0" w:line="136"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97"/>
              <w:spacing w:after="0" w:line="136"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36"/>
              <w:spacing w:after="0" w:line="136"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37"/>
              <w:spacing w:after="0" w:line="136"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4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880" w:type="dxa"/>
            <w:vAlign w:val="bottom"/>
            <w:tcBorders>
              <w:top w:val="single" w:sz="8" w:color="C7EAF2"/>
            </w:tcBorders>
            <w:shd w:val="clear" w:color="auto" w:fill="C7EAF2"/>
          </w:tcPr>
          <w:p>
            <w:pPr>
              <w:spacing w:after="0"/>
              <w:rPr>
                <w:sz w:val="17"/>
                <w:szCs w:val="17"/>
                <w:color w:val="auto"/>
              </w:rPr>
            </w:pPr>
          </w:p>
        </w:tc>
        <w:tc>
          <w:tcPr>
            <w:tcW w:w="1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(19,877)</w:t>
            </w:r>
          </w:p>
        </w:tc>
        <w:tc>
          <w:tcPr>
            <w:tcW w:w="22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(27,753)</w:t>
            </w:r>
          </w:p>
        </w:tc>
        <w:tc>
          <w:tcPr>
            <w:tcW w:w="20" w:type="dxa"/>
            <w:vAlign w:val="bottom"/>
            <w:tcBorders>
              <w:top w:val="single" w:sz="8" w:color="auto"/>
            </w:tcBorders>
            <w:shd w:val="clear" w:color="auto" w:fill="C7EAF2"/>
          </w:tcPr>
          <w:p>
            <w:pPr>
              <w:spacing w:after="0"/>
              <w:rPr>
                <w:sz w:val="17"/>
                <w:szCs w:val="17"/>
                <w:color w:val="auto"/>
              </w:rPr>
            </w:pPr>
          </w:p>
        </w:tc>
        <w:tc>
          <w:tcPr>
            <w:tcW w:w="160" w:type="dxa"/>
            <w:vAlign w:val="bottom"/>
            <w:tcBorders>
              <w:top w:val="single" w:sz="8" w:color="C7EAF2"/>
            </w:tcBorders>
            <w:shd w:val="clear" w:color="auto" w:fill="C7EAF2"/>
          </w:tcPr>
          <w:p>
            <w:pPr>
              <w:spacing w:after="0"/>
              <w:rPr>
                <w:sz w:val="17"/>
                <w:szCs w:val="17"/>
                <w:color w:val="auto"/>
              </w:rPr>
            </w:pPr>
          </w:p>
        </w:tc>
        <w:tc>
          <w:tcPr>
            <w:tcW w:w="1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(66,637)</w:t>
            </w:r>
          </w:p>
        </w:tc>
        <w:tc>
          <w:tcPr>
            <w:tcW w:w="180" w:type="dxa"/>
            <w:vAlign w:val="bottom"/>
            <w:tcBorders>
              <w:top w:val="single" w:sz="8" w:color="C7EAF2"/>
            </w:tcBorders>
            <w:shd w:val="clear" w:color="auto" w:fill="C7EAF2"/>
          </w:tcPr>
          <w:p>
            <w:pPr>
              <w:spacing w:after="0"/>
              <w:rPr>
                <w:sz w:val="17"/>
                <w:szCs w:val="17"/>
                <w:color w:val="auto"/>
              </w:rPr>
            </w:pPr>
          </w:p>
        </w:tc>
        <w:tc>
          <w:tcPr>
            <w:tcW w:w="180" w:type="dxa"/>
            <w:vAlign w:val="bottom"/>
            <w:tcBorders>
              <w:top w:val="single" w:sz="8" w:color="auto"/>
            </w:tcBorders>
            <w:shd w:val="clear" w:color="auto" w:fill="C7EAF2"/>
          </w:tcPr>
          <w:p>
            <w:pPr>
              <w:jc w:val="right"/>
              <w:ind w:right="14"/>
              <w:spacing w:after="0"/>
              <w:rPr>
                <w:sz w:val="20"/>
                <w:szCs w:val="20"/>
                <w:color w:val="auto"/>
              </w:rPr>
            </w:pPr>
            <w:r>
              <w:rPr>
                <w:rFonts w:ascii="Times New Roman" w:cs="Times New Roman" w:eastAsia="Times New Roman" w:hAnsi="Times New Roman"/>
                <w:sz w:val="17"/>
                <w:szCs w:val="17"/>
                <w:color w:val="auto"/>
                <w:w w:val="70"/>
                <w:shd w:val="clear" w:color="auto" w:fill="C7EAF2"/>
              </w:rPr>
              <w:t>$</w:t>
            </w:r>
          </w:p>
        </w:tc>
        <w:tc>
          <w:tcPr>
            <w:tcW w:w="7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shd w:val="clear" w:color="auto" w:fill="C7EAF2"/>
              </w:rPr>
              <w:t>(56,092)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180" w:type="dxa"/>
            <w:vAlign w:val="bottom"/>
          </w:tcPr>
          <w:p>
            <w:pPr>
              <w:spacing w:after="0"/>
              <w:rPr>
                <w:sz w:val="18"/>
                <w:szCs w:val="18"/>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4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02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34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7EAF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29,722</w:t>
            </w:r>
          </w:p>
        </w:tc>
        <w:tc>
          <w:tcPr>
            <w:tcW w:w="180" w:type="dxa"/>
            <w:vAlign w:val="bottom"/>
            <w:shd w:val="clear" w:color="auto" w:fill="C7EAF2"/>
          </w:tcPr>
          <w:p>
            <w:pPr>
              <w:spacing w:after="0"/>
              <w:rPr>
                <w:sz w:val="18"/>
                <w:szCs w:val="18"/>
                <w:color w:val="auto"/>
              </w:rPr>
            </w:pPr>
          </w:p>
        </w:tc>
        <w:tc>
          <w:tcPr>
            <w:tcW w:w="180" w:type="dxa"/>
            <w:vAlign w:val="bottom"/>
            <w:shd w:val="clear" w:color="auto" w:fill="C7EAF2"/>
          </w:tcPr>
          <w:p>
            <w:pPr>
              <w:jc w:val="right"/>
              <w:ind w:right="14"/>
              <w:spacing w:after="0"/>
              <w:rPr>
                <w:sz w:val="20"/>
                <w:szCs w:val="20"/>
                <w:color w:val="auto"/>
              </w:rPr>
            </w:pPr>
            <w:r>
              <w:rPr>
                <w:rFonts w:ascii="Times New Roman" w:cs="Times New Roman" w:eastAsia="Times New Roman" w:hAnsi="Times New Roman"/>
                <w:sz w:val="17"/>
                <w:szCs w:val="17"/>
                <w:color w:val="auto"/>
                <w:w w:val="70"/>
                <w:shd w:val="clear" w:color="auto" w:fill="C7EAF2"/>
              </w:rPr>
              <w:t>$</w:t>
            </w:r>
          </w:p>
        </w:tc>
        <w:tc>
          <w:tcPr>
            <w:tcW w:w="7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shd w:val="clear" w:color="auto" w:fill="C7EAF2"/>
              </w:rPr>
              <w:t>134,701</w:t>
            </w:r>
          </w:p>
        </w:tc>
        <w:tc>
          <w:tcPr>
            <w:tcW w:w="0" w:type="dxa"/>
            <w:vAlign w:val="bottom"/>
          </w:tcPr>
          <w:p>
            <w:pPr>
              <w:spacing w:after="0"/>
              <w:rPr>
                <w:sz w:val="1"/>
                <w:szCs w:val="1"/>
                <w:color w:val="auto"/>
              </w:rPr>
            </w:pPr>
          </w:p>
        </w:tc>
      </w:tr>
      <w:tr>
        <w:trPr>
          <w:trHeight w:val="200"/>
        </w:trPr>
        <w:tc>
          <w:tcPr>
            <w:tcW w:w="4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Increase (decrease) in cash</w:t>
            </w:r>
          </w:p>
        </w:tc>
        <w:tc>
          <w:tcPr>
            <w:tcW w:w="8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(20,139)</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(27,753)</w:t>
            </w: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(38,084)</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Full Year 2022 compared to Full Year 2021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used in Operating Activities</w:t>
      </w:r>
    </w:p>
    <w:p>
      <w:pPr>
        <w:spacing w:after="0" w:line="218"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2022 was $66.6 million, attributable to a net loss of $171 million, a net change in net operating assets and liabilities of $17.8 million and non-cash adjustments of $86.5 million. Non-cash adjustments primarily consisted of $69.9 million from the vesting of the Allseas Warrant in November 2022 and $18.4 million of share-based payments related to the value of the incentive stock options and RSUs recognized during the year ended December 31, 2022. The change in our net operating assets and liabilities was primarily due to a $17 million increase in accounts payable and accrued liabilities due to the timing of payments.</w:t>
      </w:r>
    </w:p>
    <w:p>
      <w:pPr>
        <w:spacing w:after="0" w:line="166"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Net cash used in operating activities for the year ended December 31, 2021 was $56.1 million, attributable to a net loss of $141.3 million and a net change in net operating assets and liabilities of $18.6 million and non-cash adjustments of $66.6 million. Non-cash adjustments primarily consisted of $12.8 million for the value of shares issued to Maersk at the end of 2020 and $60.3 million of share-based payments related to the value of the incentive stock options and RSUs recognized during the year ended December 31, 2021. The change in our net operating assets and liabilities was primarily due to a $22.0 million increase in accounts payable and accrued liabilities due to the timing of payments.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used in Investing Activities</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Net cash used in investing activities for the year ended December 31, 2022 was $1.2 million for the purchase of equipment.</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Net cash used in investing activities for the year ended December 31, 2021 was $3.8 million and related to the payments made to Deep Sea Mining Finance Ltd., from whom we acquired TOML and other related entities for the deferred consideration that became due during the period.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provided by Financing Activities</w:t>
      </w:r>
    </w:p>
    <w:p>
      <w:pPr>
        <w:spacing w:after="0" w:line="218"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2022 was $29.7 million, primarily related to proceeds of $30.4 million from a private placement financing, less financing expenses.</w:t>
      </w:r>
    </w:p>
    <w:p>
      <w:pPr>
        <w:spacing w:after="0" w:line="137"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2021 was $134.7 million related to proceeds of $104.5 million from the Business Combination, proceeds of $26.0 million from the issuance of convertible debentures and $4.2 million from the exercise of incentive stock options.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26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262">
                      <a:extLst>
                        <a:ext uri="{28A0092B-C50C-407E-A947-70E740481C1C}"/>
                      </a:extLst>
                    </a:blip>
                    <a:srcRect/>
                    <a:stretch>
                      <a:fillRect/>
                    </a:stretch>
                  </pic:blipFill>
                  <pic:spPr bwMode="auto">
                    <a:xfrm>
                      <a:off x="0" y="0"/>
                      <a:ext cx="5080" cy="13970"/>
                    </a:xfrm>
                    <a:prstGeom prst="rect">
                      <a:avLst/>
                    </a:prstGeom>
                    <a:noFill/>
                  </pic:spPr>
                </pic:pic>
              </a:graphicData>
            </a:graphic>
          </wp:anchor>
        </w:drawing>
        <w:t>Contractual Obligations and Commitments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NORI Exploration Contract</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part of the NORI Exploration Contract with the ISA, NORI submitted a periodic review report to the ISA in 2021, covering the</w:t>
      </w:r>
    </w:p>
    <w:p>
      <w:pPr>
        <w:spacing w:after="0" w:line="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2017-2021 period. The periodic review report, which included a proposed work plan and estimated budget for 2022 to 2026, has been reviewed by and agreed with the ISA, and we are implementing the next five-year plan. NORI has estimated its work plan for 2023 to be approximately $25 million,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us, agreed with the ISA and may be subject to change depending on our progress to date.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Marawa Option Agreement and Services Agreement</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As part of DGE’s Marawa Option Agreement and Services Agreement with Marawa with respect to the Marawa Area, Marawa committed to spend a defined amount of funds on exploration activities on an annual basis. The commitment for fiscal 2023 and 2024 is Australian dollar (“AUD”) $3 million and AUD $2 million, respectively. Such commitment is negotiated with the ISA for five-year plans and is subject to regular periodic reviews. To date, limited offshore marine resource definition activities in the Marawa Contract Area have occurred. We expect to collaborate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TOML Exploration Contract</w:t>
      </w:r>
    </w:p>
    <w:p>
      <w:pPr>
        <w:spacing w:after="0" w:line="218" w:lineRule="exact"/>
        <w:rPr>
          <w:sz w:val="20"/>
          <w:szCs w:val="20"/>
          <w:color w:val="auto"/>
        </w:rPr>
      </w:pPr>
    </w:p>
    <w:p>
      <w:pPr>
        <w:jc w:val="both"/>
        <w:ind w:firstLine="310"/>
        <w:spacing w:after="0" w:line="260" w:lineRule="auto"/>
        <w:rPr>
          <w:sz w:val="20"/>
          <w:szCs w:val="20"/>
          <w:color w:val="auto"/>
        </w:rPr>
      </w:pPr>
      <w:r>
        <w:rPr>
          <w:rFonts w:ascii="Times New Roman" w:cs="Times New Roman" w:eastAsia="Times New Roman" w:hAnsi="Times New Roman"/>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The five-year period ending in 2021 included activities of both TOML (from its acquisition in 2020) and its predecessor. Although the stated program objectives from 2017-2021 were not achieved by the contractors, the ISA accepted TOML’s submission and explanations, and agreed on the path forward.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Obligations Relating to Exploration Contracts</w:t>
      </w:r>
    </w:p>
    <w:p>
      <w:pPr>
        <w:spacing w:after="0" w:line="218"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Sponsorship Agreements</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w:t>
      </w:r>
    </w:p>
    <w:p>
      <w:pPr>
        <w:sectPr>
          <w:pgSz w:w="12240" w:h="15840" w:orient="portrait"/>
          <w:cols w:equalWidth="0" w:num="1">
            <w:col w:w="9620"/>
          </w:cols>
          <w:pgMar w:left="1320" w:top="1334" w:right="130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type w:val="continuous"/>
        </w:sectPr>
      </w:pPr>
    </w:p>
    <w:bookmarkStart w:id="118" w:name="page119"/>
    <w:bookmarkEnd w:id="118"/>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26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264">
                      <a:extLst>
                        <a:ext uri="{28A0092B-C50C-407E-A947-70E740481C1C}"/>
                      </a:extLst>
                    </a:blip>
                    <a:srcRect/>
                    <a:stretch>
                      <a:fillRect/>
                    </a:stretch>
                  </pic:blipFill>
                  <pic:spPr bwMode="auto">
                    <a:xfrm>
                      <a:off x="0" y="0"/>
                      <a:ext cx="5080" cy="13970"/>
                    </a:xfrm>
                    <a:prstGeom prst="rect">
                      <a:avLst/>
                    </a:prstGeom>
                    <a:noFill/>
                  </pic:spPr>
                </pic:pic>
              </a:graphicData>
            </a:graphic>
          </wp:anchor>
        </w:drawing>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Allseas Agreements</w:t>
      </w:r>
    </w:p>
    <w:p>
      <w:pPr>
        <w:spacing w:after="0" w:line="218" w:lineRule="exact"/>
        <w:rPr>
          <w:sz w:val="20"/>
          <w:szCs w:val="20"/>
          <w:color w:val="auto"/>
        </w:rPr>
      </w:pPr>
    </w:p>
    <w:p>
      <w:pPr>
        <w:jc w:val="both"/>
        <w:ind w:firstLine="312"/>
        <w:spacing w:after="0" w:line="261" w:lineRule="auto"/>
        <w:rPr>
          <w:sz w:val="20"/>
          <w:szCs w:val="20"/>
          <w:color w:val="auto"/>
        </w:rPr>
      </w:pPr>
      <w:r>
        <w:rPr>
          <w:rFonts w:ascii="Times New Roman" w:cs="Times New Roman" w:eastAsia="Times New Roman" w:hAnsi="Times New Roman"/>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1"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will not have to make any payments related to the commercial system to Allseas until March 31, 2023. Once in production, NORI expected to pay Allseas a nodule collection and transshipment fee estimated at approximately EUR 150 per wet tonne in the first year of operations and expected to be reduced by more than 20% in the following years as Allseas scaled up production to at least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a further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Through December 31, 2022,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and (d) $10 million in cash in October 2021, following the closing of the Business Combination and meeting certain progress targets on the PMTS.</w:t>
      </w:r>
    </w:p>
    <w:p>
      <w:pPr>
        <w:spacing w:after="0" w:line="160"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On November 11, 2022, the Board approved the successful completion and testing of the PMTS in the NORI Area D and payment of the third milestone amounting to $10 million by issuing 10 million shares to Allseas on February 23, 2023. In relation to the third milestone payment, we have recorded a charge amounting to $8.7 million based on the fair market value of our shares on November 11, 2022. We also issued 850,000 common shares at the same time as payment of additional costs owed Allseas under the PMTA.</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26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266">
                      <a:extLst>
                        <a:ext uri="{28A0092B-C50C-407E-A947-70E740481C1C}"/>
                      </a:extLst>
                    </a:blip>
                    <a:srcRect/>
                    <a:stretch>
                      <a:fillRect/>
                    </a:stretch>
                  </pic:blipFill>
                  <pic:spPr bwMode="auto">
                    <a:xfrm>
                      <a:off x="0" y="0"/>
                      <a:ext cx="5080" cy="13970"/>
                    </a:xfrm>
                    <a:prstGeom prst="rect">
                      <a:avLst/>
                    </a:prstGeom>
                    <a:noFill/>
                  </pic:spPr>
                </pic:pic>
              </a:graphicData>
            </a:graphic>
          </wp:anchor>
        </w:drawing>
        <w:t>Offtake Agreement</w:t>
      </w:r>
    </w:p>
    <w:p>
      <w:pPr>
        <w:spacing w:after="0" w:line="218"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6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As described above, on March 22, 2023 we entered into the Credit Facility under which we may borrow up to $25 million pursuant to the terms and conditions of the Credit Facility.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not party to any off-balance sheet arrangements.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Our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w:t>
      </w:r>
    </w:p>
    <w:p>
      <w:pPr>
        <w:spacing w:after="0" w:line="160" w:lineRule="exact"/>
        <w:rPr>
          <w:sz w:val="20"/>
          <w:szCs w:val="20"/>
          <w:color w:val="auto"/>
        </w:rPr>
      </w:pPr>
    </w:p>
    <w:p>
      <w:pPr>
        <w:jc w:val="both"/>
        <w:ind w:firstLine="311"/>
        <w:spacing w:after="0" w:line="267" w:lineRule="auto"/>
        <w:rPr>
          <w:sz w:val="20"/>
          <w:szCs w:val="20"/>
          <w:color w:val="auto"/>
        </w:rPr>
      </w:pPr>
      <w:r>
        <w:rPr>
          <w:rFonts w:ascii="Times New Roman" w:cs="Times New Roman" w:eastAsia="Times New Roman" w:hAnsi="Times New Roman"/>
          <w:sz w:val="17"/>
          <w:szCs w:val="17"/>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 Note 2 to our audited consolidated financial statements included in this Annual Report on Form 10-K. We have the critical accounting policies and estimates which are described below.</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Value of Common Share-Based Payments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recognize the cost of share-based awards granted to employees and directors based on the estimated grant-date fair value of the awards. We determine the fair value of stock options using the Black-Scholes option pricing model, which is impacted by the following assumptions:</w:t>
      </w:r>
    </w:p>
    <w:p>
      <w:pPr>
        <w:spacing w:after="0" w:line="155" w:lineRule="exact"/>
        <w:rPr>
          <w:sz w:val="20"/>
          <w:szCs w:val="20"/>
          <w:color w:val="auto"/>
        </w:rPr>
      </w:pPr>
    </w:p>
    <w:p>
      <w:pPr>
        <w:ind w:left="660" w:hanging="315"/>
        <w:spacing w:after="0" w:line="299" w:lineRule="auto"/>
        <w:tabs>
          <w:tab w:leader="none" w:pos="661"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Common Shares on the Date of the Grant — We used the price of the most recent private placements to assess the value of our shares on the date of the grant of incentive stock options.</w:t>
      </w:r>
    </w:p>
    <w:p>
      <w:pPr>
        <w:spacing w:after="0" w:line="135"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Term — We used the term of the award when calculating the expected term due to insufficient historical exercise data.</w:t>
      </w:r>
    </w:p>
    <w:p>
      <w:pPr>
        <w:spacing w:after="0" w:line="219" w:lineRule="exact"/>
        <w:rPr>
          <w:rFonts w:ascii="Times New Roman" w:cs="Times New Roman" w:eastAsia="Times New Roman" w:hAnsi="Times New Roman"/>
          <w:sz w:val="17"/>
          <w:szCs w:val="17"/>
          <w:color w:val="auto"/>
        </w:rPr>
      </w:pPr>
    </w:p>
    <w:p>
      <w:pPr>
        <w:ind w:left="660" w:hanging="314"/>
        <w:spacing w:after="0" w:line="298" w:lineRule="auto"/>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 — As our common shares were not actively traded, the volatility is based on a benchmark of comparable companies within the mining industry.</w:t>
      </w:r>
    </w:p>
    <w:p>
      <w:pPr>
        <w:spacing w:after="0" w:line="136" w:lineRule="exact"/>
        <w:rPr>
          <w:rFonts w:ascii="Times New Roman" w:cs="Times New Roman" w:eastAsia="Times New Roman" w:hAnsi="Times New Roman"/>
          <w:sz w:val="17"/>
          <w:szCs w:val="17"/>
          <w:color w:val="auto"/>
        </w:rPr>
      </w:pPr>
    </w:p>
    <w:p>
      <w:pPr>
        <w:ind w:left="660" w:hanging="315"/>
        <w:spacing w:after="0" w:line="298" w:lineRule="auto"/>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Dividend Yield — The dividend rate used is zero as we have never paid any cash dividends on our common shares and do not anticipate doing so in the foreseeable future.</w:t>
      </w:r>
    </w:p>
    <w:p>
      <w:pPr>
        <w:spacing w:after="0" w:line="136" w:lineRule="exact"/>
        <w:rPr>
          <w:rFonts w:ascii="Times New Roman" w:cs="Times New Roman" w:eastAsia="Times New Roman" w:hAnsi="Times New Roman"/>
          <w:sz w:val="17"/>
          <w:szCs w:val="17"/>
          <w:color w:val="auto"/>
        </w:rPr>
      </w:pPr>
    </w:p>
    <w:p>
      <w:pPr>
        <w:ind w:left="660" w:right="20" w:hanging="314"/>
        <w:spacing w:after="0" w:line="298" w:lineRule="auto"/>
        <w:tabs>
          <w:tab w:leader="none" w:pos="6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 — The interest rates used are based on the implied yield available on Canadian Treasury zero-coupon issues with an equivalent remaining term equal to the expected life of the award.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120" w:name="page121"/>
    <w:bookmarkEnd w:id="120"/>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26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268">
                      <a:extLst>
                        <a:ext uri="{28A0092B-C50C-407E-A947-70E740481C1C}"/>
                      </a:extLst>
                    </a:blip>
                    <a:srcRect/>
                    <a:stretch>
                      <a:fillRect/>
                    </a:stretch>
                  </pic:blipFill>
                  <pic:spPr bwMode="auto">
                    <a:xfrm>
                      <a:off x="0" y="0"/>
                      <a:ext cx="5080" cy="13970"/>
                    </a:xfrm>
                    <a:prstGeom prst="rect">
                      <a:avLst/>
                    </a:prstGeom>
                    <a:noFill/>
                  </pic:spPr>
                </pic:pic>
              </a:graphicData>
            </a:graphic>
          </wp:anchor>
        </w:drawing>
        <w:t>This valuation approach involves the use of estimates, judgments and assumptions that are subjective, such as those regarding the probability of future events. Changes in these estimates and assumptions impact our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our loss and comprehensive loss.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Warrants Liability</w:t>
      </w:r>
    </w:p>
    <w:p>
      <w:pPr>
        <w:spacing w:after="0" w:line="218"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We re-measure the fair value of the Private Warrants at the end of each reporting period. The fair value of the Private Warrants is estimated using a Black-Scholes option pricing model whereby the expected volatility is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Going Concern</w:t>
      </w:r>
    </w:p>
    <w:p>
      <w:pPr>
        <w:spacing w:after="0" w:line="218"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We assess quarterly whether the Company has the ability to meets its committed cash requirements for the next twelve months and continue to operate as a going concern. This assessment requires the use of forecasts of our business activities and related estimates of future cost obligations which can be subject to change. Changes in these assumptions could have a material impact on our assessment and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See Note 3 to the audited consolidated financial statements included in this Annual Report on Form 10-K for more information about recent accounting pronouncements, the timing of their adoption, and our assessment, to the extent we have made one, of their potential impact on our financial condition and our results of operations and 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22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65"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2023 fiscal year and we expect to continue to take advantage of the benefits of the extended transition period at least through the end of the 2023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 and Credit Risk</w:t>
      </w:r>
    </w:p>
    <w:p>
      <w:pPr>
        <w:spacing w:after="0" w:line="22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Interest rate risk is the risk that the fair value of our future cash flows and our financial instruments will fluctuate because of changes in market interest rates.</w:t>
      </w:r>
    </w:p>
    <w:p>
      <w:pPr>
        <w:sectPr>
          <w:pgSz w:w="12240" w:h="15840" w:orient="portrait"/>
          <w:cols w:equalWidth="0" w:num="1">
            <w:col w:w="9620"/>
          </w:cols>
          <w:pgMar w:left="1320" w:top="1337" w:right="1300" w:bottom="144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367030</wp:posOffset>
                </wp:positionV>
                <wp:extent cx="6110605"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9pt" to="481.3pt,28.9pt" o:allowincell="f" strokecolor="#000000" strokeweight="1.295pt"/>
            </w:pict>
          </mc:Fallback>
        </mc:AlternateContent>
      </w:r>
    </w:p>
    <w:p>
      <w:pPr>
        <w:sectPr>
          <w:pgSz w:w="12240" w:h="15840" w:orient="portrait"/>
          <w:cols w:equalWidth="0" w:num="1">
            <w:col w:w="9620"/>
          </w:cols>
          <w:pgMar w:left="1320" w:top="1337" w:right="1300" w:bottom="1440" w:gutter="0" w:footer="0" w:header="0"/>
          <w:type w:val="continuous"/>
        </w:sectPr>
      </w:pPr>
    </w:p>
    <w:bookmarkStart w:id="121" w:name="page122"/>
    <w:bookmarkEnd w:id="121"/>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26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270">
                      <a:extLst>
                        <a:ext uri="{28A0092B-C50C-407E-A947-70E740481C1C}"/>
                      </a:extLst>
                    </a:blip>
                    <a:srcRect/>
                    <a:stretch>
                      <a:fillRect/>
                    </a:stretch>
                  </pic:blipFill>
                  <pic:spPr bwMode="auto">
                    <a:xfrm>
                      <a:off x="0" y="0"/>
                      <a:ext cx="5080" cy="13970"/>
                    </a:xfrm>
                    <a:prstGeom prst="rect">
                      <a:avLst/>
                    </a:prstGeom>
                    <a:noFill/>
                  </pic:spPr>
                </pic:pic>
              </a:graphicData>
            </a:graphic>
          </wp:anchor>
        </w:drawing>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December 31, 2022.</w:t>
      </w:r>
    </w:p>
    <w:p>
      <w:pPr>
        <w:spacing w:after="0" w:line="16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Foreign currency risk is the risk that the fair value or future cash flows of an exposure will fluctuate because of changes in foreign exchange rates. Our exposure to the risk of changes in foreign exchange rates relates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60"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Price Risk</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expect to engage in the collection, transport, processing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800" w:type="dxa"/>
            <w:vAlign w:val="bottom"/>
            <w:gridSpan w:val="3"/>
          </w:tcPr>
          <w:p>
            <w:pPr>
              <w:jc w:val="center"/>
              <w:ind w:left="694"/>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tc>
        <w:tc>
          <w:tcPr>
            <w:tcW w:w="800" w:type="dxa"/>
            <w:vAlign w:val="bottom"/>
          </w:tcPr>
          <w:p>
            <w:pPr>
              <w:spacing w:after="0"/>
              <w:rPr>
                <w:sz w:val="20"/>
                <w:szCs w:val="20"/>
                <w:color w:val="auto"/>
              </w:rPr>
            </w:pPr>
          </w:p>
        </w:tc>
      </w:tr>
      <w:tr>
        <w:trPr>
          <w:trHeight w:val="41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80" w:type="dxa"/>
            <w:vAlign w:val="bottom"/>
            <w:gridSpan w:val="2"/>
          </w:tcPr>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tc>
        <w:tc>
          <w:tcPr>
            <w:tcW w:w="80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Page</w:t>
            </w:r>
          </w:p>
        </w:tc>
      </w:tr>
      <w:tr>
        <w:trPr>
          <w:trHeight w:val="231"/>
        </w:trPr>
        <w:tc>
          <w:tcPr>
            <w:tcW w:w="88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Index to Financial Statements and Financial Statement Schedules</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Number</w:t>
            </w:r>
          </w:p>
        </w:tc>
      </w:tr>
      <w:tr>
        <w:trPr>
          <w:trHeight w:val="20"/>
        </w:trPr>
        <w:tc>
          <w:tcPr>
            <w:tcW w:w="2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408"/>
        </w:trPr>
        <w:tc>
          <w:tcPr>
            <w:tcW w:w="88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800" w:type="dxa"/>
            <w:vAlign w:val="bottom"/>
          </w:tcPr>
          <w:p>
            <w:pPr>
              <w:spacing w:after="0"/>
              <w:rPr>
                <w:sz w:val="24"/>
                <w:szCs w:val="24"/>
                <w:color w:val="auto"/>
              </w:rPr>
            </w:pPr>
          </w:p>
        </w:tc>
      </w:tr>
      <w:tr>
        <w:trPr>
          <w:trHeight w:val="390"/>
        </w:trPr>
        <w:tc>
          <w:tcPr>
            <w:tcW w:w="8820" w:type="dxa"/>
            <w:vAlign w:val="bottom"/>
            <w:gridSpan w:val="4"/>
          </w:tcPr>
          <w:p>
            <w:pPr>
              <w:spacing w:after="0"/>
              <w:rPr>
                <w:sz w:val="20"/>
                <w:szCs w:val="20"/>
                <w:color w:val="auto"/>
              </w:rPr>
            </w:pPr>
            <w:r>
              <w:rPr>
                <w:rFonts w:ascii="Times New Roman" w:cs="Times New Roman" w:eastAsia="Times New Roman" w:hAnsi="Times New Roman"/>
                <w:sz w:val="17"/>
                <w:szCs w:val="17"/>
                <w:u w:val="single" w:color="auto"/>
                <w:color w:val="010101"/>
              </w:rPr>
              <w:t>Report of Independent Registered Public Accounting Firm</w:t>
            </w:r>
            <w:r>
              <w:rPr>
                <w:rFonts w:ascii="Times New Roman" w:cs="Times New Roman" w:eastAsia="Times New Roman" w:hAnsi="Times New Roman"/>
                <w:sz w:val="17"/>
                <w:szCs w:val="17"/>
                <w:color w:val="010101"/>
              </w:rPr>
              <w:t xml:space="preserve"> </w:t>
            </w:r>
            <w:r>
              <w:rPr>
                <w:rFonts w:ascii="Times New Roman" w:cs="Times New Roman" w:eastAsia="Times New Roman" w:hAnsi="Times New Roman"/>
                <w:sz w:val="17"/>
                <w:szCs w:val="17"/>
                <w:color w:val="000000"/>
              </w:rPr>
              <w:t>(PCAOB ID: 1263)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07"/>
        </w:trPr>
        <w:tc>
          <w:tcPr>
            <w:tcW w:w="8820" w:type="dxa"/>
            <w:vAlign w:val="bottom"/>
            <w:gridSpan w:val="4"/>
          </w:tcPr>
          <w:p>
            <w:pPr>
              <w:spacing w:after="0"/>
              <w:rPr>
                <w:sz w:val="20"/>
                <w:szCs w:val="20"/>
                <w:color w:val="auto"/>
              </w:rPr>
            </w:pPr>
            <w:r>
              <w:rPr>
                <w:rFonts w:ascii="Times New Roman" w:cs="Times New Roman" w:eastAsia="Times New Roman" w:hAnsi="Times New Roman"/>
                <w:sz w:val="17"/>
                <w:szCs w:val="17"/>
                <w:u w:val="single" w:color="auto"/>
                <w:color w:val="010101"/>
              </w:rPr>
              <w:t>Consolidated Balance Sheets as at December 31, 2022 and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r>
      <w:tr>
        <w:trPr>
          <w:trHeight w:val="207"/>
        </w:trPr>
        <w:tc>
          <w:tcPr>
            <w:tcW w:w="8820" w:type="dxa"/>
            <w:vAlign w:val="bottom"/>
            <w:gridSpan w:val="4"/>
          </w:tcPr>
          <w:p>
            <w:pPr>
              <w:spacing w:after="0"/>
              <w:rPr>
                <w:sz w:val="20"/>
                <w:szCs w:val="20"/>
                <w:color w:val="auto"/>
              </w:rPr>
            </w:pPr>
            <w:r>
              <w:rPr>
                <w:rFonts w:ascii="Times New Roman" w:cs="Times New Roman" w:eastAsia="Times New Roman" w:hAnsi="Times New Roman"/>
                <w:sz w:val="17"/>
                <w:szCs w:val="17"/>
                <w:u w:val="single" w:color="auto"/>
                <w:color w:val="010101"/>
              </w:rPr>
              <w:t>Consolidated Statements of Loss and Comprehensive Loss for the Years Ended December 31, 2022 and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07"/>
        </w:trPr>
        <w:tc>
          <w:tcPr>
            <w:tcW w:w="8820" w:type="dxa"/>
            <w:vAlign w:val="bottom"/>
            <w:gridSpan w:val="4"/>
          </w:tcPr>
          <w:p>
            <w:pPr>
              <w:spacing w:after="0"/>
              <w:rPr>
                <w:sz w:val="20"/>
                <w:szCs w:val="20"/>
                <w:color w:val="auto"/>
              </w:rPr>
            </w:pPr>
            <w:r>
              <w:rPr>
                <w:rFonts w:ascii="Times New Roman" w:cs="Times New Roman" w:eastAsia="Times New Roman" w:hAnsi="Times New Roman"/>
                <w:sz w:val="17"/>
                <w:szCs w:val="17"/>
                <w:u w:val="single" w:color="auto"/>
                <w:color w:val="010101"/>
              </w:rPr>
              <w:t>Consolidated Statements of Changes in Equity for the Years Ended December 31, 2022 and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07"/>
        </w:trPr>
        <w:tc>
          <w:tcPr>
            <w:tcW w:w="8820" w:type="dxa"/>
            <w:vAlign w:val="bottom"/>
            <w:gridSpan w:val="4"/>
          </w:tcPr>
          <w:p>
            <w:pPr>
              <w:spacing w:after="0"/>
              <w:rPr>
                <w:sz w:val="20"/>
                <w:szCs w:val="20"/>
                <w:color w:val="auto"/>
              </w:rPr>
            </w:pPr>
            <w:r>
              <w:rPr>
                <w:rFonts w:ascii="Times New Roman" w:cs="Times New Roman" w:eastAsia="Times New Roman" w:hAnsi="Times New Roman"/>
                <w:sz w:val="17"/>
                <w:szCs w:val="17"/>
                <w:u w:val="single" w:color="auto"/>
                <w:color w:val="010101"/>
              </w:rPr>
              <w:t>Consolidated Statements of Cash Flows for the Years Ended December 31, 2022 and 2021</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192"/>
        </w:trPr>
        <w:tc>
          <w:tcPr>
            <w:tcW w:w="3040" w:type="dxa"/>
            <w:vAlign w:val="bottom"/>
            <w:tcBorders>
              <w:bottom w:val="single" w:sz="8" w:color="010101"/>
            </w:tcBorders>
            <w:gridSpan w:val="2"/>
          </w:tcPr>
          <w:p>
            <w:pPr>
              <w:spacing w:after="0" w:line="193" w:lineRule="exact"/>
              <w:rPr>
                <w:sz w:val="20"/>
                <w:szCs w:val="20"/>
                <w:color w:val="auto"/>
              </w:rPr>
            </w:pPr>
            <w:r>
              <w:rPr>
                <w:rFonts w:ascii="Times New Roman" w:cs="Times New Roman" w:eastAsia="Times New Roman" w:hAnsi="Times New Roman"/>
                <w:sz w:val="17"/>
                <w:szCs w:val="17"/>
                <w:color w:val="010101"/>
              </w:rPr>
              <w:t>Notes to Consolidated Financial Statements</w:t>
            </w:r>
          </w:p>
        </w:tc>
        <w:tc>
          <w:tcPr>
            <w:tcW w:w="5780" w:type="dxa"/>
            <w:vAlign w:val="bottom"/>
            <w:gridSpan w:val="2"/>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Times New Roman" w:cs="Times New Roman" w:eastAsia="Times New Roman" w:hAnsi="Times New Roman"/>
                <w:sz w:val="17"/>
                <w:szCs w:val="17"/>
                <w:color w:val="auto"/>
              </w:rPr>
              <w:t>119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27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272">
                      <a:extLst>
                        <a:ext uri="{28A0092B-C50C-407E-A947-70E740481C1C}"/>
                      </a:extLst>
                    </a:blip>
                    <a:srcRect/>
                    <a:stretch>
                      <a:fillRect/>
                    </a:stretch>
                  </pic:blipFill>
                  <pic:spPr bwMode="auto">
                    <a:xfrm>
                      <a:off x="0" y="0"/>
                      <a:ext cx="5080" cy="1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23" w:name="page124"/>
    <w:bookmarkEnd w:id="123"/>
    <w:p>
      <w:pPr>
        <w:ind w:left="18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27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274">
                      <a:extLst>
                        <a:ext uri="{28A0092B-C50C-407E-A947-70E740481C1C}"/>
                      </a:extLst>
                    </a:blip>
                    <a:srcRect/>
                    <a:stretch>
                      <a:fillRect/>
                    </a:stretch>
                  </pic:blipFill>
                  <pic:spPr bwMode="auto">
                    <a:xfrm>
                      <a:off x="0" y="0"/>
                      <a:ext cx="5080" cy="13970"/>
                    </a:xfrm>
                    <a:prstGeom prst="rect">
                      <a:avLst/>
                    </a:prstGeom>
                    <a:noFill/>
                  </pic:spPr>
                </pic:pic>
              </a:graphicData>
            </a:graphic>
          </wp:anchor>
        </w:drawing>
        <w:t>REPORT OF INDEPENDENT REGISTERED PUBLIC ACCOUNTING FIRM</w:t>
      </w:r>
    </w:p>
    <w:p>
      <w:pPr>
        <w:spacing w:after="0" w:line="21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To the Shareholders and the Board of Directors of TMC the metals company Inc.</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TMC the metals company Inc. (the “Company”) as of December 31, 2022 and 2021, the related consolidated statements of loss and comprehensive loss, changes in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U.S. generally accepted accounting principles.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Vancouver, Canada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2023</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27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276">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360" w:type="dxa"/>
            <w:vAlign w:val="bottom"/>
            <w:gridSpan w:val="3"/>
            <w:vMerge w:val="restart"/>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Note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1"/>
        </w:trPr>
        <w:tc>
          <w:tcPr>
            <w:tcW w:w="5540" w:type="dxa"/>
            <w:vAlign w:val="bottom"/>
            <w:gridSpan w:val="3"/>
            <w:vMerge w:val="continue"/>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2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200" w:type="dxa"/>
            <w:vAlign w:val="bottom"/>
            <w:tcBorders>
              <w:top w:val="single" w:sz="8" w:color="C7EAF2"/>
            </w:tcBorders>
            <w:shd w:val="clear" w:color="auto" w:fill="C7EAF2"/>
          </w:tcPr>
          <w:p>
            <w:pPr>
              <w:spacing w:after="0"/>
              <w:rPr>
                <w:sz w:val="17"/>
                <w:szCs w:val="17"/>
                <w:color w:val="auto"/>
              </w:rPr>
            </w:pPr>
          </w:p>
        </w:tc>
        <w:tc>
          <w:tcPr>
            <w:tcW w:w="860" w:type="dxa"/>
            <w:vAlign w:val="bottom"/>
            <w:tcBorders>
              <w:top w:val="single" w:sz="8" w:color="auto"/>
            </w:tcBorders>
            <w:shd w:val="clear" w:color="auto" w:fill="C7EAF2"/>
          </w:tcPr>
          <w:p>
            <w:pPr>
              <w:spacing w:after="0"/>
              <w:rPr>
                <w:sz w:val="17"/>
                <w:szCs w:val="17"/>
                <w:color w:val="auto"/>
              </w:rPr>
            </w:pPr>
          </w:p>
        </w:tc>
        <w:tc>
          <w:tcPr>
            <w:tcW w:w="200" w:type="dxa"/>
            <w:vAlign w:val="bottom"/>
            <w:tcBorders>
              <w:top w:val="single" w:sz="8" w:color="C7EAF2"/>
            </w:tcBorders>
            <w:shd w:val="clear" w:color="auto" w:fill="C7EAF2"/>
          </w:tcPr>
          <w:p>
            <w:pPr>
              <w:spacing w:after="0"/>
              <w:rPr>
                <w:sz w:val="17"/>
                <w:szCs w:val="17"/>
                <w:color w:val="auto"/>
              </w:rPr>
            </w:pPr>
          </w:p>
        </w:tc>
        <w:tc>
          <w:tcPr>
            <w:tcW w:w="300" w:type="dxa"/>
            <w:vAlign w:val="bottom"/>
            <w:tcBorders>
              <w:top w:val="single" w:sz="8" w:color="auto"/>
            </w:tcBorders>
            <w:shd w:val="clear" w:color="auto" w:fill="C7EAF2"/>
          </w:tcPr>
          <w:p>
            <w:pPr>
              <w:spacing w:after="0"/>
              <w:rPr>
                <w:sz w:val="17"/>
                <w:szCs w:val="17"/>
                <w:color w:val="auto"/>
              </w:rPr>
            </w:pPr>
          </w:p>
        </w:tc>
        <w:tc>
          <w:tcPr>
            <w:tcW w:w="1100" w:type="dxa"/>
            <w:vAlign w:val="bottom"/>
            <w:tcBorders>
              <w:top w:val="single" w:sz="8" w:color="auto"/>
            </w:tcBorders>
            <w:shd w:val="clear" w:color="auto" w:fill="C7EAF2"/>
          </w:tcPr>
          <w:p>
            <w:pPr>
              <w:spacing w:after="0"/>
              <w:rPr>
                <w:sz w:val="17"/>
                <w:szCs w:val="17"/>
                <w:color w:val="auto"/>
              </w:rPr>
            </w:pPr>
          </w:p>
        </w:tc>
        <w:tc>
          <w:tcPr>
            <w:tcW w:w="22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spacing w:after="0"/>
              <w:rPr>
                <w:sz w:val="17"/>
                <w:szCs w:val="17"/>
                <w:color w:val="auto"/>
              </w:rPr>
            </w:pPr>
          </w:p>
        </w:tc>
        <w:tc>
          <w:tcPr>
            <w:tcW w:w="1280" w:type="dxa"/>
            <w:vAlign w:val="bottom"/>
            <w:tcBorders>
              <w:top w:val="single" w:sz="8" w:color="auto"/>
            </w:tcBorders>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Cash</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46,842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84,873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7EAF2"/>
            </w:tcBorders>
            <w:gridSpan w:val="2"/>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Receivables and prepayments</w:t>
            </w:r>
          </w:p>
        </w:tc>
        <w:tc>
          <w:tcPr>
            <w:tcW w:w="860" w:type="dxa"/>
            <w:vAlign w:val="bottom"/>
            <w:tcBorders>
              <w:bottom w:val="single" w:sz="8" w:color="C7EAF2"/>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200" w:type="dxa"/>
            <w:vAlign w:val="bottom"/>
            <w:tcBorders>
              <w:bottom w:val="single" w:sz="8" w:color="C7EAF2"/>
            </w:tcBorders>
            <w:shd w:val="clear" w:color="auto" w:fill="C7EAF2"/>
          </w:tcPr>
          <w:p>
            <w:pPr>
              <w:spacing w:after="0"/>
              <w:rPr>
                <w:sz w:val="18"/>
                <w:szCs w:val="18"/>
                <w:color w:val="auto"/>
              </w:rPr>
            </w:pPr>
          </w:p>
        </w:tc>
        <w:tc>
          <w:tcPr>
            <w:tcW w:w="300" w:type="dxa"/>
            <w:vAlign w:val="bottom"/>
            <w:tcBorders>
              <w:bottom w:val="single" w:sz="8" w:color="auto"/>
            </w:tcBorders>
            <w:shd w:val="clear" w:color="auto" w:fill="C7EAF2"/>
          </w:tcPr>
          <w:p>
            <w:pPr>
              <w:spacing w:after="0"/>
              <w:rPr>
                <w:sz w:val="18"/>
                <w:szCs w:val="18"/>
                <w:color w:val="auto"/>
              </w:rPr>
            </w:pPr>
          </w:p>
        </w:tc>
        <w:tc>
          <w:tcPr>
            <w:tcW w:w="11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220" w:type="dxa"/>
            <w:vAlign w:val="bottom"/>
            <w:tcBorders>
              <w:bottom w:val="single" w:sz="8" w:color="C7EAF2"/>
            </w:tcBorders>
            <w:shd w:val="clear" w:color="auto" w:fill="C7EAF2"/>
          </w:tcPr>
          <w:p>
            <w:pPr>
              <w:spacing w:after="0"/>
              <w:rPr>
                <w:sz w:val="18"/>
                <w:szCs w:val="18"/>
                <w:color w:val="auto"/>
              </w:rPr>
            </w:pPr>
          </w:p>
        </w:tc>
        <w:tc>
          <w:tcPr>
            <w:tcW w:w="120" w:type="dxa"/>
            <w:vAlign w:val="bottom"/>
            <w:tcBorders>
              <w:bottom w:val="single" w:sz="8" w:color="auto"/>
            </w:tcBorders>
            <w:shd w:val="clear" w:color="auto" w:fill="C7EAF2"/>
          </w:tcPr>
          <w:p>
            <w:pPr>
              <w:spacing w:after="0"/>
              <w:rPr>
                <w:sz w:val="18"/>
                <w:szCs w:val="18"/>
                <w:color w:val="auto"/>
              </w:rPr>
            </w:pPr>
          </w:p>
        </w:tc>
        <w:tc>
          <w:tcPr>
            <w:tcW w:w="12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3,686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49,602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88,559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300" w:type="dxa"/>
            <w:vAlign w:val="bottom"/>
            <w:shd w:val="clear" w:color="auto" w:fill="C7EAF2"/>
          </w:tcPr>
          <w:p>
            <w:pPr>
              <w:spacing w:after="0"/>
              <w:rPr>
                <w:sz w:val="18"/>
                <w:szCs w:val="18"/>
                <w:color w:val="auto"/>
              </w:rPr>
            </w:pPr>
          </w:p>
        </w:tc>
        <w:tc>
          <w:tcPr>
            <w:tcW w:w="110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28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Exploration contracts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43,150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200" w:type="dxa"/>
            <w:vAlign w:val="bottom"/>
            <w:shd w:val="clear" w:color="auto" w:fill="C7EAF2"/>
          </w:tcPr>
          <w:p>
            <w:pPr>
              <w:spacing w:after="0"/>
              <w:rPr>
                <w:sz w:val="18"/>
                <w:szCs w:val="18"/>
                <w:color w:val="auto"/>
              </w:rPr>
            </w:pPr>
          </w:p>
        </w:tc>
        <w:tc>
          <w:tcPr>
            <w:tcW w:w="300" w:type="dxa"/>
            <w:vAlign w:val="bottom"/>
            <w:tcBorders>
              <w:bottom w:val="single" w:sz="8" w:color="auto"/>
            </w:tcBorders>
            <w:shd w:val="clear" w:color="auto" w:fill="C7EAF2"/>
          </w:tcPr>
          <w:p>
            <w:pPr>
              <w:spacing w:after="0"/>
              <w:rPr>
                <w:sz w:val="18"/>
                <w:szCs w:val="18"/>
                <w:color w:val="auto"/>
              </w:rPr>
            </w:pPr>
          </w:p>
        </w:tc>
        <w:tc>
          <w:tcPr>
            <w:tcW w:w="11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shd w:val="clear" w:color="auto" w:fill="C7EAF2"/>
          </w:tcPr>
          <w:p>
            <w:pPr>
              <w:spacing w:after="0"/>
              <w:rPr>
                <w:sz w:val="18"/>
                <w:szCs w:val="18"/>
                <w:color w:val="auto"/>
              </w:rPr>
            </w:pPr>
          </w:p>
        </w:tc>
        <w:tc>
          <w:tcPr>
            <w:tcW w:w="120" w:type="dxa"/>
            <w:vAlign w:val="bottom"/>
            <w:tcBorders>
              <w:bottom w:val="single" w:sz="8" w:color="auto"/>
            </w:tcBorders>
            <w:shd w:val="clear" w:color="auto" w:fill="C7EAF2"/>
          </w:tcPr>
          <w:p>
            <w:pPr>
              <w:spacing w:after="0"/>
              <w:rPr>
                <w:sz w:val="18"/>
                <w:szCs w:val="18"/>
                <w:color w:val="auto"/>
              </w:rPr>
            </w:pPr>
          </w:p>
        </w:tc>
        <w:tc>
          <w:tcPr>
            <w:tcW w:w="12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45,175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44,566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20" w:type="dxa"/>
            <w:vAlign w:val="bottom"/>
            <w:tcBorders>
              <w:bottom w:val="single" w:sz="8" w:color="C7EAF2"/>
            </w:tcBorders>
            <w:shd w:val="clear" w:color="auto" w:fill="C7EAF2"/>
          </w:tcPr>
          <w:p>
            <w:pPr>
              <w:spacing w:after="0"/>
              <w:rPr>
                <w:sz w:val="19"/>
                <w:szCs w:val="19"/>
                <w:color w:val="auto"/>
              </w:rPr>
            </w:pPr>
          </w:p>
        </w:tc>
        <w:tc>
          <w:tcPr>
            <w:tcW w:w="200" w:type="dxa"/>
            <w:vAlign w:val="bottom"/>
            <w:tcBorders>
              <w:bottom w:val="single" w:sz="8" w:color="C7EAF2"/>
            </w:tcBorders>
            <w:shd w:val="clear" w:color="auto" w:fill="C7EAF2"/>
          </w:tcPr>
          <w:p>
            <w:pPr>
              <w:spacing w:after="0"/>
              <w:rPr>
                <w:sz w:val="19"/>
                <w:szCs w:val="19"/>
                <w:color w:val="auto"/>
              </w:rPr>
            </w:pPr>
          </w:p>
        </w:tc>
        <w:tc>
          <w:tcPr>
            <w:tcW w:w="860" w:type="dxa"/>
            <w:vAlign w:val="bottom"/>
            <w:tcBorders>
              <w:bottom w:val="single" w:sz="8" w:color="C7EAF2"/>
            </w:tcBorders>
            <w:shd w:val="clear" w:color="auto" w:fill="C7EAF2"/>
          </w:tcPr>
          <w:p>
            <w:pPr>
              <w:spacing w:after="0"/>
              <w:rPr>
                <w:sz w:val="19"/>
                <w:szCs w:val="19"/>
                <w:color w:val="auto"/>
              </w:rPr>
            </w:pPr>
          </w:p>
        </w:tc>
        <w:tc>
          <w:tcPr>
            <w:tcW w:w="200" w:type="dxa"/>
            <w:vAlign w:val="bottom"/>
            <w:tcBorders>
              <w:bottom w:val="single" w:sz="8" w:color="C7EAF2"/>
            </w:tcBorders>
            <w:shd w:val="clear" w:color="auto" w:fill="C7EAF2"/>
          </w:tcPr>
          <w:p>
            <w:pPr>
              <w:spacing w:after="0"/>
              <w:rPr>
                <w:sz w:val="19"/>
                <w:szCs w:val="19"/>
                <w:color w:val="auto"/>
              </w:rPr>
            </w:pPr>
          </w:p>
        </w:tc>
        <w:tc>
          <w:tcPr>
            <w:tcW w:w="300" w:type="dxa"/>
            <w:vAlign w:val="bottom"/>
            <w:tcBorders>
              <w:bottom w:val="single" w:sz="8" w:color="auto"/>
            </w:tcBorders>
            <w:shd w:val="clear" w:color="auto" w:fill="C7EAF2"/>
          </w:tcPr>
          <w:p>
            <w:pPr>
              <w:spacing w:after="0"/>
              <w:rPr>
                <w:sz w:val="19"/>
                <w:szCs w:val="19"/>
                <w:color w:val="auto"/>
              </w:rPr>
            </w:pPr>
          </w:p>
        </w:tc>
        <w:tc>
          <w:tcPr>
            <w:tcW w:w="1100" w:type="dxa"/>
            <w:vAlign w:val="bottom"/>
            <w:tcBorders>
              <w:bottom w:val="single" w:sz="8" w:color="auto"/>
            </w:tcBorders>
            <w:shd w:val="clear" w:color="auto" w:fill="C7EAF2"/>
          </w:tcPr>
          <w:p>
            <w:pPr>
              <w:spacing w:after="0"/>
              <w:rPr>
                <w:sz w:val="19"/>
                <w:szCs w:val="19"/>
                <w:color w:val="auto"/>
              </w:rPr>
            </w:pPr>
          </w:p>
        </w:tc>
        <w:tc>
          <w:tcPr>
            <w:tcW w:w="220" w:type="dxa"/>
            <w:vAlign w:val="bottom"/>
            <w:tcBorders>
              <w:bottom w:val="single" w:sz="8" w:color="C7EAF2"/>
            </w:tcBorders>
            <w:shd w:val="clear" w:color="auto" w:fill="C7EAF2"/>
          </w:tcPr>
          <w:p>
            <w:pPr>
              <w:spacing w:after="0"/>
              <w:rPr>
                <w:sz w:val="19"/>
                <w:szCs w:val="19"/>
                <w:color w:val="auto"/>
              </w:rPr>
            </w:pPr>
          </w:p>
        </w:tc>
        <w:tc>
          <w:tcPr>
            <w:tcW w:w="120" w:type="dxa"/>
            <w:vAlign w:val="bottom"/>
            <w:tcBorders>
              <w:bottom w:val="single" w:sz="8" w:color="auto"/>
            </w:tcBorders>
            <w:shd w:val="clear" w:color="auto" w:fill="C7EAF2"/>
          </w:tcPr>
          <w:p>
            <w:pPr>
              <w:spacing w:after="0"/>
              <w:rPr>
                <w:sz w:val="19"/>
                <w:szCs w:val="19"/>
                <w:color w:val="auto"/>
              </w:rPr>
            </w:pPr>
          </w:p>
        </w:tc>
        <w:tc>
          <w:tcPr>
            <w:tcW w:w="1280" w:type="dxa"/>
            <w:vAlign w:val="bottom"/>
            <w:tcBorders>
              <w:bottom w:val="single" w:sz="8" w:color="auto"/>
            </w:tcBorders>
            <w:shd w:val="clear" w:color="auto" w:fill="C7EAF2"/>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Borders>
              <w:bottom w:val="single" w:sz="8" w:color="C7EAF2"/>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860" w:type="dxa"/>
            <w:vAlign w:val="bottom"/>
            <w:tcBorders>
              <w:bottom w:val="single" w:sz="8" w:color="C7EAF2"/>
            </w:tcBorders>
          </w:tcPr>
          <w:p>
            <w:pPr>
              <w:spacing w:after="0"/>
              <w:rPr>
                <w:sz w:val="15"/>
                <w:szCs w:val="15"/>
                <w:color w:val="auto"/>
              </w:rPr>
            </w:pPr>
          </w:p>
        </w:tc>
        <w:tc>
          <w:tcPr>
            <w:tcW w:w="200" w:type="dxa"/>
            <w:vAlign w:val="bottom"/>
            <w:tcBorders>
              <w:bottom w:val="single" w:sz="8" w:color="C7EAF2"/>
            </w:tcBorders>
          </w:tcPr>
          <w:p>
            <w:pPr>
              <w:spacing w:after="0"/>
              <w:rPr>
                <w:sz w:val="15"/>
                <w:szCs w:val="15"/>
                <w:color w:val="auto"/>
              </w:rPr>
            </w:pPr>
          </w:p>
        </w:tc>
        <w:tc>
          <w:tcPr>
            <w:tcW w:w="300" w:type="dxa"/>
            <w:vAlign w:val="bottom"/>
            <w:tcBorders>
              <w:bottom w:val="single" w:sz="8" w:color="auto"/>
            </w:tcBorders>
          </w:tcPr>
          <w:p>
            <w:pPr>
              <w:jc w:val="right"/>
              <w:ind w:right="134"/>
              <w:spacing w:after="0" w:line="18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94,777</w:t>
            </w:r>
          </w:p>
        </w:tc>
        <w:tc>
          <w:tcPr>
            <w:tcW w:w="220" w:type="dxa"/>
            <w:vAlign w:val="bottom"/>
            <w:tcBorders>
              <w:bottom w:val="single" w:sz="8" w:color="C7EAF2"/>
            </w:tcBorders>
          </w:tcPr>
          <w:p>
            <w:pPr>
              <w:spacing w:after="0"/>
              <w:rPr>
                <w:sz w:val="15"/>
                <w:szCs w:val="15"/>
                <w:color w:val="auto"/>
              </w:rPr>
            </w:pPr>
          </w:p>
        </w:tc>
        <w:tc>
          <w:tcPr>
            <w:tcW w:w="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133,125</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32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300" w:type="dxa"/>
            <w:vAlign w:val="bottom"/>
            <w:shd w:val="clear" w:color="auto" w:fill="C7EAF2"/>
          </w:tcPr>
          <w:p>
            <w:pPr>
              <w:spacing w:after="0"/>
              <w:rPr>
                <w:sz w:val="17"/>
                <w:szCs w:val="17"/>
                <w:color w:val="auto"/>
              </w:rPr>
            </w:pPr>
          </w:p>
        </w:tc>
        <w:tc>
          <w:tcPr>
            <w:tcW w:w="1100" w:type="dxa"/>
            <w:vAlign w:val="bottom"/>
            <w:shd w:val="clear" w:color="auto" w:fill="C7EAF2"/>
          </w:tcPr>
          <w:p>
            <w:pPr>
              <w:spacing w:after="0"/>
              <w:rPr>
                <w:sz w:val="17"/>
                <w:szCs w:val="17"/>
                <w:color w:val="auto"/>
              </w:rPr>
            </w:pPr>
          </w:p>
        </w:tc>
        <w:tc>
          <w:tcPr>
            <w:tcW w:w="22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17"/>
                <w:szCs w:val="17"/>
                <w:color w:val="auto"/>
              </w:rPr>
            </w:pPr>
          </w:p>
        </w:tc>
        <w:tc>
          <w:tcPr>
            <w:tcW w:w="1280" w:type="dxa"/>
            <w:vAlign w:val="bottom"/>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300" w:type="dxa"/>
            <w:vAlign w:val="bottom"/>
            <w:shd w:val="clear" w:color="auto" w:fill="C7EAF2"/>
          </w:tcPr>
          <w:p>
            <w:pPr>
              <w:spacing w:after="0"/>
              <w:rPr>
                <w:sz w:val="18"/>
                <w:szCs w:val="18"/>
                <w:color w:val="auto"/>
              </w:rPr>
            </w:pPr>
          </w:p>
        </w:tc>
        <w:tc>
          <w:tcPr>
            <w:tcW w:w="110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28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7EAF2"/>
            </w:tcBorders>
            <w:gridSpan w:val="2"/>
          </w:tcPr>
          <w:p>
            <w:pPr>
              <w:ind w:left="2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860" w:type="dxa"/>
            <w:vAlign w:val="bottom"/>
            <w:tcBorders>
              <w:bottom w:val="single" w:sz="8" w:color="C7EAF2"/>
            </w:tcBorders>
          </w:tcPr>
          <w:p>
            <w:pPr>
              <w:spacing w:after="0"/>
              <w:rPr>
                <w:sz w:val="18"/>
                <w:szCs w:val="18"/>
                <w:color w:val="auto"/>
              </w:rPr>
            </w:pPr>
          </w:p>
        </w:tc>
        <w:tc>
          <w:tcPr>
            <w:tcW w:w="200" w:type="dxa"/>
            <w:vAlign w:val="bottom"/>
            <w:tcBorders>
              <w:bottom w:val="single" w:sz="8" w:color="C7EAF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41,614</w:t>
            </w:r>
          </w:p>
        </w:tc>
        <w:tc>
          <w:tcPr>
            <w:tcW w:w="22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26,573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2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300" w:type="dxa"/>
            <w:vAlign w:val="bottom"/>
            <w:shd w:val="clear" w:color="auto" w:fill="C7EAF2"/>
          </w:tcPr>
          <w:p>
            <w:pPr>
              <w:spacing w:after="0"/>
              <w:rPr>
                <w:sz w:val="17"/>
                <w:szCs w:val="17"/>
                <w:color w:val="auto"/>
              </w:rPr>
            </w:pPr>
          </w:p>
        </w:tc>
        <w:tc>
          <w:tcPr>
            <w:tcW w:w="1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41,614</w:t>
            </w:r>
          </w:p>
        </w:tc>
        <w:tc>
          <w:tcPr>
            <w:tcW w:w="22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17"/>
                <w:szCs w:val="17"/>
                <w:color w:val="auto"/>
              </w:rPr>
            </w:pPr>
          </w:p>
        </w:tc>
        <w:tc>
          <w:tcPr>
            <w:tcW w:w="12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26,573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Deferred tax liability</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shd w:val="clear" w:color="auto" w:fill="C7EAF2"/>
          </w:tcPr>
          <w:p>
            <w:pPr>
              <w:spacing w:after="0"/>
              <w:rPr>
                <w:sz w:val="18"/>
                <w:szCs w:val="18"/>
                <w:color w:val="auto"/>
              </w:rPr>
            </w:pPr>
          </w:p>
        </w:tc>
        <w:tc>
          <w:tcPr>
            <w:tcW w:w="300" w:type="dxa"/>
            <w:vAlign w:val="bottom"/>
            <w:shd w:val="clear" w:color="auto" w:fill="C7EAF2"/>
          </w:tcPr>
          <w:p>
            <w:pPr>
              <w:spacing w:after="0"/>
              <w:rPr>
                <w:sz w:val="18"/>
                <w:szCs w:val="18"/>
                <w:color w:val="auto"/>
              </w:rPr>
            </w:pPr>
          </w:p>
        </w:tc>
        <w:tc>
          <w:tcPr>
            <w:tcW w:w="1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10,675</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2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10,675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7EAF2"/>
            </w:tcBorders>
            <w:gridSpan w:val="2"/>
          </w:tcPr>
          <w:p>
            <w:pPr>
              <w:ind w:left="200"/>
              <w:spacing w:after="0"/>
              <w:rPr>
                <w:sz w:val="20"/>
                <w:szCs w:val="20"/>
                <w:color w:val="auto"/>
              </w:rPr>
            </w:pPr>
            <w:r>
              <w:rPr>
                <w:rFonts w:ascii="Times New Roman" w:cs="Times New Roman" w:eastAsia="Times New Roman" w:hAnsi="Times New Roman"/>
                <w:sz w:val="17"/>
                <w:szCs w:val="17"/>
                <w:color w:val="auto"/>
              </w:rPr>
              <w:t>Warrants liability</w:t>
            </w:r>
          </w:p>
        </w:tc>
        <w:tc>
          <w:tcPr>
            <w:tcW w:w="860" w:type="dxa"/>
            <w:vAlign w:val="bottom"/>
            <w:tcBorders>
              <w:bottom w:val="single" w:sz="8" w:color="C7EAF2"/>
            </w:tcBorders>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tcBorders>
              <w:bottom w:val="single" w:sz="8" w:color="C7EAF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w:t>
            </w:r>
          </w:p>
        </w:tc>
        <w:tc>
          <w:tcPr>
            <w:tcW w:w="22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Borders>
              <w:bottom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860" w:type="dxa"/>
            <w:vAlign w:val="bottom"/>
            <w:tcBorders>
              <w:bottom w:val="single" w:sz="8" w:color="C7EAF2"/>
            </w:tcBorders>
            <w:shd w:val="clear" w:color="auto" w:fill="C7EAF2"/>
          </w:tcPr>
          <w:p>
            <w:pPr>
              <w:spacing w:after="0"/>
              <w:rPr>
                <w:sz w:val="17"/>
                <w:szCs w:val="17"/>
                <w:color w:val="auto"/>
              </w:rPr>
            </w:pPr>
          </w:p>
        </w:tc>
        <w:tc>
          <w:tcPr>
            <w:tcW w:w="200" w:type="dxa"/>
            <w:vAlign w:val="bottom"/>
            <w:tcBorders>
              <w:bottom w:val="single" w:sz="8" w:color="C7EAF2"/>
            </w:tcBorders>
            <w:shd w:val="clear" w:color="auto" w:fill="C7EAF2"/>
          </w:tcPr>
          <w:p>
            <w:pPr>
              <w:spacing w:after="0"/>
              <w:rPr>
                <w:sz w:val="17"/>
                <w:szCs w:val="17"/>
                <w:color w:val="auto"/>
              </w:rPr>
            </w:pPr>
          </w:p>
        </w:tc>
        <w:tc>
          <w:tcPr>
            <w:tcW w:w="300" w:type="dxa"/>
            <w:vAlign w:val="bottom"/>
            <w:tcBorders>
              <w:bottom w:val="single" w:sz="8" w:color="auto"/>
            </w:tcBorders>
            <w:shd w:val="clear" w:color="auto" w:fill="C7EAF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53,272</w:t>
            </w:r>
          </w:p>
        </w:tc>
        <w:tc>
          <w:tcPr>
            <w:tcW w:w="220" w:type="dxa"/>
            <w:vAlign w:val="bottom"/>
            <w:tcBorders>
              <w:bottom w:val="single" w:sz="8" w:color="C7EAF2"/>
            </w:tcBorders>
            <w:shd w:val="clear" w:color="auto" w:fill="C7EAF2"/>
          </w:tcPr>
          <w:p>
            <w:pPr>
              <w:spacing w:after="0"/>
              <w:rPr>
                <w:sz w:val="17"/>
                <w:szCs w:val="17"/>
                <w:color w:val="auto"/>
              </w:rPr>
            </w:pPr>
          </w:p>
        </w:tc>
        <w:tc>
          <w:tcPr>
            <w:tcW w:w="1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40,374</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300" w:type="dxa"/>
            <w:vAlign w:val="bottom"/>
            <w:shd w:val="clear" w:color="auto" w:fill="C7EAF2"/>
          </w:tcPr>
          <w:p>
            <w:pPr>
              <w:spacing w:after="0"/>
              <w:rPr>
                <w:sz w:val="18"/>
                <w:szCs w:val="18"/>
                <w:color w:val="auto"/>
              </w:rPr>
            </w:pPr>
          </w:p>
        </w:tc>
        <w:tc>
          <w:tcPr>
            <w:tcW w:w="110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28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20" w:type="dxa"/>
            <w:vAlign w:val="bottom"/>
            <w:gridSpan w:val="2"/>
          </w:tcPr>
          <w:p>
            <w:pPr>
              <w:ind w:left="100"/>
              <w:spacing w:after="0" w:line="186" w:lineRule="exact"/>
              <w:rPr>
                <w:sz w:val="20"/>
                <w:szCs w:val="20"/>
                <w:color w:val="auto"/>
              </w:rPr>
            </w:pPr>
            <w:r>
              <w:rPr>
                <w:rFonts w:ascii="Times New Roman" w:cs="Times New Roman" w:eastAsia="Times New Roman" w:hAnsi="Times New Roman"/>
                <w:sz w:val="17"/>
                <w:szCs w:val="17"/>
                <w:color w:val="auto"/>
              </w:rPr>
              <w:t xml:space="preserve">Common shares </w:t>
            </w:r>
            <w:r>
              <w:rPr>
                <w:rFonts w:ascii="Times New Roman" w:cs="Times New Roman" w:eastAsia="Times New Roman" w:hAnsi="Times New Roman"/>
                <w:sz w:val="17"/>
                <w:szCs w:val="17"/>
                <w:i w:val="1"/>
                <w:iCs w:val="1"/>
                <w:color w:val="auto"/>
              </w:rPr>
              <w:t>(unlimited shares, no par value – issued: 266,812,131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332,882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296,051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7"/>
                <w:szCs w:val="17"/>
                <w:i w:val="1"/>
                <w:iCs w:val="1"/>
                <w:color w:val="auto"/>
              </w:rPr>
              <w:t>(December 31, 2021 – 225,432,493))</w:t>
            </w:r>
          </w:p>
        </w:tc>
        <w:tc>
          <w:tcPr>
            <w:tcW w:w="8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Special Shares</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200" w:type="dxa"/>
            <w:vAlign w:val="bottom"/>
            <w:shd w:val="clear" w:color="auto" w:fill="C7EAF2"/>
          </w:tcPr>
          <w:p>
            <w:pPr>
              <w:spacing w:after="0"/>
              <w:rPr>
                <w:sz w:val="18"/>
                <w:szCs w:val="18"/>
                <w:color w:val="auto"/>
              </w:rPr>
            </w:pPr>
          </w:p>
        </w:tc>
        <w:tc>
          <w:tcPr>
            <w:tcW w:w="300" w:type="dxa"/>
            <w:vAlign w:val="bottom"/>
            <w:shd w:val="clear" w:color="auto" w:fill="C7EAF2"/>
          </w:tcPr>
          <w:p>
            <w:pPr>
              <w:spacing w:after="0"/>
              <w:rPr>
                <w:sz w:val="18"/>
                <w:szCs w:val="18"/>
                <w:color w:val="auto"/>
              </w:rPr>
            </w:pPr>
          </w:p>
        </w:tc>
        <w:tc>
          <w:tcPr>
            <w:tcW w:w="1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2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102,073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300" w:type="dxa"/>
            <w:vAlign w:val="bottom"/>
            <w:shd w:val="clear" w:color="auto" w:fill="C7EAF2"/>
          </w:tcPr>
          <w:p>
            <w:pPr>
              <w:spacing w:after="0"/>
              <w:rPr>
                <w:sz w:val="18"/>
                <w:szCs w:val="18"/>
                <w:color w:val="auto"/>
              </w:rPr>
            </w:pPr>
          </w:p>
        </w:tc>
        <w:tc>
          <w:tcPr>
            <w:tcW w:w="1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2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7EAF2"/>
            </w:tcBorders>
            <w:gridSpan w:val="2"/>
          </w:tcPr>
          <w:p>
            <w:pPr>
              <w:ind w:left="100"/>
              <w:spacing w:after="0"/>
              <w:rPr>
                <w:sz w:val="20"/>
                <w:szCs w:val="20"/>
                <w:color w:val="auto"/>
              </w:rPr>
            </w:pPr>
            <w:r>
              <w:rPr>
                <w:rFonts w:ascii="Times New Roman" w:cs="Times New Roman" w:eastAsia="Times New Roman" w:hAnsi="Times New Roman"/>
                <w:sz w:val="17"/>
                <w:szCs w:val="17"/>
                <w:color w:val="auto"/>
              </w:rPr>
              <w:t>Deficit</w:t>
            </w:r>
          </w:p>
        </w:tc>
        <w:tc>
          <w:tcPr>
            <w:tcW w:w="860" w:type="dxa"/>
            <w:vAlign w:val="bottom"/>
            <w:tcBorders>
              <w:bottom w:val="single" w:sz="8" w:color="C7EAF2"/>
            </w:tcBorders>
          </w:tcPr>
          <w:p>
            <w:pPr>
              <w:spacing w:after="0"/>
              <w:rPr>
                <w:sz w:val="18"/>
                <w:szCs w:val="18"/>
                <w:color w:val="auto"/>
              </w:rPr>
            </w:pPr>
          </w:p>
        </w:tc>
        <w:tc>
          <w:tcPr>
            <w:tcW w:w="200" w:type="dxa"/>
            <w:vAlign w:val="bottom"/>
            <w:tcBorders>
              <w:bottom w:val="single" w:sz="8" w:color="C7EAF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(475,121)</w:t>
            </w:r>
          </w:p>
        </w:tc>
        <w:tc>
          <w:tcPr>
            <w:tcW w:w="22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(304,157)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300" w:type="dxa"/>
            <w:vAlign w:val="bottom"/>
            <w:tcBorders>
              <w:bottom w:val="single" w:sz="8" w:color="auto"/>
            </w:tcBorders>
            <w:shd w:val="clear" w:color="auto" w:fill="C7EAF2"/>
          </w:tcPr>
          <w:p>
            <w:pPr>
              <w:spacing w:after="0"/>
              <w:rPr>
                <w:sz w:val="17"/>
                <w:szCs w:val="17"/>
                <w:color w:val="auto"/>
              </w:rPr>
            </w:pPr>
          </w:p>
        </w:tc>
        <w:tc>
          <w:tcPr>
            <w:tcW w:w="11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41,505</w:t>
            </w:r>
          </w:p>
        </w:tc>
        <w:tc>
          <w:tcPr>
            <w:tcW w:w="220" w:type="dxa"/>
            <w:vAlign w:val="bottom"/>
            <w:shd w:val="clear" w:color="auto" w:fill="C7EAF2"/>
          </w:tcPr>
          <w:p>
            <w:pPr>
              <w:spacing w:after="0"/>
              <w:rPr>
                <w:sz w:val="17"/>
                <w:szCs w:val="17"/>
                <w:color w:val="auto"/>
              </w:rPr>
            </w:pPr>
          </w:p>
        </w:tc>
        <w:tc>
          <w:tcPr>
            <w:tcW w:w="120" w:type="dxa"/>
            <w:vAlign w:val="bottom"/>
            <w:tcBorders>
              <w:bottom w:val="single" w:sz="8" w:color="auto"/>
            </w:tcBorders>
            <w:shd w:val="clear" w:color="auto" w:fill="C7EAF2"/>
          </w:tcPr>
          <w:p>
            <w:pPr>
              <w:spacing w:after="0"/>
              <w:rPr>
                <w:sz w:val="17"/>
                <w:szCs w:val="17"/>
                <w:color w:val="auto"/>
              </w:rPr>
            </w:pPr>
          </w:p>
        </w:tc>
        <w:tc>
          <w:tcPr>
            <w:tcW w:w="12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92,751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C7EAF2"/>
            </w:tcBorders>
          </w:tcPr>
          <w:p>
            <w:pPr>
              <w:spacing w:after="0"/>
              <w:rPr>
                <w:sz w:val="18"/>
                <w:szCs w:val="18"/>
                <w:color w:val="auto"/>
              </w:rPr>
            </w:pPr>
          </w:p>
        </w:tc>
        <w:tc>
          <w:tcPr>
            <w:tcW w:w="200" w:type="dxa"/>
            <w:vAlign w:val="bottom"/>
            <w:tcBorders>
              <w:bottom w:val="single" w:sz="8" w:color="C7EAF2"/>
            </w:tcBorders>
          </w:tcPr>
          <w:p>
            <w:pPr>
              <w:spacing w:after="0"/>
              <w:rPr>
                <w:sz w:val="18"/>
                <w:szCs w:val="18"/>
                <w:color w:val="auto"/>
              </w:rPr>
            </w:pPr>
          </w:p>
        </w:tc>
        <w:tc>
          <w:tcPr>
            <w:tcW w:w="860" w:type="dxa"/>
            <w:vAlign w:val="bottom"/>
            <w:tcBorders>
              <w:bottom w:val="single" w:sz="8" w:color="C7EAF2"/>
            </w:tcBorders>
          </w:tcPr>
          <w:p>
            <w:pPr>
              <w:spacing w:after="0"/>
              <w:rPr>
                <w:sz w:val="18"/>
                <w:szCs w:val="18"/>
                <w:color w:val="auto"/>
              </w:rPr>
            </w:pPr>
          </w:p>
        </w:tc>
        <w:tc>
          <w:tcPr>
            <w:tcW w:w="200" w:type="dxa"/>
            <w:vAlign w:val="bottom"/>
            <w:tcBorders>
              <w:bottom w:val="single" w:sz="8" w:color="C7EAF2"/>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300" w:type="dxa"/>
            <w:vAlign w:val="bottom"/>
            <w:tcBorders>
              <w:bottom w:val="single" w:sz="8" w:color="auto"/>
            </w:tcBorders>
            <w:shd w:val="clear" w:color="auto" w:fill="C7EAF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94,777</w:t>
            </w:r>
          </w:p>
        </w:tc>
        <w:tc>
          <w:tcPr>
            <w:tcW w:w="220" w:type="dxa"/>
            <w:vAlign w:val="bottom"/>
            <w:shd w:val="clear" w:color="auto" w:fill="C7EAF2"/>
          </w:tcPr>
          <w:p>
            <w:pPr>
              <w:spacing w:after="0"/>
              <w:rPr>
                <w:sz w:val="17"/>
                <w:szCs w:val="17"/>
                <w:color w:val="auto"/>
              </w:rPr>
            </w:pPr>
          </w:p>
        </w:tc>
        <w:tc>
          <w:tcPr>
            <w:tcW w:w="1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133,125</w:t>
            </w:r>
          </w:p>
        </w:tc>
        <w:tc>
          <w:tcPr>
            <w:tcW w:w="0" w:type="dxa"/>
            <w:vAlign w:val="bottom"/>
          </w:tcPr>
          <w:p>
            <w:pPr>
              <w:spacing w:after="0"/>
              <w:rPr>
                <w:sz w:val="1"/>
                <w:szCs w:val="1"/>
                <w:color w:val="auto"/>
              </w:rPr>
            </w:pPr>
          </w:p>
        </w:tc>
      </w:tr>
      <w:tr>
        <w:trPr>
          <w:trHeight w:val="381"/>
        </w:trPr>
        <w:tc>
          <w:tcPr>
            <w:tcW w:w="5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i w:val="1"/>
                <w:iCs w:val="1"/>
                <w:color w:val="auto"/>
              </w:rPr>
              <w:t>(Note 1)</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Commitments and Contingent Liabilities </w:t>
            </w:r>
            <w:r>
              <w:rPr>
                <w:rFonts w:ascii="Times New Roman" w:cs="Times New Roman" w:eastAsia="Times New Roman" w:hAnsi="Times New Roman"/>
                <w:sz w:val="17"/>
                <w:szCs w:val="17"/>
                <w:i w:val="1"/>
                <w:iCs w:val="1"/>
                <w:color w:val="auto"/>
              </w:rPr>
              <w:t>(Note 20)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5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 xml:space="preserve">Subsequent Events </w:t>
            </w:r>
            <w:r>
              <w:rPr>
                <w:rFonts w:ascii="Times New Roman" w:cs="Times New Roman" w:eastAsia="Times New Roman" w:hAnsi="Times New Roman"/>
                <w:sz w:val="17"/>
                <w:szCs w:val="17"/>
                <w:i w:val="1"/>
                <w:iCs w:val="1"/>
                <w:color w:val="auto"/>
              </w:rPr>
              <w:t>(Note 24)</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548">
                          <a:solidFill>
                            <a:srgbClr val="000000"/>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303pt"/>
            </w:pict>
          </mc:Fallback>
        </mc:AlternateContent>
      </w:r>
    </w:p>
    <w:p>
      <w:pPr>
        <w:sectPr>
          <w:pgSz w:w="12240" w:h="15840" w:orient="portrait"/>
          <w:cols w:equalWidth="0" w:num="1">
            <w:col w:w="9620"/>
          </w:cols>
          <w:pgMar w:left="1320" w:top="1334" w:right="130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27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278">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Loss and Comprehensive Loss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520" w:type="dxa"/>
            <w:vAlign w:val="bottom"/>
            <w:tcBorders>
              <w:bottom w:val="single" w:sz="8" w:color="C7EAF2"/>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00" w:type="dxa"/>
            <w:vAlign w:val="bottom"/>
            <w:tcBorders>
              <w:bottom w:val="single" w:sz="8" w:color="C7EAF2"/>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20" w:type="dxa"/>
            <w:vAlign w:val="bottom"/>
            <w:tcBorders>
              <w:bottom w:val="single" w:sz="8" w:color="C7EAF2"/>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160" w:type="dxa"/>
            <w:vAlign w:val="bottom"/>
            <w:shd w:val="clear" w:color="auto" w:fill="C7EAF2"/>
          </w:tcPr>
          <w:p>
            <w:pPr>
              <w:spacing w:after="0"/>
              <w:rPr>
                <w:sz w:val="17"/>
                <w:szCs w:val="17"/>
                <w:color w:val="auto"/>
              </w:rPr>
            </w:pPr>
          </w:p>
        </w:tc>
        <w:tc>
          <w:tcPr>
            <w:tcW w:w="1240" w:type="dxa"/>
            <w:vAlign w:val="bottom"/>
            <w:shd w:val="clear" w:color="auto" w:fill="C7EAF2"/>
          </w:tcPr>
          <w:p>
            <w:pPr>
              <w:spacing w:after="0"/>
              <w:rPr>
                <w:sz w:val="17"/>
                <w:szCs w:val="17"/>
                <w:color w:val="auto"/>
              </w:rPr>
            </w:pPr>
          </w:p>
        </w:tc>
        <w:tc>
          <w:tcPr>
            <w:tcW w:w="22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Exploration and evaluation expenses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144,599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tcBorders>
              <w:bottom w:val="single" w:sz="8" w:color="C7EAF2"/>
            </w:tcBorders>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860" w:type="dxa"/>
            <w:vAlign w:val="bottom"/>
            <w:tcBorders>
              <w:bottom w:val="single" w:sz="8" w:color="C7EAF2"/>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200" w:type="dxa"/>
            <w:vAlign w:val="bottom"/>
            <w:tcBorders>
              <w:bottom w:val="single" w:sz="8" w:color="C7EAF2"/>
            </w:tcBorders>
            <w:shd w:val="clear" w:color="auto" w:fill="C7EAF2"/>
          </w:tcPr>
          <w:p>
            <w:pPr>
              <w:spacing w:after="0"/>
              <w:rPr>
                <w:sz w:val="19"/>
                <w:szCs w:val="19"/>
                <w:color w:val="auto"/>
              </w:rPr>
            </w:pPr>
          </w:p>
        </w:tc>
        <w:tc>
          <w:tcPr>
            <w:tcW w:w="160" w:type="dxa"/>
            <w:vAlign w:val="bottom"/>
            <w:tcBorders>
              <w:bottom w:val="single" w:sz="8" w:color="auto"/>
            </w:tcBorders>
            <w:shd w:val="clear" w:color="auto" w:fill="C7EAF2"/>
          </w:tcPr>
          <w:p>
            <w:pPr>
              <w:spacing w:after="0"/>
              <w:rPr>
                <w:sz w:val="19"/>
                <w:szCs w:val="19"/>
                <w:color w:val="auto"/>
              </w:rPr>
            </w:pPr>
          </w:p>
        </w:tc>
        <w:tc>
          <w:tcPr>
            <w:tcW w:w="12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29,518</w:t>
            </w:r>
          </w:p>
        </w:tc>
        <w:tc>
          <w:tcPr>
            <w:tcW w:w="220" w:type="dxa"/>
            <w:vAlign w:val="bottom"/>
            <w:tcBorders>
              <w:bottom w:val="single" w:sz="8" w:color="C7EAF2"/>
            </w:tcBorders>
            <w:shd w:val="clear" w:color="auto" w:fill="C7EAF2"/>
          </w:tcPr>
          <w:p>
            <w:pPr>
              <w:spacing w:after="0"/>
              <w:rPr>
                <w:sz w:val="19"/>
                <w:szCs w:val="19"/>
                <w:color w:val="auto"/>
              </w:rPr>
            </w:pPr>
          </w:p>
        </w:tc>
        <w:tc>
          <w:tcPr>
            <w:tcW w:w="120" w:type="dxa"/>
            <w:vAlign w:val="bottom"/>
            <w:tcBorders>
              <w:bottom w:val="single" w:sz="8" w:color="auto"/>
            </w:tcBorders>
            <w:shd w:val="clear" w:color="auto" w:fill="C7EAF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56,583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Operating loss</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174,117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149,589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shd w:val="clear" w:color="auto" w:fill="C7EAF2"/>
          </w:tcPr>
          <w:p>
            <w:pPr>
              <w:spacing w:after="0"/>
              <w:rPr>
                <w:sz w:val="18"/>
                <w:szCs w:val="18"/>
                <w:color w:val="auto"/>
              </w:rPr>
            </w:pP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items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Change in fair value of private warrants liability</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(9,375)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Foreign exchange loss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Interest expense (income)</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shd w:val="clear" w:color="auto" w:fill="C7EAF2"/>
          </w:tcPr>
          <w:p>
            <w:pPr>
              <w:spacing w:after="0"/>
              <w:rPr>
                <w:sz w:val="18"/>
                <w:szCs w:val="18"/>
                <w:color w:val="auto"/>
              </w:rPr>
            </w:pPr>
          </w:p>
        </w:tc>
        <w:tc>
          <w:tcPr>
            <w:tcW w:w="160" w:type="dxa"/>
            <w:vAlign w:val="bottom"/>
            <w:tcBorders>
              <w:bottom w:val="single" w:sz="8" w:color="auto"/>
            </w:tcBorders>
            <w:shd w:val="clear" w:color="auto" w:fill="C7EAF2"/>
          </w:tcPr>
          <w:p>
            <w:pPr>
              <w:spacing w:after="0"/>
              <w:rPr>
                <w:sz w:val="18"/>
                <w:szCs w:val="18"/>
                <w:color w:val="auto"/>
              </w:rPr>
            </w:pPr>
          </w:p>
        </w:tc>
        <w:tc>
          <w:tcPr>
            <w:tcW w:w="12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220" w:type="dxa"/>
            <w:vAlign w:val="bottom"/>
            <w:shd w:val="clear" w:color="auto" w:fill="C7EAF2"/>
          </w:tcPr>
          <w:p>
            <w:pPr>
              <w:spacing w:after="0"/>
              <w:rPr>
                <w:sz w:val="18"/>
                <w:szCs w:val="18"/>
                <w:color w:val="auto"/>
              </w:rPr>
            </w:pPr>
          </w:p>
        </w:tc>
        <w:tc>
          <w:tcPr>
            <w:tcW w:w="120" w:type="dxa"/>
            <w:vAlign w:val="bottom"/>
            <w:tcBorders>
              <w:bottom w:val="single" w:sz="8" w:color="auto"/>
            </w:tcBorders>
            <w:shd w:val="clear" w:color="auto" w:fill="C7EAF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Borders>
              <w:bottom w:val="single" w:sz="8" w:color="C7EAF2"/>
            </w:tcBorders>
          </w:tcPr>
          <w:p>
            <w:pPr>
              <w:spacing w:after="0"/>
              <w:rPr>
                <w:sz w:val="20"/>
                <w:szCs w:val="20"/>
                <w:color w:val="auto"/>
              </w:rPr>
            </w:pPr>
            <w:r>
              <w:rPr>
                <w:rFonts w:ascii="Times New Roman" w:cs="Times New Roman" w:eastAsia="Times New Roman" w:hAnsi="Times New Roman"/>
                <w:sz w:val="17"/>
                <w:szCs w:val="17"/>
                <w:b w:val="1"/>
                <w:bCs w:val="1"/>
                <w:color w:val="auto"/>
              </w:rPr>
              <w:t>Loss and comprehensive loss for the year, before tax</w:t>
            </w:r>
          </w:p>
        </w:tc>
        <w:tc>
          <w:tcPr>
            <w:tcW w:w="860" w:type="dxa"/>
            <w:vAlign w:val="bottom"/>
            <w:tcBorders>
              <w:bottom w:val="single" w:sz="8" w:color="C7EAF2"/>
            </w:tcBorders>
          </w:tcPr>
          <w:p>
            <w:pPr>
              <w:spacing w:after="0"/>
              <w:rPr>
                <w:sz w:val="17"/>
                <w:szCs w:val="17"/>
                <w:color w:val="auto"/>
              </w:rPr>
            </w:pPr>
          </w:p>
        </w:tc>
        <w:tc>
          <w:tcPr>
            <w:tcW w:w="200" w:type="dxa"/>
            <w:vAlign w:val="bottom"/>
            <w:tcBorders>
              <w:bottom w:val="single" w:sz="8" w:color="C7EAF2"/>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170,887</w:t>
            </w:r>
          </w:p>
        </w:tc>
        <w:tc>
          <w:tcPr>
            <w:tcW w:w="220" w:type="dxa"/>
            <w:vAlign w:val="bottom"/>
            <w:tcBorders>
              <w:bottom w:val="single" w:sz="8" w:color="C7EAF2"/>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141,299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7EAF2"/>
          </w:tcPr>
          <w:p>
            <w:pPr>
              <w:spacing w:after="0"/>
              <w:rPr>
                <w:sz w:val="17"/>
                <w:szCs w:val="17"/>
                <w:color w:val="auto"/>
              </w:rPr>
            </w:pP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160" w:type="dxa"/>
            <w:vAlign w:val="bottom"/>
            <w:shd w:val="clear" w:color="auto" w:fill="C7EAF2"/>
          </w:tcPr>
          <w:p>
            <w:pPr>
              <w:spacing w:after="0"/>
              <w:rPr>
                <w:sz w:val="17"/>
                <w:szCs w:val="17"/>
                <w:color w:val="auto"/>
              </w:rPr>
            </w:pPr>
          </w:p>
        </w:tc>
        <w:tc>
          <w:tcPr>
            <w:tcW w:w="1240" w:type="dxa"/>
            <w:vAlign w:val="bottom"/>
            <w:shd w:val="clear" w:color="auto" w:fill="C7EAF2"/>
          </w:tcPr>
          <w:p>
            <w:pPr>
              <w:spacing w:after="0"/>
              <w:rPr>
                <w:sz w:val="17"/>
                <w:szCs w:val="17"/>
                <w:color w:val="auto"/>
              </w:rPr>
            </w:pPr>
          </w:p>
        </w:tc>
        <w:tc>
          <w:tcPr>
            <w:tcW w:w="22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7EAF2"/>
            </w:tcBorders>
          </w:tcPr>
          <w:p>
            <w:pPr>
              <w:ind w:left="100"/>
              <w:spacing w:after="0"/>
              <w:rPr>
                <w:sz w:val="20"/>
                <w:szCs w:val="20"/>
                <w:color w:val="auto"/>
              </w:rPr>
            </w:pPr>
            <w:r>
              <w:rPr>
                <w:rFonts w:ascii="Times New Roman" w:cs="Times New Roman" w:eastAsia="Times New Roman" w:hAnsi="Times New Roman"/>
                <w:sz w:val="17"/>
                <w:szCs w:val="17"/>
                <w:color w:val="auto"/>
              </w:rPr>
              <w:t>Tax expense</w:t>
            </w:r>
          </w:p>
        </w:tc>
        <w:tc>
          <w:tcPr>
            <w:tcW w:w="860" w:type="dxa"/>
            <w:vAlign w:val="bottom"/>
            <w:tcBorders>
              <w:bottom w:val="single" w:sz="8" w:color="C7EAF2"/>
            </w:tcBorders>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tcBorders>
              <w:bottom w:val="single" w:sz="8" w:color="C7EAF2"/>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2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Loss and comprehensive loss for the year, after tax</w:t>
            </w: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1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170,964</w:t>
            </w:r>
          </w:p>
        </w:tc>
        <w:tc>
          <w:tcPr>
            <w:tcW w:w="220" w:type="dxa"/>
            <w:vAlign w:val="bottom"/>
            <w:shd w:val="clear" w:color="auto" w:fill="C7EAF2"/>
          </w:tcPr>
          <w:p>
            <w:pPr>
              <w:spacing w:after="0"/>
              <w:rPr>
                <w:sz w:val="17"/>
                <w:szCs w:val="17"/>
                <w:color w:val="auto"/>
              </w:rPr>
            </w:pPr>
          </w:p>
        </w:tc>
        <w:tc>
          <w:tcPr>
            <w:tcW w:w="1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141,299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shd w:val="clear" w:color="auto" w:fill="C7EAF2"/>
          </w:tcPr>
          <w:p>
            <w:pPr>
              <w:spacing w:after="0"/>
              <w:rPr>
                <w:sz w:val="18"/>
                <w:szCs w:val="18"/>
                <w:color w:val="auto"/>
              </w:rPr>
            </w:pP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vMerge w:val="restart"/>
          </w:tcPr>
          <w:p>
            <w:pPr>
              <w:spacing w:after="0"/>
              <w:rPr>
                <w:sz w:val="18"/>
                <w:szCs w:val="18"/>
                <w:color w:val="auto"/>
              </w:rPr>
            </w:pPr>
          </w:p>
        </w:tc>
        <w:tc>
          <w:tcPr>
            <w:tcW w:w="12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per share - Basic and diluted</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0.71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 w:type="dxa"/>
            <w:vAlign w:val="bottom"/>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0.69</w:t>
            </w: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520" w:type="dxa"/>
            <w:vAlign w:val="bottom"/>
            <w:tcBorders>
              <w:top w:val="single" w:sz="8" w:color="C7EAF2"/>
            </w:tcBorders>
            <w:shd w:val="clear" w:color="auto" w:fill="C7EAF2"/>
          </w:tcPr>
          <w:p>
            <w:pPr>
              <w:spacing w:after="0"/>
              <w:rPr>
                <w:sz w:val="17"/>
                <w:szCs w:val="17"/>
                <w:color w:val="auto"/>
              </w:rPr>
            </w:pPr>
          </w:p>
        </w:tc>
        <w:tc>
          <w:tcPr>
            <w:tcW w:w="860" w:type="dxa"/>
            <w:vAlign w:val="bottom"/>
            <w:tcBorders>
              <w:top w:val="single" w:sz="8" w:color="C7EAF2"/>
            </w:tcBorders>
            <w:shd w:val="clear" w:color="auto" w:fill="C7EAF2"/>
          </w:tcPr>
          <w:p>
            <w:pPr>
              <w:spacing w:after="0"/>
              <w:rPr>
                <w:sz w:val="17"/>
                <w:szCs w:val="17"/>
                <w:color w:val="auto"/>
              </w:rPr>
            </w:pPr>
          </w:p>
        </w:tc>
        <w:tc>
          <w:tcPr>
            <w:tcW w:w="200" w:type="dxa"/>
            <w:vAlign w:val="bottom"/>
            <w:tcBorders>
              <w:top w:val="single" w:sz="8" w:color="C7EAF2"/>
            </w:tcBorders>
            <w:shd w:val="clear" w:color="auto" w:fill="C7EAF2"/>
          </w:tcPr>
          <w:p>
            <w:pPr>
              <w:spacing w:after="0"/>
              <w:rPr>
                <w:sz w:val="17"/>
                <w:szCs w:val="17"/>
                <w:color w:val="auto"/>
              </w:rPr>
            </w:pPr>
          </w:p>
        </w:tc>
        <w:tc>
          <w:tcPr>
            <w:tcW w:w="160" w:type="dxa"/>
            <w:vAlign w:val="bottom"/>
            <w:tcBorders>
              <w:top w:val="single" w:sz="8" w:color="auto"/>
            </w:tcBorders>
            <w:shd w:val="clear" w:color="auto" w:fill="C7EAF2"/>
          </w:tcPr>
          <w:p>
            <w:pPr>
              <w:spacing w:after="0"/>
              <w:rPr>
                <w:sz w:val="17"/>
                <w:szCs w:val="17"/>
                <w:color w:val="auto"/>
              </w:rPr>
            </w:pPr>
          </w:p>
        </w:tc>
        <w:tc>
          <w:tcPr>
            <w:tcW w:w="1240" w:type="dxa"/>
            <w:vAlign w:val="bottom"/>
            <w:tcBorders>
              <w:top w:val="single" w:sz="8" w:color="auto"/>
            </w:tcBorders>
            <w:shd w:val="clear" w:color="auto" w:fill="C7EAF2"/>
          </w:tcPr>
          <w:p>
            <w:pPr>
              <w:spacing w:after="0"/>
              <w:rPr>
                <w:sz w:val="17"/>
                <w:szCs w:val="17"/>
                <w:color w:val="auto"/>
              </w:rPr>
            </w:pPr>
          </w:p>
        </w:tc>
        <w:tc>
          <w:tcPr>
            <w:tcW w:w="22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5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Weighted average number of common shares outstanding – basic and</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diluted</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239,867,019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204,926,931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27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280">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Equity</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Special</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46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140" w:type="dxa"/>
            <w:vAlign w:val="bottom"/>
          </w:tcPr>
          <w:p>
            <w:pPr>
              <w:spacing w:after="0"/>
              <w:rPr>
                <w:sz w:val="12"/>
                <w:szCs w:val="12"/>
                <w:color w:val="auto"/>
              </w:rPr>
            </w:pPr>
          </w:p>
        </w:tc>
        <w:tc>
          <w:tcPr>
            <w:tcW w:w="1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4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Borders>
              <w:top w:val="single" w:sz="8" w:color="auto"/>
            </w:tcBorders>
            <w:shd w:val="clear" w:color="auto" w:fill="C7EAF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Borders>
              <w:top w:val="single" w:sz="8" w:color="C7EAF2"/>
            </w:tcBorders>
            <w:shd w:val="clear" w:color="auto" w:fill="C7EAF2"/>
          </w:tcPr>
          <w:p>
            <w:pPr>
              <w:spacing w:after="0"/>
              <w:rPr>
                <w:sz w:val="11"/>
                <w:szCs w:val="11"/>
                <w:color w:val="auto"/>
              </w:rPr>
            </w:pPr>
          </w:p>
        </w:tc>
        <w:tc>
          <w:tcPr>
            <w:tcW w:w="78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9"/>
              </w:rPr>
              <w:t>225,432,493</w:t>
            </w:r>
          </w:p>
        </w:tc>
        <w:tc>
          <w:tcPr>
            <w:tcW w:w="140" w:type="dxa"/>
            <w:vAlign w:val="bottom"/>
            <w:tcBorders>
              <w:top w:val="single" w:sz="8" w:color="C7EAF2"/>
            </w:tcBorders>
            <w:shd w:val="clear" w:color="auto" w:fill="C7EAF2"/>
          </w:tcPr>
          <w:p>
            <w:pPr>
              <w:spacing w:after="0"/>
              <w:rPr>
                <w:sz w:val="11"/>
                <w:szCs w:val="11"/>
                <w:color w:val="auto"/>
              </w:rPr>
            </w:pPr>
          </w:p>
        </w:tc>
        <w:tc>
          <w:tcPr>
            <w:tcW w:w="62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6"/>
              </w:rPr>
              <w:t>$ 296,051</w:t>
            </w:r>
          </w:p>
        </w:tc>
        <w:tc>
          <w:tcPr>
            <w:tcW w:w="140" w:type="dxa"/>
            <w:vAlign w:val="bottom"/>
            <w:tcBorders>
              <w:top w:val="single" w:sz="8" w:color="C7EAF2"/>
            </w:tcBorders>
            <w:shd w:val="clear" w:color="auto" w:fill="C7EAF2"/>
          </w:tcPr>
          <w:p>
            <w:pPr>
              <w:spacing w:after="0"/>
              <w:rPr>
                <w:sz w:val="11"/>
                <w:szCs w:val="11"/>
                <w:color w:val="auto"/>
              </w:rPr>
            </w:pPr>
          </w:p>
        </w:tc>
        <w:tc>
          <w:tcPr>
            <w:tcW w:w="140" w:type="dxa"/>
            <w:vAlign w:val="bottom"/>
            <w:tcBorders>
              <w:top w:val="single" w:sz="8" w:color="auto"/>
            </w:tcBorders>
            <w:shd w:val="clear" w:color="auto" w:fill="C7EAF2"/>
          </w:tcPr>
          <w:p>
            <w:pPr>
              <w:jc w:val="right"/>
              <w:ind w:right="1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7EAF2"/>
            </w:tcBorders>
            <w:shd w:val="clear" w:color="auto" w:fill="C7EAF2"/>
          </w:tcPr>
          <w:p>
            <w:pPr>
              <w:spacing w:after="0"/>
              <w:rPr>
                <w:sz w:val="11"/>
                <w:szCs w:val="11"/>
                <w:color w:val="auto"/>
              </w:rPr>
            </w:pPr>
          </w:p>
        </w:tc>
        <w:tc>
          <w:tcPr>
            <w:tcW w:w="180" w:type="dxa"/>
            <w:vAlign w:val="bottom"/>
            <w:tcBorders>
              <w:top w:val="single" w:sz="8" w:color="auto"/>
            </w:tcBorders>
            <w:shd w:val="clear" w:color="auto" w:fill="C7EAF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7EAF2"/>
            </w:tcBorders>
            <w:shd w:val="clear" w:color="auto" w:fill="C7EAF2"/>
          </w:tcPr>
          <w:p>
            <w:pPr>
              <w:spacing w:after="0"/>
              <w:rPr>
                <w:sz w:val="11"/>
                <w:szCs w:val="11"/>
                <w:color w:val="auto"/>
              </w:rPr>
            </w:pPr>
          </w:p>
        </w:tc>
        <w:tc>
          <w:tcPr>
            <w:tcW w:w="180" w:type="dxa"/>
            <w:vAlign w:val="bottom"/>
            <w:tcBorders>
              <w:top w:val="single" w:sz="8" w:color="auto"/>
            </w:tcBorders>
            <w:shd w:val="clear" w:color="auto" w:fill="C7EAF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102,073</w:t>
            </w:r>
          </w:p>
        </w:tc>
        <w:tc>
          <w:tcPr>
            <w:tcW w:w="140" w:type="dxa"/>
            <w:vAlign w:val="bottom"/>
            <w:tcBorders>
              <w:top w:val="single" w:sz="8" w:color="C7EAF2"/>
            </w:tcBorders>
            <w:shd w:val="clear" w:color="auto" w:fill="C7EAF2"/>
          </w:tcPr>
          <w:p>
            <w:pPr>
              <w:spacing w:after="0"/>
              <w:rPr>
                <w:sz w:val="11"/>
                <w:szCs w:val="11"/>
                <w:color w:val="auto"/>
              </w:rPr>
            </w:pPr>
          </w:p>
        </w:tc>
        <w:tc>
          <w:tcPr>
            <w:tcW w:w="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Borders>
              <w:top w:val="single" w:sz="8" w:color="C7EAF2"/>
            </w:tcBorders>
            <w:shd w:val="clear" w:color="auto" w:fill="C7EAF2"/>
          </w:tcPr>
          <w:p>
            <w:pPr>
              <w:spacing w:after="0"/>
              <w:rPr>
                <w:sz w:val="11"/>
                <w:szCs w:val="11"/>
                <w:color w:val="auto"/>
              </w:rPr>
            </w:pPr>
          </w:p>
        </w:tc>
        <w:tc>
          <w:tcPr>
            <w:tcW w:w="68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7"/>
              </w:rPr>
              <w:t>$ (304,157)</w:t>
            </w:r>
          </w:p>
        </w:tc>
        <w:tc>
          <w:tcPr>
            <w:tcW w:w="140" w:type="dxa"/>
            <w:vAlign w:val="bottom"/>
            <w:tcBorders>
              <w:top w:val="single" w:sz="8" w:color="C7EAF2"/>
            </w:tcBorders>
            <w:shd w:val="clear" w:color="auto" w:fill="C7EAF2"/>
          </w:tcPr>
          <w:p>
            <w:pPr>
              <w:spacing w:after="0"/>
              <w:rPr>
                <w:sz w:val="11"/>
                <w:szCs w:val="11"/>
                <w:color w:val="auto"/>
              </w:rPr>
            </w:pPr>
          </w:p>
        </w:tc>
        <w:tc>
          <w:tcPr>
            <w:tcW w:w="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under PIPE Financing</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38,266,180</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29,621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Proceeds) (Note 19)</w:t>
            </w: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40" w:type="dxa"/>
            <w:vAlign w:val="bottom"/>
            <w:gridSpan w:val="2"/>
            <w:shd w:val="clear" w:color="auto" w:fill="C7EAF2"/>
          </w:tcPr>
          <w:p>
            <w:pPr>
              <w:spacing w:after="0" w:line="143" w:lineRule="exact"/>
              <w:rPr>
                <w:sz w:val="20"/>
                <w:szCs w:val="20"/>
                <w:color w:val="auto"/>
              </w:rPr>
            </w:pPr>
            <w:r>
              <w:rPr>
                <w:rFonts w:ascii="Times New Roman" w:cs="Times New Roman" w:eastAsia="Times New Roman" w:hAnsi="Times New Roman"/>
                <w:sz w:val="14"/>
                <w:szCs w:val="14"/>
                <w:color w:val="auto"/>
              </w:rPr>
              <w:t>Exercise of stock options (Note 15)</w:t>
            </w:r>
          </w:p>
        </w:tc>
        <w:tc>
          <w:tcPr>
            <w:tcW w:w="7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118,461</w:t>
            </w:r>
          </w:p>
        </w:tc>
        <w:tc>
          <w:tcPr>
            <w:tcW w:w="140" w:type="dxa"/>
            <w:vAlign w:val="bottom"/>
            <w:shd w:val="clear" w:color="auto" w:fill="C7EAF2"/>
          </w:tcPr>
          <w:p>
            <w:pPr>
              <w:spacing w:after="0"/>
              <w:rPr>
                <w:sz w:val="12"/>
                <w:szCs w:val="12"/>
                <w:color w:val="auto"/>
              </w:rPr>
            </w:pPr>
          </w:p>
        </w:tc>
        <w:tc>
          <w:tcPr>
            <w:tcW w:w="6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142</w:t>
            </w:r>
          </w:p>
        </w:tc>
        <w:tc>
          <w:tcPr>
            <w:tcW w:w="140" w:type="dxa"/>
            <w:vAlign w:val="bottom"/>
            <w:shd w:val="clear" w:color="auto" w:fill="C7EAF2"/>
          </w:tcPr>
          <w:p>
            <w:pPr>
              <w:spacing w:after="0"/>
              <w:rPr>
                <w:sz w:val="12"/>
                <w:szCs w:val="12"/>
                <w:color w:val="auto"/>
              </w:rPr>
            </w:pPr>
          </w:p>
        </w:tc>
        <w:tc>
          <w:tcPr>
            <w:tcW w:w="140" w:type="dxa"/>
            <w:vAlign w:val="bottom"/>
            <w:shd w:val="clear" w:color="auto" w:fill="C7EAF2"/>
          </w:tcPr>
          <w:p>
            <w:pPr>
              <w:spacing w:after="0"/>
              <w:rPr>
                <w:sz w:val="12"/>
                <w:szCs w:val="12"/>
                <w:color w:val="auto"/>
              </w:rPr>
            </w:pPr>
          </w:p>
        </w:tc>
        <w:tc>
          <w:tcPr>
            <w:tcW w:w="5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180" w:type="dxa"/>
            <w:vAlign w:val="bottom"/>
            <w:shd w:val="clear" w:color="auto" w:fill="C7EAF2"/>
          </w:tcPr>
          <w:p>
            <w:pPr>
              <w:spacing w:after="0"/>
              <w:rPr>
                <w:sz w:val="12"/>
                <w:szCs w:val="12"/>
                <w:color w:val="auto"/>
              </w:rPr>
            </w:pPr>
          </w:p>
        </w:tc>
        <w:tc>
          <w:tcPr>
            <w:tcW w:w="3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180" w:type="dxa"/>
            <w:vAlign w:val="bottom"/>
            <w:shd w:val="clear" w:color="auto" w:fill="C7EAF2"/>
          </w:tcPr>
          <w:p>
            <w:pPr>
              <w:spacing w:after="0"/>
              <w:rPr>
                <w:sz w:val="12"/>
                <w:szCs w:val="12"/>
                <w:color w:val="auto"/>
              </w:rPr>
            </w:pPr>
          </w:p>
        </w:tc>
        <w:tc>
          <w:tcPr>
            <w:tcW w:w="7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(66)</w:t>
            </w:r>
          </w:p>
        </w:tc>
        <w:tc>
          <w:tcPr>
            <w:tcW w:w="140" w:type="dxa"/>
            <w:vAlign w:val="bottom"/>
            <w:shd w:val="clear" w:color="auto" w:fill="C7EAF2"/>
          </w:tcPr>
          <w:p>
            <w:pPr>
              <w:spacing w:after="0"/>
              <w:rPr>
                <w:sz w:val="12"/>
                <w:szCs w:val="12"/>
                <w:color w:val="auto"/>
              </w:rPr>
            </w:pPr>
          </w:p>
        </w:tc>
        <w:tc>
          <w:tcPr>
            <w:tcW w:w="80" w:type="dxa"/>
            <w:vAlign w:val="bottom"/>
            <w:shd w:val="clear" w:color="auto" w:fill="C7EAF2"/>
          </w:tcPr>
          <w:p>
            <w:pPr>
              <w:spacing w:after="0"/>
              <w:rPr>
                <w:sz w:val="12"/>
                <w:szCs w:val="12"/>
                <w:color w:val="auto"/>
              </w:rPr>
            </w:pPr>
          </w:p>
        </w:tc>
        <w:tc>
          <w:tcPr>
            <w:tcW w:w="124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6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80" w:type="dxa"/>
            <w:vAlign w:val="bottom"/>
            <w:shd w:val="clear" w:color="auto" w:fill="C7EAF2"/>
          </w:tcPr>
          <w:p>
            <w:pPr>
              <w:spacing w:after="0"/>
              <w:rPr>
                <w:sz w:val="12"/>
                <w:szCs w:val="12"/>
                <w:color w:val="auto"/>
              </w:rPr>
            </w:pPr>
          </w:p>
        </w:tc>
        <w:tc>
          <w:tcPr>
            <w:tcW w:w="5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Conversion of restricted share units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2,877,068</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6,875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(6,945)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(Note 15)</w:t>
            </w: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gridSpan w:val="2"/>
            <w:shd w:val="clear" w:color="auto" w:fill="C7EAF2"/>
          </w:tcPr>
          <w:p>
            <w:pPr>
              <w:spacing w:after="0" w:line="117" w:lineRule="exact"/>
              <w:rPr>
                <w:sz w:val="20"/>
                <w:szCs w:val="20"/>
                <w:color w:val="auto"/>
              </w:rPr>
            </w:pPr>
            <w:r>
              <w:rPr>
                <w:rFonts w:ascii="Times New Roman" w:cs="Times New Roman" w:eastAsia="Times New Roman" w:hAnsi="Times New Roman"/>
                <w:sz w:val="13"/>
                <w:szCs w:val="13"/>
                <w:color w:val="auto"/>
              </w:rPr>
              <w:t>Share purchase under Employee Share</w:t>
            </w:r>
          </w:p>
        </w:tc>
        <w:tc>
          <w:tcPr>
            <w:tcW w:w="7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117,929</w:t>
            </w:r>
          </w:p>
        </w:tc>
        <w:tc>
          <w:tcPr>
            <w:tcW w:w="140" w:type="dxa"/>
            <w:vAlign w:val="bottom"/>
            <w:shd w:val="clear" w:color="auto" w:fill="C7EAF2"/>
          </w:tcPr>
          <w:p>
            <w:pPr>
              <w:spacing w:after="0"/>
              <w:rPr>
                <w:sz w:val="10"/>
                <w:szCs w:val="10"/>
                <w:color w:val="auto"/>
              </w:rPr>
            </w:pPr>
          </w:p>
        </w:tc>
        <w:tc>
          <w:tcPr>
            <w:tcW w:w="62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40" w:type="dxa"/>
            <w:vAlign w:val="bottom"/>
            <w:shd w:val="clear" w:color="auto" w:fill="C7EAF2"/>
          </w:tcPr>
          <w:p>
            <w:pPr>
              <w:spacing w:after="0"/>
              <w:rPr>
                <w:sz w:val="10"/>
                <w:szCs w:val="10"/>
                <w:color w:val="auto"/>
              </w:rPr>
            </w:pPr>
          </w:p>
        </w:tc>
        <w:tc>
          <w:tcPr>
            <w:tcW w:w="140" w:type="dxa"/>
            <w:vAlign w:val="bottom"/>
            <w:shd w:val="clear" w:color="auto" w:fill="C7EAF2"/>
          </w:tcPr>
          <w:p>
            <w:pPr>
              <w:spacing w:after="0"/>
              <w:rPr>
                <w:sz w:val="10"/>
                <w:szCs w:val="10"/>
                <w:color w:val="auto"/>
              </w:rPr>
            </w:pPr>
          </w:p>
        </w:tc>
        <w:tc>
          <w:tcPr>
            <w:tcW w:w="52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180" w:type="dxa"/>
            <w:vAlign w:val="bottom"/>
            <w:shd w:val="clear" w:color="auto" w:fill="C7EAF2"/>
          </w:tcPr>
          <w:p>
            <w:pPr>
              <w:spacing w:after="0"/>
              <w:rPr>
                <w:sz w:val="10"/>
                <w:szCs w:val="10"/>
                <w:color w:val="auto"/>
              </w:rPr>
            </w:pPr>
          </w:p>
        </w:tc>
        <w:tc>
          <w:tcPr>
            <w:tcW w:w="32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180" w:type="dxa"/>
            <w:vAlign w:val="bottom"/>
            <w:shd w:val="clear" w:color="auto" w:fill="C7EAF2"/>
          </w:tcPr>
          <w:p>
            <w:pPr>
              <w:spacing w:after="0"/>
              <w:rPr>
                <w:sz w:val="10"/>
                <w:szCs w:val="10"/>
                <w:color w:val="auto"/>
              </w:rPr>
            </w:pPr>
          </w:p>
        </w:tc>
        <w:tc>
          <w:tcPr>
            <w:tcW w:w="7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40" w:type="dxa"/>
            <w:vAlign w:val="bottom"/>
            <w:shd w:val="clear" w:color="auto" w:fill="C7EAF2"/>
          </w:tcPr>
          <w:p>
            <w:pPr>
              <w:spacing w:after="0"/>
              <w:rPr>
                <w:sz w:val="10"/>
                <w:szCs w:val="10"/>
                <w:color w:val="auto"/>
              </w:rPr>
            </w:pPr>
          </w:p>
        </w:tc>
        <w:tc>
          <w:tcPr>
            <w:tcW w:w="80" w:type="dxa"/>
            <w:vAlign w:val="bottom"/>
            <w:shd w:val="clear" w:color="auto" w:fill="C7EAF2"/>
          </w:tcPr>
          <w:p>
            <w:pPr>
              <w:spacing w:after="0"/>
              <w:rPr>
                <w:sz w:val="10"/>
                <w:szCs w:val="10"/>
                <w:color w:val="auto"/>
              </w:rPr>
            </w:pPr>
          </w:p>
        </w:tc>
        <w:tc>
          <w:tcPr>
            <w:tcW w:w="124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6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80" w:type="dxa"/>
            <w:vAlign w:val="bottom"/>
            <w:shd w:val="clear" w:color="auto" w:fill="C7EAF2"/>
          </w:tcPr>
          <w:p>
            <w:pPr>
              <w:spacing w:after="0"/>
              <w:rPr>
                <w:sz w:val="10"/>
                <w:szCs w:val="10"/>
                <w:color w:val="auto"/>
              </w:rPr>
            </w:pPr>
          </w:p>
        </w:tc>
        <w:tc>
          <w:tcPr>
            <w:tcW w:w="5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gridSpan w:val="2"/>
            <w:shd w:val="clear" w:color="auto" w:fill="C7EAF2"/>
          </w:tcPr>
          <w:p>
            <w:pPr>
              <w:ind w:left="120"/>
              <w:spacing w:after="0"/>
              <w:rPr>
                <w:sz w:val="20"/>
                <w:szCs w:val="20"/>
                <w:color w:val="auto"/>
              </w:rPr>
            </w:pPr>
            <w:r>
              <w:rPr>
                <w:rFonts w:ascii="Times New Roman" w:cs="Times New Roman" w:eastAsia="Times New Roman" w:hAnsi="Times New Roman"/>
                <w:sz w:val="14"/>
                <w:szCs w:val="14"/>
                <w:color w:val="auto"/>
              </w:rPr>
              <w:t>Purchase Plan</w:t>
            </w:r>
          </w:p>
        </w:tc>
        <w:tc>
          <w:tcPr>
            <w:tcW w:w="78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62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52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180" w:type="dxa"/>
            <w:vAlign w:val="bottom"/>
            <w:shd w:val="clear" w:color="auto" w:fill="C7EAF2"/>
          </w:tcPr>
          <w:p>
            <w:pPr>
              <w:spacing w:after="0"/>
              <w:rPr>
                <w:sz w:val="14"/>
                <w:szCs w:val="14"/>
                <w:color w:val="auto"/>
              </w:rPr>
            </w:pPr>
          </w:p>
        </w:tc>
        <w:tc>
          <w:tcPr>
            <w:tcW w:w="32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180" w:type="dxa"/>
            <w:vAlign w:val="bottom"/>
            <w:shd w:val="clear" w:color="auto" w:fill="C7EAF2"/>
          </w:tcPr>
          <w:p>
            <w:pPr>
              <w:spacing w:after="0"/>
              <w:rPr>
                <w:sz w:val="14"/>
                <w:szCs w:val="14"/>
                <w:color w:val="auto"/>
              </w:rPr>
            </w:pPr>
          </w:p>
        </w:tc>
        <w:tc>
          <w:tcPr>
            <w:tcW w:w="78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80" w:type="dxa"/>
            <w:vAlign w:val="bottom"/>
            <w:shd w:val="clear" w:color="auto" w:fill="C7EAF2"/>
          </w:tcPr>
          <w:p>
            <w:pPr>
              <w:spacing w:after="0"/>
              <w:rPr>
                <w:sz w:val="14"/>
                <w:szCs w:val="14"/>
                <w:color w:val="auto"/>
              </w:rPr>
            </w:pPr>
          </w:p>
        </w:tc>
        <w:tc>
          <w:tcPr>
            <w:tcW w:w="124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68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80" w:type="dxa"/>
            <w:vAlign w:val="bottom"/>
            <w:shd w:val="clear" w:color="auto" w:fill="C7EAF2"/>
          </w:tcPr>
          <w:p>
            <w:pPr>
              <w:spacing w:after="0"/>
              <w:rPr>
                <w:sz w:val="14"/>
                <w:szCs w:val="14"/>
                <w:color w:val="auto"/>
              </w:rPr>
            </w:pPr>
          </w:p>
        </w:tc>
        <w:tc>
          <w:tcPr>
            <w:tcW w:w="580" w:type="dxa"/>
            <w:vAlign w:val="bottom"/>
            <w:vMerge w:val="continue"/>
            <w:shd w:val="clear" w:color="auto" w:fill="C7EAF2"/>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Vesting of Allseas Warrant (Note 10, 13)</w:t>
            </w: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69,900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69,900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40" w:type="dxa"/>
            <w:vAlign w:val="bottom"/>
            <w:gridSpan w:val="2"/>
            <w:shd w:val="clear" w:color="auto" w:fill="C7EAF2"/>
          </w:tcPr>
          <w:p>
            <w:pPr>
              <w:spacing w:after="0" w:line="143" w:lineRule="exact"/>
              <w:rPr>
                <w:sz w:val="20"/>
                <w:szCs w:val="20"/>
                <w:color w:val="auto"/>
              </w:rPr>
            </w:pPr>
            <w:r>
              <w:rPr>
                <w:rFonts w:ascii="Times New Roman" w:cs="Times New Roman" w:eastAsia="Times New Roman" w:hAnsi="Times New Roman"/>
                <w:sz w:val="14"/>
                <w:szCs w:val="14"/>
                <w:color w:val="auto"/>
              </w:rPr>
              <w:t>Share-based compensation (Note 15)</w:t>
            </w:r>
          </w:p>
        </w:tc>
        <w:tc>
          <w:tcPr>
            <w:tcW w:w="7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6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140" w:type="dxa"/>
            <w:vAlign w:val="bottom"/>
            <w:shd w:val="clear" w:color="auto" w:fill="C7EAF2"/>
          </w:tcPr>
          <w:p>
            <w:pPr>
              <w:spacing w:after="0"/>
              <w:rPr>
                <w:sz w:val="12"/>
                <w:szCs w:val="12"/>
                <w:color w:val="auto"/>
              </w:rPr>
            </w:pPr>
          </w:p>
        </w:tc>
        <w:tc>
          <w:tcPr>
            <w:tcW w:w="5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180" w:type="dxa"/>
            <w:vAlign w:val="bottom"/>
            <w:shd w:val="clear" w:color="auto" w:fill="C7EAF2"/>
          </w:tcPr>
          <w:p>
            <w:pPr>
              <w:spacing w:after="0"/>
              <w:rPr>
                <w:sz w:val="12"/>
                <w:szCs w:val="12"/>
                <w:color w:val="auto"/>
              </w:rPr>
            </w:pPr>
          </w:p>
        </w:tc>
        <w:tc>
          <w:tcPr>
            <w:tcW w:w="3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180" w:type="dxa"/>
            <w:vAlign w:val="bottom"/>
            <w:shd w:val="clear" w:color="auto" w:fill="C7EAF2"/>
          </w:tcPr>
          <w:p>
            <w:pPr>
              <w:spacing w:after="0"/>
              <w:rPr>
                <w:sz w:val="12"/>
                <w:szCs w:val="12"/>
                <w:color w:val="auto"/>
              </w:rPr>
            </w:pPr>
          </w:p>
        </w:tc>
        <w:tc>
          <w:tcPr>
            <w:tcW w:w="7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20,077</w:t>
            </w:r>
          </w:p>
        </w:tc>
        <w:tc>
          <w:tcPr>
            <w:tcW w:w="140" w:type="dxa"/>
            <w:vAlign w:val="bottom"/>
            <w:shd w:val="clear" w:color="auto" w:fill="C7EAF2"/>
          </w:tcPr>
          <w:p>
            <w:pPr>
              <w:spacing w:after="0"/>
              <w:rPr>
                <w:sz w:val="12"/>
                <w:szCs w:val="12"/>
                <w:color w:val="auto"/>
              </w:rPr>
            </w:pPr>
          </w:p>
        </w:tc>
        <w:tc>
          <w:tcPr>
            <w:tcW w:w="80" w:type="dxa"/>
            <w:vAlign w:val="bottom"/>
            <w:shd w:val="clear" w:color="auto" w:fill="C7EAF2"/>
          </w:tcPr>
          <w:p>
            <w:pPr>
              <w:spacing w:after="0"/>
              <w:rPr>
                <w:sz w:val="12"/>
                <w:szCs w:val="12"/>
                <w:color w:val="auto"/>
              </w:rPr>
            </w:pPr>
          </w:p>
        </w:tc>
        <w:tc>
          <w:tcPr>
            <w:tcW w:w="124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6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80" w:type="dxa"/>
            <w:vAlign w:val="bottom"/>
            <w:shd w:val="clear" w:color="auto" w:fill="C7EAF2"/>
          </w:tcPr>
          <w:p>
            <w:pPr>
              <w:spacing w:after="0"/>
              <w:rPr>
                <w:sz w:val="12"/>
                <w:szCs w:val="12"/>
                <w:color w:val="auto"/>
              </w:rPr>
            </w:pPr>
          </w:p>
        </w:tc>
        <w:tc>
          <w:tcPr>
            <w:tcW w:w="5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20,077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tcBorders>
              <w:bottom w:val="single" w:sz="8" w:color="C7EAF2"/>
            </w:tcBorders>
            <w:gridSpan w:val="2"/>
          </w:tcPr>
          <w:p>
            <w:pPr>
              <w:spacing w:after="0" w:line="143" w:lineRule="exact"/>
              <w:rPr>
                <w:sz w:val="20"/>
                <w:szCs w:val="20"/>
                <w:color w:val="auto"/>
              </w:rPr>
            </w:pPr>
            <w:r>
              <w:rPr>
                <w:rFonts w:ascii="Times New Roman" w:cs="Times New Roman" w:eastAsia="Times New Roman" w:hAnsi="Times New Roman"/>
                <w:sz w:val="14"/>
                <w:szCs w:val="14"/>
                <w:color w:val="auto"/>
              </w:rPr>
              <w:t>Loss for the year</w:t>
            </w:r>
          </w:p>
        </w:tc>
        <w:tc>
          <w:tcPr>
            <w:tcW w:w="7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4"/>
                <w:szCs w:val="14"/>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4"/>
                <w:szCs w:val="14"/>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(170,964)</w:t>
            </w:r>
          </w:p>
        </w:tc>
        <w:tc>
          <w:tcPr>
            <w:tcW w:w="140" w:type="dxa"/>
            <w:vAlign w:val="bottom"/>
            <w:tcBorders>
              <w:bottom w:val="single" w:sz="8" w:color="C7EAF2"/>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(170,964)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40" w:type="dxa"/>
            <w:vAlign w:val="bottom"/>
            <w:tcBorders>
              <w:top w:val="single" w:sz="8" w:color="C7EAF2"/>
              <w:bottom w:val="single" w:sz="8" w:color="C7EAF2"/>
            </w:tcBorders>
            <w:gridSpan w:val="2"/>
            <w:shd w:val="clear" w:color="auto" w:fill="C7EAF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December 31, 2022</w:t>
            </w:r>
          </w:p>
        </w:tc>
        <w:tc>
          <w:tcPr>
            <w:tcW w:w="780" w:type="dxa"/>
            <w:vAlign w:val="bottom"/>
            <w:tcBorders>
              <w:top w:val="single" w:sz="8" w:color="auto"/>
              <w:bottom w:val="single" w:sz="8" w:color="auto"/>
            </w:tcBorders>
            <w:shd w:val="clear" w:color="auto" w:fill="C7EAF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266,812,131</w:t>
            </w:r>
          </w:p>
        </w:tc>
        <w:tc>
          <w:tcPr>
            <w:tcW w:w="140" w:type="dxa"/>
            <w:vAlign w:val="bottom"/>
            <w:tcBorders>
              <w:top w:val="single" w:sz="8" w:color="C7EAF2"/>
              <w:bottom w:val="single" w:sz="8" w:color="C7EAF2"/>
            </w:tcBorders>
            <w:shd w:val="clear" w:color="auto" w:fill="C7EAF2"/>
          </w:tcPr>
          <w:p>
            <w:pPr>
              <w:spacing w:after="0"/>
              <w:rPr>
                <w:sz w:val="10"/>
                <w:szCs w:val="10"/>
                <w:color w:val="auto"/>
              </w:rPr>
            </w:pPr>
          </w:p>
        </w:tc>
        <w:tc>
          <w:tcPr>
            <w:tcW w:w="620" w:type="dxa"/>
            <w:vAlign w:val="bottom"/>
            <w:tcBorders>
              <w:top w:val="single" w:sz="8" w:color="auto"/>
              <w:bottom w:val="single" w:sz="8" w:color="auto"/>
            </w:tcBorders>
            <w:shd w:val="clear" w:color="auto" w:fill="C7EAF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$ 332,882</w:t>
            </w:r>
          </w:p>
        </w:tc>
        <w:tc>
          <w:tcPr>
            <w:tcW w:w="140" w:type="dxa"/>
            <w:vAlign w:val="bottom"/>
            <w:tcBorders>
              <w:top w:val="single" w:sz="8" w:color="C7EAF2"/>
              <w:bottom w:val="single" w:sz="8" w:color="C7EAF2"/>
            </w:tcBorders>
            <w:shd w:val="clear" w:color="auto" w:fill="C7EAF2"/>
          </w:tcPr>
          <w:p>
            <w:pPr>
              <w:spacing w:after="0"/>
              <w:rPr>
                <w:sz w:val="10"/>
                <w:szCs w:val="10"/>
                <w:color w:val="auto"/>
              </w:rPr>
            </w:pPr>
          </w:p>
        </w:tc>
        <w:tc>
          <w:tcPr>
            <w:tcW w:w="140" w:type="dxa"/>
            <w:vAlign w:val="bottom"/>
            <w:tcBorders>
              <w:top w:val="single" w:sz="8" w:color="auto"/>
              <w:bottom w:val="single" w:sz="8" w:color="auto"/>
            </w:tcBorders>
            <w:shd w:val="clear" w:color="auto" w:fill="C7EAF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shd w:val="clear" w:color="auto" w:fill="C7EAF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7EAF2"/>
              <w:bottom w:val="single" w:sz="8" w:color="C7EAF2"/>
            </w:tcBorders>
            <w:shd w:val="clear" w:color="auto" w:fill="C7EAF2"/>
          </w:tcPr>
          <w:p>
            <w:pPr>
              <w:spacing w:after="0"/>
              <w:rPr>
                <w:sz w:val="10"/>
                <w:szCs w:val="10"/>
                <w:color w:val="auto"/>
              </w:rPr>
            </w:pPr>
          </w:p>
        </w:tc>
        <w:tc>
          <w:tcPr>
            <w:tcW w:w="180" w:type="dxa"/>
            <w:vAlign w:val="bottom"/>
            <w:tcBorders>
              <w:top w:val="single" w:sz="8" w:color="C7EAF2"/>
              <w:bottom w:val="single" w:sz="8" w:color="auto"/>
            </w:tcBorders>
            <w:shd w:val="clear" w:color="auto" w:fill="C7EAF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top w:val="single" w:sz="8" w:color="C7EAF2"/>
              <w:bottom w:val="single" w:sz="8" w:color="auto"/>
            </w:tcBorders>
            <w:shd w:val="clear" w:color="auto" w:fill="C7EAF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7EAF2"/>
              <w:bottom w:val="single" w:sz="8" w:color="C7EAF2"/>
            </w:tcBorders>
            <w:shd w:val="clear" w:color="auto" w:fill="C7EAF2"/>
          </w:tcPr>
          <w:p>
            <w:pPr>
              <w:spacing w:after="0"/>
              <w:rPr>
                <w:sz w:val="10"/>
                <w:szCs w:val="10"/>
                <w:color w:val="auto"/>
              </w:rPr>
            </w:pPr>
          </w:p>
        </w:tc>
        <w:tc>
          <w:tcPr>
            <w:tcW w:w="180" w:type="dxa"/>
            <w:vAlign w:val="bottom"/>
            <w:tcBorders>
              <w:top w:val="single" w:sz="8" w:color="C7EAF2"/>
              <w:bottom w:val="single" w:sz="8" w:color="auto"/>
            </w:tcBorders>
            <w:shd w:val="clear" w:color="auto" w:fill="C7EAF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top w:val="single" w:sz="8" w:color="C7EAF2"/>
              <w:bottom w:val="single" w:sz="8" w:color="auto"/>
            </w:tcBorders>
            <w:shd w:val="clear" w:color="auto" w:fill="C7EAF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184,960</w:t>
            </w:r>
          </w:p>
        </w:tc>
        <w:tc>
          <w:tcPr>
            <w:tcW w:w="140" w:type="dxa"/>
            <w:vAlign w:val="bottom"/>
            <w:tcBorders>
              <w:top w:val="single" w:sz="8" w:color="C7EAF2"/>
              <w:bottom w:val="single" w:sz="8" w:color="C7EAF2"/>
            </w:tcBorders>
            <w:shd w:val="clear" w:color="auto" w:fill="C7EAF2"/>
          </w:tcPr>
          <w:p>
            <w:pPr>
              <w:spacing w:after="0"/>
              <w:rPr>
                <w:sz w:val="10"/>
                <w:szCs w:val="10"/>
                <w:color w:val="auto"/>
              </w:rPr>
            </w:pPr>
          </w:p>
        </w:tc>
        <w:tc>
          <w:tcPr>
            <w:tcW w:w="8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bottom w:val="single" w:sz="8" w:color="auto"/>
            </w:tcBorders>
            <w:shd w:val="clear" w:color="auto" w:fill="C7EAF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(1,216)</w:t>
            </w:r>
          </w:p>
        </w:tc>
        <w:tc>
          <w:tcPr>
            <w:tcW w:w="140" w:type="dxa"/>
            <w:vAlign w:val="bottom"/>
            <w:tcBorders>
              <w:top w:val="single" w:sz="8" w:color="C7EAF2"/>
              <w:bottom w:val="single" w:sz="8" w:color="C7EAF2"/>
            </w:tcBorders>
            <w:shd w:val="clear" w:color="auto" w:fill="C7EAF2"/>
          </w:tcPr>
          <w:p>
            <w:pPr>
              <w:spacing w:after="0"/>
              <w:rPr>
                <w:sz w:val="10"/>
                <w:szCs w:val="10"/>
                <w:color w:val="auto"/>
              </w:rPr>
            </w:pPr>
          </w:p>
        </w:tc>
        <w:tc>
          <w:tcPr>
            <w:tcW w:w="680" w:type="dxa"/>
            <w:vAlign w:val="bottom"/>
            <w:tcBorders>
              <w:top w:val="single" w:sz="8" w:color="C7EAF2"/>
              <w:bottom w:val="single" w:sz="8" w:color="auto"/>
            </w:tcBorders>
            <w:shd w:val="clear" w:color="auto" w:fill="C7EAF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 (475,121)</w:t>
            </w:r>
          </w:p>
        </w:tc>
        <w:tc>
          <w:tcPr>
            <w:tcW w:w="140" w:type="dxa"/>
            <w:vAlign w:val="bottom"/>
            <w:tcBorders>
              <w:top w:val="single" w:sz="8" w:color="C7EAF2"/>
              <w:bottom w:val="single" w:sz="8" w:color="C7EAF2"/>
            </w:tcBorders>
            <w:shd w:val="clear" w:color="auto" w:fill="C7EAF2"/>
          </w:tcPr>
          <w:p>
            <w:pPr>
              <w:spacing w:after="0"/>
              <w:rPr>
                <w:sz w:val="10"/>
                <w:szCs w:val="10"/>
                <w:color w:val="auto"/>
              </w:rPr>
            </w:pPr>
          </w:p>
        </w:tc>
        <w:tc>
          <w:tcPr>
            <w:tcW w:w="8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bottom w:val="single" w:sz="8" w:color="auto"/>
            </w:tcBorders>
            <w:shd w:val="clear" w:color="auto" w:fill="C7EAF2"/>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41,505</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Special</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Accumulated Other</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46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780" w:type="dxa"/>
            <w:vAlign w:val="bottom"/>
          </w:tcPr>
          <w:p>
            <w:pPr>
              <w:jc w:val="right"/>
              <w:ind w:right="131"/>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620" w:type="dxa"/>
            <w:vAlign w:val="bottom"/>
          </w:tcPr>
          <w:p>
            <w:pPr>
              <w:jc w:val="right"/>
              <w:ind w:right="11"/>
              <w:spacing w:after="0" w:line="143"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5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Paid in Capital</w:t>
            </w:r>
          </w:p>
        </w:tc>
        <w:tc>
          <w:tcPr>
            <w:tcW w:w="140" w:type="dxa"/>
            <w:vAlign w:val="bottom"/>
          </w:tcPr>
          <w:p>
            <w:pPr>
              <w:spacing w:after="0"/>
              <w:rPr>
                <w:sz w:val="12"/>
                <w:szCs w:val="12"/>
                <w:color w:val="auto"/>
              </w:rPr>
            </w:pPr>
          </w:p>
        </w:tc>
        <w:tc>
          <w:tcPr>
            <w:tcW w:w="132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Loss</w:t>
            </w:r>
          </w:p>
        </w:tc>
        <w:tc>
          <w:tcPr>
            <w:tcW w:w="14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80" w:type="dxa"/>
            <w:vAlign w:val="bottom"/>
            <w:tcBorders>
              <w:top w:val="single" w:sz="8" w:color="auto"/>
            </w:tcBorders>
            <w:shd w:val="clear" w:color="auto" w:fill="C7EAF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Borders>
              <w:top w:val="single" w:sz="8" w:color="C7EAF2"/>
            </w:tcBorders>
            <w:shd w:val="clear" w:color="auto" w:fill="C7EAF2"/>
          </w:tcPr>
          <w:p>
            <w:pPr>
              <w:spacing w:after="0"/>
              <w:rPr>
                <w:sz w:val="11"/>
                <w:szCs w:val="11"/>
                <w:color w:val="auto"/>
              </w:rPr>
            </w:pPr>
          </w:p>
        </w:tc>
        <w:tc>
          <w:tcPr>
            <w:tcW w:w="78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9"/>
              </w:rPr>
              <w:t>189,493,593</w:t>
            </w:r>
          </w:p>
        </w:tc>
        <w:tc>
          <w:tcPr>
            <w:tcW w:w="140" w:type="dxa"/>
            <w:vAlign w:val="bottom"/>
            <w:tcBorders>
              <w:top w:val="single" w:sz="8" w:color="C7EAF2"/>
            </w:tcBorders>
            <w:shd w:val="clear" w:color="auto" w:fill="C7EAF2"/>
          </w:tcPr>
          <w:p>
            <w:pPr>
              <w:spacing w:after="0"/>
              <w:rPr>
                <w:sz w:val="11"/>
                <w:szCs w:val="11"/>
                <w:color w:val="auto"/>
              </w:rPr>
            </w:pPr>
          </w:p>
        </w:tc>
        <w:tc>
          <w:tcPr>
            <w:tcW w:w="62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6"/>
              </w:rPr>
              <w:t>$ 154,431</w:t>
            </w:r>
          </w:p>
        </w:tc>
        <w:tc>
          <w:tcPr>
            <w:tcW w:w="140" w:type="dxa"/>
            <w:vAlign w:val="bottom"/>
            <w:tcBorders>
              <w:top w:val="single" w:sz="8" w:color="C7EAF2"/>
            </w:tcBorders>
            <w:shd w:val="clear" w:color="auto" w:fill="C7EAF2"/>
          </w:tcPr>
          <w:p>
            <w:pPr>
              <w:spacing w:after="0"/>
              <w:rPr>
                <w:sz w:val="11"/>
                <w:szCs w:val="11"/>
                <w:color w:val="auto"/>
              </w:rPr>
            </w:pPr>
          </w:p>
        </w:tc>
        <w:tc>
          <w:tcPr>
            <w:tcW w:w="14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550</w:t>
            </w:r>
          </w:p>
        </w:tc>
        <w:tc>
          <w:tcPr>
            <w:tcW w:w="140" w:type="dxa"/>
            <w:vAlign w:val="bottom"/>
            <w:tcBorders>
              <w:top w:val="single" w:sz="8" w:color="C7EAF2"/>
            </w:tcBorders>
            <w:shd w:val="clear" w:color="auto" w:fill="C7EAF2"/>
          </w:tcPr>
          <w:p>
            <w:pPr>
              <w:spacing w:after="0"/>
              <w:rPr>
                <w:sz w:val="11"/>
                <w:szCs w:val="11"/>
                <w:color w:val="auto"/>
              </w:rPr>
            </w:pPr>
          </w:p>
        </w:tc>
        <w:tc>
          <w:tcPr>
            <w:tcW w:w="180" w:type="dxa"/>
            <w:vAlign w:val="bottom"/>
            <w:tcBorders>
              <w:top w:val="single" w:sz="8" w:color="auto"/>
            </w:tcBorders>
            <w:shd w:val="clear" w:color="auto" w:fill="C7EAF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C7EAF2"/>
            </w:tcBorders>
            <w:shd w:val="clear" w:color="auto" w:fill="C7EAF2"/>
          </w:tcPr>
          <w:p>
            <w:pPr>
              <w:spacing w:after="0"/>
              <w:rPr>
                <w:sz w:val="11"/>
                <w:szCs w:val="11"/>
                <w:color w:val="auto"/>
              </w:rPr>
            </w:pPr>
          </w:p>
        </w:tc>
        <w:tc>
          <w:tcPr>
            <w:tcW w:w="180" w:type="dxa"/>
            <w:vAlign w:val="bottom"/>
            <w:tcBorders>
              <w:top w:val="single" w:sz="8" w:color="auto"/>
            </w:tcBorders>
            <w:shd w:val="clear" w:color="auto" w:fill="C7EAF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45,347</w:t>
            </w:r>
          </w:p>
        </w:tc>
        <w:tc>
          <w:tcPr>
            <w:tcW w:w="140" w:type="dxa"/>
            <w:vAlign w:val="bottom"/>
            <w:tcBorders>
              <w:top w:val="single" w:sz="8" w:color="C7EAF2"/>
            </w:tcBorders>
            <w:shd w:val="clear" w:color="auto" w:fill="C7EAF2"/>
          </w:tcPr>
          <w:p>
            <w:pPr>
              <w:spacing w:after="0"/>
              <w:rPr>
                <w:sz w:val="11"/>
                <w:szCs w:val="11"/>
                <w:color w:val="auto"/>
              </w:rPr>
            </w:pPr>
          </w:p>
        </w:tc>
        <w:tc>
          <w:tcPr>
            <w:tcW w:w="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Borders>
              <w:top w:val="single" w:sz="8" w:color="C7EAF2"/>
            </w:tcBorders>
            <w:shd w:val="clear" w:color="auto" w:fill="C7EAF2"/>
          </w:tcPr>
          <w:p>
            <w:pPr>
              <w:spacing w:after="0"/>
              <w:rPr>
                <w:sz w:val="11"/>
                <w:szCs w:val="11"/>
                <w:color w:val="auto"/>
              </w:rPr>
            </w:pPr>
          </w:p>
        </w:tc>
        <w:tc>
          <w:tcPr>
            <w:tcW w:w="68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w w:val="97"/>
              </w:rPr>
              <w:t>$ (162,858)</w:t>
            </w:r>
          </w:p>
        </w:tc>
        <w:tc>
          <w:tcPr>
            <w:tcW w:w="140" w:type="dxa"/>
            <w:vAlign w:val="bottom"/>
            <w:tcBorders>
              <w:top w:val="single" w:sz="8" w:color="C7EAF2"/>
            </w:tcBorders>
            <w:shd w:val="clear" w:color="auto" w:fill="C7EAF2"/>
          </w:tcPr>
          <w:p>
            <w:pPr>
              <w:spacing w:after="0"/>
              <w:rPr>
                <w:sz w:val="11"/>
                <w:szCs w:val="11"/>
                <w:color w:val="auto"/>
              </w:rPr>
            </w:pPr>
          </w:p>
        </w:tc>
        <w:tc>
          <w:tcPr>
            <w:tcW w:w="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top w:val="single" w:sz="8" w:color="auto"/>
            </w:tcBorders>
            <w:shd w:val="clear" w:color="auto" w:fill="C7EAF2"/>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36,254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Exercise of stock options (Note 15)</w:t>
            </w: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6,312,756</w:t>
            </w:r>
          </w:p>
        </w:tc>
        <w:tc>
          <w:tcPr>
            <w:tcW w:w="1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14,297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(10,061)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4,236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gridSpan w:val="2"/>
            <w:shd w:val="clear" w:color="auto" w:fill="C7EAF2"/>
          </w:tcPr>
          <w:p>
            <w:pPr>
              <w:spacing w:after="0" w:line="117" w:lineRule="exact"/>
              <w:rPr>
                <w:sz w:val="20"/>
                <w:szCs w:val="20"/>
                <w:color w:val="auto"/>
              </w:rPr>
            </w:pPr>
            <w:r>
              <w:rPr>
                <w:rFonts w:ascii="Times New Roman" w:cs="Times New Roman" w:eastAsia="Times New Roman" w:hAnsi="Times New Roman"/>
                <w:sz w:val="13"/>
                <w:szCs w:val="13"/>
                <w:color w:val="auto"/>
              </w:rPr>
              <w:t>Conversion of restricted share units</w:t>
            </w:r>
          </w:p>
        </w:tc>
        <w:tc>
          <w:tcPr>
            <w:tcW w:w="7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173,216</w:t>
            </w:r>
          </w:p>
        </w:tc>
        <w:tc>
          <w:tcPr>
            <w:tcW w:w="140" w:type="dxa"/>
            <w:vAlign w:val="bottom"/>
            <w:shd w:val="clear" w:color="auto" w:fill="C7EAF2"/>
          </w:tcPr>
          <w:p>
            <w:pPr>
              <w:spacing w:after="0"/>
              <w:rPr>
                <w:sz w:val="10"/>
                <w:szCs w:val="10"/>
                <w:color w:val="auto"/>
              </w:rPr>
            </w:pPr>
          </w:p>
        </w:tc>
        <w:tc>
          <w:tcPr>
            <w:tcW w:w="62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40" w:type="dxa"/>
            <w:vAlign w:val="bottom"/>
            <w:shd w:val="clear" w:color="auto" w:fill="C7EAF2"/>
          </w:tcPr>
          <w:p>
            <w:pPr>
              <w:spacing w:after="0"/>
              <w:rPr>
                <w:sz w:val="10"/>
                <w:szCs w:val="10"/>
                <w:color w:val="auto"/>
              </w:rPr>
            </w:pPr>
          </w:p>
        </w:tc>
        <w:tc>
          <w:tcPr>
            <w:tcW w:w="140" w:type="dxa"/>
            <w:vAlign w:val="bottom"/>
            <w:shd w:val="clear" w:color="auto" w:fill="C7EAF2"/>
          </w:tcPr>
          <w:p>
            <w:pPr>
              <w:spacing w:after="0"/>
              <w:rPr>
                <w:sz w:val="10"/>
                <w:szCs w:val="10"/>
                <w:color w:val="auto"/>
              </w:rPr>
            </w:pPr>
          </w:p>
        </w:tc>
        <w:tc>
          <w:tcPr>
            <w:tcW w:w="52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180" w:type="dxa"/>
            <w:vAlign w:val="bottom"/>
            <w:shd w:val="clear" w:color="auto" w:fill="C7EAF2"/>
          </w:tcPr>
          <w:p>
            <w:pPr>
              <w:spacing w:after="0"/>
              <w:rPr>
                <w:sz w:val="10"/>
                <w:szCs w:val="10"/>
                <w:color w:val="auto"/>
              </w:rPr>
            </w:pPr>
          </w:p>
        </w:tc>
        <w:tc>
          <w:tcPr>
            <w:tcW w:w="32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180" w:type="dxa"/>
            <w:vAlign w:val="bottom"/>
            <w:shd w:val="clear" w:color="auto" w:fill="C7EAF2"/>
          </w:tcPr>
          <w:p>
            <w:pPr>
              <w:spacing w:after="0"/>
              <w:rPr>
                <w:sz w:val="10"/>
                <w:szCs w:val="10"/>
                <w:color w:val="auto"/>
              </w:rPr>
            </w:pPr>
          </w:p>
        </w:tc>
        <w:tc>
          <w:tcPr>
            <w:tcW w:w="7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40" w:type="dxa"/>
            <w:vAlign w:val="bottom"/>
            <w:shd w:val="clear" w:color="auto" w:fill="C7EAF2"/>
          </w:tcPr>
          <w:p>
            <w:pPr>
              <w:spacing w:after="0"/>
              <w:rPr>
                <w:sz w:val="10"/>
                <w:szCs w:val="10"/>
                <w:color w:val="auto"/>
              </w:rPr>
            </w:pPr>
          </w:p>
        </w:tc>
        <w:tc>
          <w:tcPr>
            <w:tcW w:w="80" w:type="dxa"/>
            <w:vAlign w:val="bottom"/>
            <w:shd w:val="clear" w:color="auto" w:fill="C7EAF2"/>
          </w:tcPr>
          <w:p>
            <w:pPr>
              <w:spacing w:after="0"/>
              <w:rPr>
                <w:sz w:val="10"/>
                <w:szCs w:val="10"/>
                <w:color w:val="auto"/>
              </w:rPr>
            </w:pPr>
          </w:p>
        </w:tc>
        <w:tc>
          <w:tcPr>
            <w:tcW w:w="124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6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80" w:type="dxa"/>
            <w:vAlign w:val="bottom"/>
            <w:shd w:val="clear" w:color="auto" w:fill="C7EAF2"/>
          </w:tcPr>
          <w:p>
            <w:pPr>
              <w:spacing w:after="0"/>
              <w:rPr>
                <w:sz w:val="10"/>
                <w:szCs w:val="10"/>
                <w:color w:val="auto"/>
              </w:rPr>
            </w:pPr>
          </w:p>
        </w:tc>
        <w:tc>
          <w:tcPr>
            <w:tcW w:w="5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gridSpan w:val="2"/>
            <w:shd w:val="clear" w:color="auto" w:fill="C7EAF2"/>
          </w:tcPr>
          <w:p>
            <w:pPr>
              <w:ind w:left="120"/>
              <w:spacing w:after="0"/>
              <w:rPr>
                <w:sz w:val="20"/>
                <w:szCs w:val="20"/>
                <w:color w:val="auto"/>
              </w:rPr>
            </w:pPr>
            <w:r>
              <w:rPr>
                <w:rFonts w:ascii="Times New Roman" w:cs="Times New Roman" w:eastAsia="Times New Roman" w:hAnsi="Times New Roman"/>
                <w:sz w:val="14"/>
                <w:szCs w:val="14"/>
                <w:color w:val="auto"/>
              </w:rPr>
              <w:t>(Note 15)</w:t>
            </w:r>
          </w:p>
        </w:tc>
        <w:tc>
          <w:tcPr>
            <w:tcW w:w="78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62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52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180" w:type="dxa"/>
            <w:vAlign w:val="bottom"/>
            <w:shd w:val="clear" w:color="auto" w:fill="C7EAF2"/>
          </w:tcPr>
          <w:p>
            <w:pPr>
              <w:spacing w:after="0"/>
              <w:rPr>
                <w:sz w:val="14"/>
                <w:szCs w:val="14"/>
                <w:color w:val="auto"/>
              </w:rPr>
            </w:pPr>
          </w:p>
        </w:tc>
        <w:tc>
          <w:tcPr>
            <w:tcW w:w="32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180" w:type="dxa"/>
            <w:vAlign w:val="bottom"/>
            <w:shd w:val="clear" w:color="auto" w:fill="C7EAF2"/>
          </w:tcPr>
          <w:p>
            <w:pPr>
              <w:spacing w:after="0"/>
              <w:rPr>
                <w:sz w:val="14"/>
                <w:szCs w:val="14"/>
                <w:color w:val="auto"/>
              </w:rPr>
            </w:pPr>
          </w:p>
        </w:tc>
        <w:tc>
          <w:tcPr>
            <w:tcW w:w="78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80" w:type="dxa"/>
            <w:vAlign w:val="bottom"/>
            <w:shd w:val="clear" w:color="auto" w:fill="C7EAF2"/>
          </w:tcPr>
          <w:p>
            <w:pPr>
              <w:spacing w:after="0"/>
              <w:rPr>
                <w:sz w:val="14"/>
                <w:szCs w:val="14"/>
                <w:color w:val="auto"/>
              </w:rPr>
            </w:pPr>
          </w:p>
        </w:tc>
        <w:tc>
          <w:tcPr>
            <w:tcW w:w="124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68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80" w:type="dxa"/>
            <w:vAlign w:val="bottom"/>
            <w:shd w:val="clear" w:color="auto" w:fill="C7EAF2"/>
          </w:tcPr>
          <w:p>
            <w:pPr>
              <w:spacing w:after="0"/>
              <w:rPr>
                <w:sz w:val="14"/>
                <w:szCs w:val="14"/>
                <w:color w:val="auto"/>
              </w:rPr>
            </w:pPr>
          </w:p>
        </w:tc>
        <w:tc>
          <w:tcPr>
            <w:tcW w:w="580" w:type="dxa"/>
            <w:vAlign w:val="bottom"/>
            <w:vMerge w:val="continue"/>
            <w:shd w:val="clear" w:color="auto" w:fill="C7EAF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Common shares issued for exploration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4,245,031</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25,664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(12,879)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12,785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and evaluation expenses (Note 10)</w:t>
            </w: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40" w:type="dxa"/>
            <w:vAlign w:val="bottom"/>
            <w:gridSpan w:val="2"/>
            <w:shd w:val="clear" w:color="auto" w:fill="C7EAF2"/>
          </w:tcPr>
          <w:p>
            <w:pPr>
              <w:spacing w:after="0" w:line="143" w:lineRule="exact"/>
              <w:rPr>
                <w:sz w:val="20"/>
                <w:szCs w:val="20"/>
                <w:color w:val="auto"/>
              </w:rPr>
            </w:pPr>
            <w:r>
              <w:rPr>
                <w:rFonts w:ascii="Times New Roman" w:cs="Times New Roman" w:eastAsia="Times New Roman" w:hAnsi="Times New Roman"/>
                <w:sz w:val="14"/>
                <w:szCs w:val="14"/>
                <w:color w:val="auto"/>
              </w:rPr>
              <w:t>Conversion of debentures (Note 12)</w:t>
            </w:r>
          </w:p>
        </w:tc>
        <w:tc>
          <w:tcPr>
            <w:tcW w:w="7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3,126,567</w:t>
            </w:r>
          </w:p>
        </w:tc>
        <w:tc>
          <w:tcPr>
            <w:tcW w:w="140" w:type="dxa"/>
            <w:vAlign w:val="bottom"/>
            <w:shd w:val="clear" w:color="auto" w:fill="C7EAF2"/>
          </w:tcPr>
          <w:p>
            <w:pPr>
              <w:spacing w:after="0"/>
              <w:rPr>
                <w:sz w:val="12"/>
                <w:szCs w:val="12"/>
                <w:color w:val="auto"/>
              </w:rPr>
            </w:pPr>
          </w:p>
        </w:tc>
        <w:tc>
          <w:tcPr>
            <w:tcW w:w="6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27,003</w:t>
            </w:r>
          </w:p>
        </w:tc>
        <w:tc>
          <w:tcPr>
            <w:tcW w:w="140" w:type="dxa"/>
            <w:vAlign w:val="bottom"/>
            <w:shd w:val="clear" w:color="auto" w:fill="C7EAF2"/>
          </w:tcPr>
          <w:p>
            <w:pPr>
              <w:spacing w:after="0"/>
              <w:rPr>
                <w:sz w:val="12"/>
                <w:szCs w:val="12"/>
                <w:color w:val="auto"/>
              </w:rPr>
            </w:pPr>
          </w:p>
        </w:tc>
        <w:tc>
          <w:tcPr>
            <w:tcW w:w="140" w:type="dxa"/>
            <w:vAlign w:val="bottom"/>
            <w:shd w:val="clear" w:color="auto" w:fill="C7EAF2"/>
          </w:tcPr>
          <w:p>
            <w:pPr>
              <w:spacing w:after="0"/>
              <w:rPr>
                <w:sz w:val="12"/>
                <w:szCs w:val="12"/>
                <w:color w:val="auto"/>
              </w:rPr>
            </w:pPr>
          </w:p>
        </w:tc>
        <w:tc>
          <w:tcPr>
            <w:tcW w:w="5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180" w:type="dxa"/>
            <w:vAlign w:val="bottom"/>
            <w:shd w:val="clear" w:color="auto" w:fill="C7EAF2"/>
          </w:tcPr>
          <w:p>
            <w:pPr>
              <w:spacing w:after="0"/>
              <w:rPr>
                <w:sz w:val="12"/>
                <w:szCs w:val="12"/>
                <w:color w:val="auto"/>
              </w:rPr>
            </w:pPr>
          </w:p>
        </w:tc>
        <w:tc>
          <w:tcPr>
            <w:tcW w:w="3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180" w:type="dxa"/>
            <w:vAlign w:val="bottom"/>
            <w:shd w:val="clear" w:color="auto" w:fill="C7EAF2"/>
          </w:tcPr>
          <w:p>
            <w:pPr>
              <w:spacing w:after="0"/>
              <w:rPr>
                <w:sz w:val="12"/>
                <w:szCs w:val="12"/>
                <w:color w:val="auto"/>
              </w:rPr>
            </w:pPr>
          </w:p>
        </w:tc>
        <w:tc>
          <w:tcPr>
            <w:tcW w:w="7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80" w:type="dxa"/>
            <w:vAlign w:val="bottom"/>
            <w:shd w:val="clear" w:color="auto" w:fill="C7EAF2"/>
          </w:tcPr>
          <w:p>
            <w:pPr>
              <w:spacing w:after="0"/>
              <w:rPr>
                <w:sz w:val="12"/>
                <w:szCs w:val="12"/>
                <w:color w:val="auto"/>
              </w:rPr>
            </w:pPr>
          </w:p>
        </w:tc>
        <w:tc>
          <w:tcPr>
            <w:tcW w:w="124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6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80" w:type="dxa"/>
            <w:vAlign w:val="bottom"/>
            <w:shd w:val="clear" w:color="auto" w:fill="C7EAF2"/>
          </w:tcPr>
          <w:p>
            <w:pPr>
              <w:spacing w:after="0"/>
              <w:rPr>
                <w:sz w:val="12"/>
                <w:szCs w:val="12"/>
                <w:color w:val="auto"/>
              </w:rPr>
            </w:pPr>
          </w:p>
        </w:tc>
        <w:tc>
          <w:tcPr>
            <w:tcW w:w="5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27,003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40" w:type="dxa"/>
            <w:vAlign w:val="bottom"/>
            <w:gridSpan w:val="2"/>
          </w:tcPr>
          <w:p>
            <w:pPr>
              <w:spacing w:after="0" w:line="143" w:lineRule="exact"/>
              <w:rPr>
                <w:sz w:val="20"/>
                <w:szCs w:val="20"/>
                <w:color w:val="auto"/>
              </w:rPr>
            </w:pPr>
            <w:r>
              <w:rPr>
                <w:rFonts w:ascii="Times New Roman" w:cs="Times New Roman" w:eastAsia="Times New Roman" w:hAnsi="Times New Roman"/>
                <w:sz w:val="14"/>
                <w:szCs w:val="14"/>
                <w:color w:val="auto"/>
              </w:rPr>
              <w:t>Share-based compensation (Note 15)</w:t>
            </w: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60,565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60,565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40" w:type="dxa"/>
            <w:vAlign w:val="bottom"/>
            <w:gridSpan w:val="2"/>
            <w:shd w:val="clear" w:color="auto" w:fill="C7EAF2"/>
          </w:tcPr>
          <w:p>
            <w:pPr>
              <w:spacing w:after="0" w:line="143" w:lineRule="exact"/>
              <w:rPr>
                <w:sz w:val="20"/>
                <w:szCs w:val="20"/>
                <w:color w:val="auto"/>
              </w:rPr>
            </w:pPr>
            <w:r>
              <w:rPr>
                <w:rFonts w:ascii="Times New Roman" w:cs="Times New Roman" w:eastAsia="Times New Roman" w:hAnsi="Times New Roman"/>
                <w:sz w:val="14"/>
                <w:szCs w:val="14"/>
                <w:color w:val="auto"/>
              </w:rPr>
              <w:t>Common shares issued for services</w:t>
            </w:r>
          </w:p>
        </w:tc>
        <w:tc>
          <w:tcPr>
            <w:tcW w:w="7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187,575</w:t>
            </w:r>
          </w:p>
        </w:tc>
        <w:tc>
          <w:tcPr>
            <w:tcW w:w="140" w:type="dxa"/>
            <w:vAlign w:val="bottom"/>
            <w:shd w:val="clear" w:color="auto" w:fill="C7EAF2"/>
          </w:tcPr>
          <w:p>
            <w:pPr>
              <w:spacing w:after="0"/>
              <w:rPr>
                <w:sz w:val="12"/>
                <w:szCs w:val="12"/>
                <w:color w:val="auto"/>
              </w:rPr>
            </w:pPr>
          </w:p>
        </w:tc>
        <w:tc>
          <w:tcPr>
            <w:tcW w:w="6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1,296</w:t>
            </w:r>
          </w:p>
        </w:tc>
        <w:tc>
          <w:tcPr>
            <w:tcW w:w="140" w:type="dxa"/>
            <w:vAlign w:val="bottom"/>
            <w:shd w:val="clear" w:color="auto" w:fill="C7EAF2"/>
          </w:tcPr>
          <w:p>
            <w:pPr>
              <w:spacing w:after="0"/>
              <w:rPr>
                <w:sz w:val="12"/>
                <w:szCs w:val="12"/>
                <w:color w:val="auto"/>
              </w:rPr>
            </w:pPr>
          </w:p>
        </w:tc>
        <w:tc>
          <w:tcPr>
            <w:tcW w:w="140" w:type="dxa"/>
            <w:vAlign w:val="bottom"/>
            <w:shd w:val="clear" w:color="auto" w:fill="C7EAF2"/>
          </w:tcPr>
          <w:p>
            <w:pPr>
              <w:spacing w:after="0"/>
              <w:rPr>
                <w:sz w:val="12"/>
                <w:szCs w:val="12"/>
                <w:color w:val="auto"/>
              </w:rPr>
            </w:pPr>
          </w:p>
        </w:tc>
        <w:tc>
          <w:tcPr>
            <w:tcW w:w="5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180" w:type="dxa"/>
            <w:vAlign w:val="bottom"/>
            <w:shd w:val="clear" w:color="auto" w:fill="C7EAF2"/>
          </w:tcPr>
          <w:p>
            <w:pPr>
              <w:spacing w:after="0"/>
              <w:rPr>
                <w:sz w:val="12"/>
                <w:szCs w:val="12"/>
                <w:color w:val="auto"/>
              </w:rPr>
            </w:pPr>
          </w:p>
        </w:tc>
        <w:tc>
          <w:tcPr>
            <w:tcW w:w="32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180" w:type="dxa"/>
            <w:vAlign w:val="bottom"/>
            <w:shd w:val="clear" w:color="auto" w:fill="C7EAF2"/>
          </w:tcPr>
          <w:p>
            <w:pPr>
              <w:spacing w:after="0"/>
              <w:rPr>
                <w:sz w:val="12"/>
                <w:szCs w:val="12"/>
                <w:color w:val="auto"/>
              </w:rPr>
            </w:pPr>
          </w:p>
        </w:tc>
        <w:tc>
          <w:tcPr>
            <w:tcW w:w="7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80" w:type="dxa"/>
            <w:vAlign w:val="bottom"/>
            <w:shd w:val="clear" w:color="auto" w:fill="C7EAF2"/>
          </w:tcPr>
          <w:p>
            <w:pPr>
              <w:spacing w:after="0"/>
              <w:rPr>
                <w:sz w:val="12"/>
                <w:szCs w:val="12"/>
                <w:color w:val="auto"/>
              </w:rPr>
            </w:pPr>
          </w:p>
        </w:tc>
        <w:tc>
          <w:tcPr>
            <w:tcW w:w="124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6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2"/>
                <w:szCs w:val="12"/>
                <w:color w:val="auto"/>
              </w:rPr>
            </w:pPr>
          </w:p>
        </w:tc>
        <w:tc>
          <w:tcPr>
            <w:tcW w:w="80" w:type="dxa"/>
            <w:vAlign w:val="bottom"/>
            <w:shd w:val="clear" w:color="auto" w:fill="C7EAF2"/>
          </w:tcPr>
          <w:p>
            <w:pPr>
              <w:spacing w:after="0"/>
              <w:rPr>
                <w:sz w:val="12"/>
                <w:szCs w:val="12"/>
                <w:color w:val="auto"/>
              </w:rPr>
            </w:pPr>
          </w:p>
        </w:tc>
        <w:tc>
          <w:tcPr>
            <w:tcW w:w="580" w:type="dxa"/>
            <w:vAlign w:val="bottom"/>
            <w:shd w:val="clear" w:color="auto" w:fill="C7EAF2"/>
          </w:tcPr>
          <w:p>
            <w:pPr>
              <w:jc w:val="right"/>
              <w:spacing w:after="0" w:line="143"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Net equity from Business Combination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21,384,296</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72,411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91,911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(Note 6)</w:t>
            </w:r>
          </w:p>
        </w:tc>
        <w:tc>
          <w:tcPr>
            <w:tcW w:w="7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40" w:type="dxa"/>
            <w:vAlign w:val="bottom"/>
            <w:gridSpan w:val="2"/>
            <w:shd w:val="clear" w:color="auto" w:fill="C7EAF2"/>
          </w:tcPr>
          <w:p>
            <w:pPr>
              <w:spacing w:after="0" w:line="117" w:lineRule="exact"/>
              <w:rPr>
                <w:sz w:val="20"/>
                <w:szCs w:val="20"/>
                <w:color w:val="auto"/>
              </w:rPr>
            </w:pPr>
            <w:r>
              <w:rPr>
                <w:rFonts w:ascii="Times New Roman" w:cs="Times New Roman" w:eastAsia="Times New Roman" w:hAnsi="Times New Roman"/>
                <w:sz w:val="13"/>
                <w:szCs w:val="13"/>
                <w:color w:val="auto"/>
              </w:rPr>
              <w:t>Conversion of preferred shares to</w:t>
            </w:r>
          </w:p>
        </w:tc>
        <w:tc>
          <w:tcPr>
            <w:tcW w:w="7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509,459</w:t>
            </w:r>
          </w:p>
        </w:tc>
        <w:tc>
          <w:tcPr>
            <w:tcW w:w="140" w:type="dxa"/>
            <w:vAlign w:val="bottom"/>
            <w:shd w:val="clear" w:color="auto" w:fill="C7EAF2"/>
          </w:tcPr>
          <w:p>
            <w:pPr>
              <w:spacing w:after="0"/>
              <w:rPr>
                <w:sz w:val="10"/>
                <w:szCs w:val="10"/>
                <w:color w:val="auto"/>
              </w:rPr>
            </w:pPr>
          </w:p>
        </w:tc>
        <w:tc>
          <w:tcPr>
            <w:tcW w:w="62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40" w:type="dxa"/>
            <w:vAlign w:val="bottom"/>
            <w:shd w:val="clear" w:color="auto" w:fill="C7EAF2"/>
          </w:tcPr>
          <w:p>
            <w:pPr>
              <w:spacing w:after="0"/>
              <w:rPr>
                <w:sz w:val="10"/>
                <w:szCs w:val="10"/>
                <w:color w:val="auto"/>
              </w:rPr>
            </w:pPr>
          </w:p>
        </w:tc>
        <w:tc>
          <w:tcPr>
            <w:tcW w:w="140" w:type="dxa"/>
            <w:vAlign w:val="bottom"/>
            <w:shd w:val="clear" w:color="auto" w:fill="C7EAF2"/>
          </w:tcPr>
          <w:p>
            <w:pPr>
              <w:spacing w:after="0"/>
              <w:rPr>
                <w:sz w:val="10"/>
                <w:szCs w:val="10"/>
                <w:color w:val="auto"/>
              </w:rPr>
            </w:pPr>
          </w:p>
        </w:tc>
        <w:tc>
          <w:tcPr>
            <w:tcW w:w="52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40" w:type="dxa"/>
            <w:vAlign w:val="bottom"/>
            <w:shd w:val="clear" w:color="auto" w:fill="C7EAF2"/>
          </w:tcPr>
          <w:p>
            <w:pPr>
              <w:spacing w:after="0"/>
              <w:rPr>
                <w:sz w:val="10"/>
                <w:szCs w:val="10"/>
                <w:color w:val="auto"/>
              </w:rPr>
            </w:pPr>
          </w:p>
        </w:tc>
        <w:tc>
          <w:tcPr>
            <w:tcW w:w="180" w:type="dxa"/>
            <w:vAlign w:val="bottom"/>
            <w:shd w:val="clear" w:color="auto" w:fill="C7EAF2"/>
          </w:tcPr>
          <w:p>
            <w:pPr>
              <w:spacing w:after="0"/>
              <w:rPr>
                <w:sz w:val="10"/>
                <w:szCs w:val="10"/>
                <w:color w:val="auto"/>
              </w:rPr>
            </w:pPr>
          </w:p>
        </w:tc>
        <w:tc>
          <w:tcPr>
            <w:tcW w:w="32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180" w:type="dxa"/>
            <w:vAlign w:val="bottom"/>
            <w:shd w:val="clear" w:color="auto" w:fill="C7EAF2"/>
          </w:tcPr>
          <w:p>
            <w:pPr>
              <w:spacing w:after="0"/>
              <w:rPr>
                <w:sz w:val="10"/>
                <w:szCs w:val="10"/>
                <w:color w:val="auto"/>
              </w:rPr>
            </w:pPr>
          </w:p>
        </w:tc>
        <w:tc>
          <w:tcPr>
            <w:tcW w:w="7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80" w:type="dxa"/>
            <w:vAlign w:val="bottom"/>
            <w:shd w:val="clear" w:color="auto" w:fill="C7EAF2"/>
          </w:tcPr>
          <w:p>
            <w:pPr>
              <w:spacing w:after="0"/>
              <w:rPr>
                <w:sz w:val="10"/>
                <w:szCs w:val="10"/>
                <w:color w:val="auto"/>
              </w:rPr>
            </w:pPr>
          </w:p>
        </w:tc>
        <w:tc>
          <w:tcPr>
            <w:tcW w:w="124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6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7EAF2"/>
          </w:tcPr>
          <w:p>
            <w:pPr>
              <w:spacing w:after="0"/>
              <w:rPr>
                <w:sz w:val="10"/>
                <w:szCs w:val="10"/>
                <w:color w:val="auto"/>
              </w:rPr>
            </w:pPr>
          </w:p>
        </w:tc>
        <w:tc>
          <w:tcPr>
            <w:tcW w:w="80" w:type="dxa"/>
            <w:vAlign w:val="bottom"/>
            <w:shd w:val="clear" w:color="auto" w:fill="C7EAF2"/>
          </w:tcPr>
          <w:p>
            <w:pPr>
              <w:spacing w:after="0"/>
              <w:rPr>
                <w:sz w:val="10"/>
                <w:szCs w:val="10"/>
                <w:color w:val="auto"/>
              </w:rPr>
            </w:pPr>
          </w:p>
        </w:tc>
        <w:tc>
          <w:tcPr>
            <w:tcW w:w="580" w:type="dxa"/>
            <w:vAlign w:val="bottom"/>
            <w:vMerge w:val="restart"/>
            <w:shd w:val="clear" w:color="auto" w:fill="C7EAF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gridSpan w:val="2"/>
            <w:shd w:val="clear" w:color="auto" w:fill="C7EAF2"/>
          </w:tcPr>
          <w:p>
            <w:pPr>
              <w:ind w:left="120"/>
              <w:spacing w:after="0"/>
              <w:rPr>
                <w:sz w:val="20"/>
                <w:szCs w:val="20"/>
                <w:color w:val="auto"/>
              </w:rPr>
            </w:pPr>
            <w:r>
              <w:rPr>
                <w:rFonts w:ascii="Times New Roman" w:cs="Times New Roman" w:eastAsia="Times New Roman" w:hAnsi="Times New Roman"/>
                <w:sz w:val="14"/>
                <w:szCs w:val="14"/>
                <w:color w:val="auto"/>
              </w:rPr>
              <w:t>common shares</w:t>
            </w:r>
          </w:p>
        </w:tc>
        <w:tc>
          <w:tcPr>
            <w:tcW w:w="78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62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52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180" w:type="dxa"/>
            <w:vAlign w:val="bottom"/>
            <w:shd w:val="clear" w:color="auto" w:fill="C7EAF2"/>
          </w:tcPr>
          <w:p>
            <w:pPr>
              <w:spacing w:after="0"/>
              <w:rPr>
                <w:sz w:val="14"/>
                <w:szCs w:val="14"/>
                <w:color w:val="auto"/>
              </w:rPr>
            </w:pPr>
          </w:p>
        </w:tc>
        <w:tc>
          <w:tcPr>
            <w:tcW w:w="32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180" w:type="dxa"/>
            <w:vAlign w:val="bottom"/>
            <w:shd w:val="clear" w:color="auto" w:fill="C7EAF2"/>
          </w:tcPr>
          <w:p>
            <w:pPr>
              <w:spacing w:after="0"/>
              <w:rPr>
                <w:sz w:val="14"/>
                <w:szCs w:val="14"/>
                <w:color w:val="auto"/>
              </w:rPr>
            </w:pPr>
          </w:p>
        </w:tc>
        <w:tc>
          <w:tcPr>
            <w:tcW w:w="78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80" w:type="dxa"/>
            <w:vAlign w:val="bottom"/>
            <w:shd w:val="clear" w:color="auto" w:fill="C7EAF2"/>
          </w:tcPr>
          <w:p>
            <w:pPr>
              <w:spacing w:after="0"/>
              <w:rPr>
                <w:sz w:val="14"/>
                <w:szCs w:val="14"/>
                <w:color w:val="auto"/>
              </w:rPr>
            </w:pPr>
          </w:p>
        </w:tc>
        <w:tc>
          <w:tcPr>
            <w:tcW w:w="124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680" w:type="dxa"/>
            <w:vAlign w:val="bottom"/>
            <w:vMerge w:val="continue"/>
            <w:shd w:val="clear" w:color="auto" w:fill="C7EAF2"/>
          </w:tcPr>
          <w:p>
            <w:pPr>
              <w:spacing w:after="0"/>
              <w:rPr>
                <w:sz w:val="14"/>
                <w:szCs w:val="14"/>
                <w:color w:val="auto"/>
              </w:rPr>
            </w:pPr>
          </w:p>
        </w:tc>
        <w:tc>
          <w:tcPr>
            <w:tcW w:w="140" w:type="dxa"/>
            <w:vAlign w:val="bottom"/>
            <w:shd w:val="clear" w:color="auto" w:fill="C7EAF2"/>
          </w:tcPr>
          <w:p>
            <w:pPr>
              <w:spacing w:after="0"/>
              <w:rPr>
                <w:sz w:val="14"/>
                <w:szCs w:val="14"/>
                <w:color w:val="auto"/>
              </w:rPr>
            </w:pPr>
          </w:p>
        </w:tc>
        <w:tc>
          <w:tcPr>
            <w:tcW w:w="80" w:type="dxa"/>
            <w:vAlign w:val="bottom"/>
            <w:shd w:val="clear" w:color="auto" w:fill="C7EAF2"/>
          </w:tcPr>
          <w:p>
            <w:pPr>
              <w:spacing w:after="0"/>
              <w:rPr>
                <w:sz w:val="14"/>
                <w:szCs w:val="14"/>
                <w:color w:val="auto"/>
              </w:rPr>
            </w:pPr>
          </w:p>
        </w:tc>
        <w:tc>
          <w:tcPr>
            <w:tcW w:w="580" w:type="dxa"/>
            <w:vAlign w:val="bottom"/>
            <w:vMerge w:val="continue"/>
            <w:shd w:val="clear" w:color="auto" w:fill="C7EAF2"/>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40" w:type="dxa"/>
            <w:vAlign w:val="bottom"/>
            <w:tcBorders>
              <w:bottom w:val="single" w:sz="8" w:color="C7EAF2"/>
            </w:tcBorders>
            <w:gridSpan w:val="2"/>
          </w:tcPr>
          <w:p>
            <w:pPr>
              <w:spacing w:after="0" w:line="143" w:lineRule="exact"/>
              <w:rPr>
                <w:sz w:val="20"/>
                <w:szCs w:val="20"/>
                <w:color w:val="auto"/>
              </w:rPr>
            </w:pPr>
            <w:r>
              <w:rPr>
                <w:rFonts w:ascii="Times New Roman" w:cs="Times New Roman" w:eastAsia="Times New Roman" w:hAnsi="Times New Roman"/>
                <w:sz w:val="14"/>
                <w:szCs w:val="14"/>
                <w:color w:val="auto"/>
              </w:rPr>
              <w:t>Loss for the year</w:t>
            </w:r>
          </w:p>
        </w:tc>
        <w:tc>
          <w:tcPr>
            <w:tcW w:w="7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7EAF2"/>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(141,299)</w:t>
            </w:r>
          </w:p>
        </w:tc>
        <w:tc>
          <w:tcPr>
            <w:tcW w:w="140" w:type="dxa"/>
            <w:vAlign w:val="bottom"/>
            <w:tcBorders>
              <w:bottom w:val="single" w:sz="8" w:color="C7EAF2"/>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(141,299)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40" w:type="dxa"/>
            <w:vAlign w:val="bottom"/>
            <w:tcBorders>
              <w:bottom w:val="single" w:sz="8" w:color="C7EAF2"/>
            </w:tcBorders>
            <w:gridSpan w:val="2"/>
            <w:shd w:val="clear" w:color="auto" w:fill="C7EAF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780" w:type="dxa"/>
            <w:vAlign w:val="bottom"/>
            <w:tcBorders>
              <w:bottom w:val="single" w:sz="8" w:color="auto"/>
            </w:tcBorders>
            <w:shd w:val="clear" w:color="auto" w:fill="C7EAF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225,432,493</w:t>
            </w:r>
          </w:p>
        </w:tc>
        <w:tc>
          <w:tcPr>
            <w:tcW w:w="140" w:type="dxa"/>
            <w:vAlign w:val="bottom"/>
            <w:tcBorders>
              <w:bottom w:val="single" w:sz="8" w:color="C7EAF2"/>
            </w:tcBorders>
            <w:shd w:val="clear" w:color="auto" w:fill="C7EAF2"/>
          </w:tcPr>
          <w:p>
            <w:pPr>
              <w:spacing w:after="0"/>
              <w:rPr>
                <w:sz w:val="11"/>
                <w:szCs w:val="11"/>
                <w:color w:val="auto"/>
              </w:rPr>
            </w:pPr>
          </w:p>
        </w:tc>
        <w:tc>
          <w:tcPr>
            <w:tcW w:w="620" w:type="dxa"/>
            <w:vAlign w:val="bottom"/>
            <w:tcBorders>
              <w:bottom w:val="single" w:sz="8" w:color="auto"/>
            </w:tcBorders>
            <w:shd w:val="clear" w:color="auto" w:fill="C7EAF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6"/>
              </w:rPr>
              <w:t>$ 296,051</w:t>
            </w:r>
          </w:p>
        </w:tc>
        <w:tc>
          <w:tcPr>
            <w:tcW w:w="140" w:type="dxa"/>
            <w:vAlign w:val="bottom"/>
            <w:tcBorders>
              <w:bottom w:val="single" w:sz="8" w:color="C7EAF2"/>
            </w:tcBorders>
            <w:shd w:val="clear" w:color="auto" w:fill="C7EAF2"/>
          </w:tcPr>
          <w:p>
            <w:pPr>
              <w:spacing w:after="0"/>
              <w:rPr>
                <w:sz w:val="11"/>
                <w:szCs w:val="11"/>
                <w:color w:val="auto"/>
              </w:rPr>
            </w:pPr>
          </w:p>
        </w:tc>
        <w:tc>
          <w:tcPr>
            <w:tcW w:w="140" w:type="dxa"/>
            <w:vAlign w:val="bottom"/>
            <w:tcBorders>
              <w:bottom w:val="single" w:sz="8" w:color="auto"/>
            </w:tcBorders>
            <w:shd w:val="clear" w:color="auto" w:fill="C7EAF2"/>
          </w:tcPr>
          <w:p>
            <w:pPr>
              <w:jc w:val="right"/>
              <w:ind w:right="1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tcBorders>
              <w:bottom w:val="single" w:sz="8" w:color="auto"/>
            </w:tcBorders>
            <w:shd w:val="clear" w:color="auto" w:fill="C7EAF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7EAF2"/>
            </w:tcBorders>
            <w:shd w:val="clear" w:color="auto" w:fill="C7EAF2"/>
          </w:tcPr>
          <w:p>
            <w:pPr>
              <w:spacing w:after="0"/>
              <w:rPr>
                <w:sz w:val="11"/>
                <w:szCs w:val="11"/>
                <w:color w:val="auto"/>
              </w:rPr>
            </w:pPr>
          </w:p>
        </w:tc>
        <w:tc>
          <w:tcPr>
            <w:tcW w:w="180" w:type="dxa"/>
            <w:vAlign w:val="bottom"/>
            <w:tcBorders>
              <w:bottom w:val="single" w:sz="8" w:color="auto"/>
            </w:tcBorders>
            <w:shd w:val="clear" w:color="auto" w:fill="C7EAF2"/>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bottom w:val="single" w:sz="8" w:color="auto"/>
            </w:tcBorders>
            <w:shd w:val="clear" w:color="auto" w:fill="C7EAF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7EAF2"/>
            </w:tcBorders>
            <w:shd w:val="clear" w:color="auto" w:fill="C7EAF2"/>
          </w:tcPr>
          <w:p>
            <w:pPr>
              <w:spacing w:after="0"/>
              <w:rPr>
                <w:sz w:val="11"/>
                <w:szCs w:val="11"/>
                <w:color w:val="auto"/>
              </w:rPr>
            </w:pPr>
          </w:p>
        </w:tc>
        <w:tc>
          <w:tcPr>
            <w:tcW w:w="180" w:type="dxa"/>
            <w:vAlign w:val="bottom"/>
            <w:tcBorders>
              <w:bottom w:val="single" w:sz="8" w:color="auto"/>
            </w:tcBorders>
            <w:shd w:val="clear" w:color="auto" w:fill="C7EAF2"/>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shd w:val="clear" w:color="auto" w:fill="C7EAF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102,073</w:t>
            </w:r>
          </w:p>
        </w:tc>
        <w:tc>
          <w:tcPr>
            <w:tcW w:w="140" w:type="dxa"/>
            <w:vAlign w:val="bottom"/>
            <w:tcBorders>
              <w:bottom w:val="single" w:sz="8" w:color="C7EAF2"/>
            </w:tcBorders>
            <w:shd w:val="clear" w:color="auto" w:fill="C7EAF2"/>
          </w:tcPr>
          <w:p>
            <w:pPr>
              <w:spacing w:after="0"/>
              <w:rPr>
                <w:sz w:val="11"/>
                <w:szCs w:val="11"/>
                <w:color w:val="auto"/>
              </w:rPr>
            </w:pPr>
          </w:p>
        </w:tc>
        <w:tc>
          <w:tcPr>
            <w:tcW w:w="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40" w:type="dxa"/>
            <w:vAlign w:val="bottom"/>
            <w:tcBorders>
              <w:bottom w:val="single" w:sz="8" w:color="auto"/>
            </w:tcBorders>
            <w:shd w:val="clear" w:color="auto" w:fill="C7EAF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(1,216)</w:t>
            </w:r>
          </w:p>
        </w:tc>
        <w:tc>
          <w:tcPr>
            <w:tcW w:w="140" w:type="dxa"/>
            <w:vAlign w:val="bottom"/>
            <w:tcBorders>
              <w:bottom w:val="single" w:sz="8" w:color="C7EAF2"/>
            </w:tcBorders>
            <w:shd w:val="clear" w:color="auto" w:fill="C7EAF2"/>
          </w:tcPr>
          <w:p>
            <w:pPr>
              <w:spacing w:after="0"/>
              <w:rPr>
                <w:sz w:val="11"/>
                <w:szCs w:val="11"/>
                <w:color w:val="auto"/>
              </w:rPr>
            </w:pPr>
          </w:p>
        </w:tc>
        <w:tc>
          <w:tcPr>
            <w:tcW w:w="680" w:type="dxa"/>
            <w:vAlign w:val="bottom"/>
            <w:tcBorders>
              <w:bottom w:val="single" w:sz="8" w:color="auto"/>
            </w:tcBorders>
            <w:shd w:val="clear" w:color="auto" w:fill="C7EAF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7"/>
              </w:rPr>
              <w:t>$ (304,157)</w:t>
            </w:r>
          </w:p>
        </w:tc>
        <w:tc>
          <w:tcPr>
            <w:tcW w:w="140" w:type="dxa"/>
            <w:vAlign w:val="bottom"/>
            <w:tcBorders>
              <w:bottom w:val="single" w:sz="8" w:color="C7EAF2"/>
            </w:tcBorders>
            <w:shd w:val="clear" w:color="auto" w:fill="C7EAF2"/>
          </w:tcPr>
          <w:p>
            <w:pPr>
              <w:spacing w:after="0"/>
              <w:rPr>
                <w:sz w:val="11"/>
                <w:szCs w:val="11"/>
                <w:color w:val="auto"/>
              </w:rPr>
            </w:pPr>
          </w:p>
        </w:tc>
        <w:tc>
          <w:tcPr>
            <w:tcW w:w="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tcBorders>
              <w:bottom w:val="single" w:sz="8" w:color="auto"/>
            </w:tcBorders>
            <w:shd w:val="clear" w:color="auto" w:fill="C7EAF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92,751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28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282">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220" w:type="dxa"/>
            <w:vAlign w:val="bottom"/>
            <w:gridSpan w:val="3"/>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Note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Cash resources provided by (used in)</w:t>
            </w:r>
          </w:p>
        </w:tc>
        <w:tc>
          <w:tcPr>
            <w:tcW w:w="860" w:type="dxa"/>
            <w:vAlign w:val="bottom"/>
            <w:tcBorders>
              <w:top w:val="single" w:sz="8" w:color="auto"/>
            </w:tcBorders>
            <w:shd w:val="clear" w:color="auto" w:fill="C7EAF2"/>
          </w:tcPr>
          <w:p>
            <w:pPr>
              <w:spacing w:after="0"/>
              <w:rPr>
                <w:sz w:val="17"/>
                <w:szCs w:val="17"/>
                <w:color w:val="auto"/>
              </w:rPr>
            </w:pPr>
          </w:p>
        </w:tc>
        <w:tc>
          <w:tcPr>
            <w:tcW w:w="200" w:type="dxa"/>
            <w:vAlign w:val="bottom"/>
            <w:tcBorders>
              <w:top w:val="single" w:sz="8" w:color="C7EAF2"/>
            </w:tcBorders>
            <w:shd w:val="clear" w:color="auto" w:fill="C7EAF2"/>
          </w:tcPr>
          <w:p>
            <w:pPr>
              <w:spacing w:after="0"/>
              <w:rPr>
                <w:sz w:val="17"/>
                <w:szCs w:val="17"/>
                <w:color w:val="auto"/>
              </w:rPr>
            </w:pPr>
          </w:p>
        </w:tc>
        <w:tc>
          <w:tcPr>
            <w:tcW w:w="160" w:type="dxa"/>
            <w:vAlign w:val="bottom"/>
            <w:tcBorders>
              <w:top w:val="single" w:sz="8" w:color="auto"/>
            </w:tcBorders>
            <w:shd w:val="clear" w:color="auto" w:fill="C7EAF2"/>
          </w:tcPr>
          <w:p>
            <w:pPr>
              <w:spacing w:after="0"/>
              <w:rPr>
                <w:sz w:val="17"/>
                <w:szCs w:val="17"/>
                <w:color w:val="auto"/>
              </w:rPr>
            </w:pPr>
          </w:p>
        </w:tc>
        <w:tc>
          <w:tcPr>
            <w:tcW w:w="1240" w:type="dxa"/>
            <w:vAlign w:val="bottom"/>
            <w:tcBorders>
              <w:top w:val="single" w:sz="8" w:color="auto"/>
            </w:tcBorders>
            <w:shd w:val="clear" w:color="auto" w:fill="C7EAF2"/>
          </w:tcPr>
          <w:p>
            <w:pPr>
              <w:spacing w:after="0"/>
              <w:rPr>
                <w:sz w:val="17"/>
                <w:szCs w:val="17"/>
                <w:color w:val="auto"/>
              </w:rPr>
            </w:pPr>
          </w:p>
        </w:tc>
        <w:tc>
          <w:tcPr>
            <w:tcW w:w="22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Loss for the year</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(170,964)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(141,299)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Items not affecting cash:</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Expenses settled with share-based payments</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18,394</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74,571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on convertible debentures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Change in fair value of warrants liability</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(9,375)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Vesting of Allseas Warrant</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10, 13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Unrealized foreign exchange</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Changes in working capital:</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Receivables and prepayments</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(3,479)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7EAF2"/>
            </w:tcBorders>
          </w:tcPr>
          <w:p>
            <w:pPr>
              <w:ind w:left="1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860" w:type="dxa"/>
            <w:vAlign w:val="bottom"/>
            <w:tcBorders>
              <w:bottom w:val="single" w:sz="8" w:color="C7EAF2"/>
            </w:tcBorders>
          </w:tcPr>
          <w:p>
            <w:pPr>
              <w:spacing w:after="0"/>
              <w:rPr>
                <w:sz w:val="18"/>
                <w:szCs w:val="18"/>
                <w:color w:val="auto"/>
              </w:rPr>
            </w:pPr>
          </w:p>
        </w:tc>
        <w:tc>
          <w:tcPr>
            <w:tcW w:w="200" w:type="dxa"/>
            <w:vAlign w:val="bottom"/>
            <w:tcBorders>
              <w:bottom w:val="single" w:sz="8" w:color="C7EAF2"/>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16,960</w:t>
            </w:r>
          </w:p>
        </w:tc>
        <w:tc>
          <w:tcPr>
            <w:tcW w:w="22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22,049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160" w:type="dxa"/>
            <w:vAlign w:val="bottom"/>
            <w:shd w:val="clear" w:color="auto" w:fill="C7EAF2"/>
          </w:tcPr>
          <w:p>
            <w:pPr>
              <w:spacing w:after="0"/>
              <w:rPr>
                <w:sz w:val="17"/>
                <w:szCs w:val="17"/>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(66,637)</w:t>
            </w:r>
          </w:p>
        </w:tc>
        <w:tc>
          <w:tcPr>
            <w:tcW w:w="22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(56,092)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Settlement of deferred acquisition costs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Acquisition of equipment</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shd w:val="clear" w:color="auto" w:fill="C7EAF2"/>
          </w:tcPr>
          <w:p>
            <w:pPr>
              <w:spacing w:after="0"/>
              <w:rPr>
                <w:sz w:val="18"/>
                <w:szCs w:val="18"/>
                <w:color w:val="auto"/>
              </w:rPr>
            </w:pPr>
          </w:p>
        </w:tc>
        <w:tc>
          <w:tcPr>
            <w:tcW w:w="160" w:type="dxa"/>
            <w:vAlign w:val="bottom"/>
            <w:tcBorders>
              <w:bottom w:val="single" w:sz="8" w:color="auto"/>
            </w:tcBorders>
            <w:shd w:val="clear" w:color="auto" w:fill="C7EAF2"/>
          </w:tcPr>
          <w:p>
            <w:pPr>
              <w:spacing w:after="0"/>
              <w:rPr>
                <w:sz w:val="18"/>
                <w:szCs w:val="18"/>
                <w:color w:val="auto"/>
              </w:rPr>
            </w:pPr>
          </w:p>
        </w:tc>
        <w:tc>
          <w:tcPr>
            <w:tcW w:w="12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(1,169)</w:t>
            </w:r>
          </w:p>
        </w:tc>
        <w:tc>
          <w:tcPr>
            <w:tcW w:w="220" w:type="dxa"/>
            <w:vAlign w:val="bottom"/>
            <w:shd w:val="clear" w:color="auto" w:fill="C7EAF2"/>
          </w:tcPr>
          <w:p>
            <w:pPr>
              <w:spacing w:after="0"/>
              <w:rPr>
                <w:sz w:val="18"/>
                <w:szCs w:val="18"/>
                <w:color w:val="auto"/>
              </w:rPr>
            </w:pPr>
          </w:p>
        </w:tc>
        <w:tc>
          <w:tcPr>
            <w:tcW w:w="120" w:type="dxa"/>
            <w:vAlign w:val="bottom"/>
            <w:tcBorders>
              <w:bottom w:val="single" w:sz="8" w:color="auto"/>
            </w:tcBorders>
            <w:shd w:val="clear" w:color="auto" w:fill="C7EAF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(1,169)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(3,842)</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shd w:val="clear" w:color="auto" w:fill="C7EAF2"/>
          </w:tcPr>
          <w:p>
            <w:pPr>
              <w:spacing w:after="0"/>
              <w:rPr>
                <w:sz w:val="18"/>
                <w:szCs w:val="18"/>
                <w:color w:val="auto"/>
              </w:rPr>
            </w:pP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Proceeds from PIPE financing</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30,399</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Expenses paid for PIPE financing</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convertible debentures</w:t>
            </w: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Proceeds from employee share purchase plan</w:t>
            </w:r>
          </w:p>
        </w:tc>
        <w:tc>
          <w:tcPr>
            <w:tcW w:w="8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Taxes withheld and paid on share-based compensation</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tcBorders>
              <w:bottom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Proceeds from Business Combination (net of fees and other costs)</w:t>
            </w:r>
          </w:p>
        </w:tc>
        <w:tc>
          <w:tcPr>
            <w:tcW w:w="860" w:type="dxa"/>
            <w:vAlign w:val="bottom"/>
            <w:tcBorders>
              <w:bottom w:val="single" w:sz="8" w:color="C7EAF2"/>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Borders>
              <w:bottom w:val="single" w:sz="8" w:color="C7EAF2"/>
            </w:tcBorders>
            <w:shd w:val="clear" w:color="auto" w:fill="C7EAF2"/>
          </w:tcPr>
          <w:p>
            <w:pPr>
              <w:spacing w:after="0"/>
              <w:rPr>
                <w:sz w:val="19"/>
                <w:szCs w:val="19"/>
                <w:color w:val="auto"/>
              </w:rPr>
            </w:pPr>
          </w:p>
        </w:tc>
        <w:tc>
          <w:tcPr>
            <w:tcW w:w="160" w:type="dxa"/>
            <w:vAlign w:val="bottom"/>
            <w:tcBorders>
              <w:bottom w:val="single" w:sz="8" w:color="auto"/>
            </w:tcBorders>
            <w:shd w:val="clear" w:color="auto" w:fill="C7EAF2"/>
          </w:tcPr>
          <w:p>
            <w:pPr>
              <w:spacing w:after="0"/>
              <w:rPr>
                <w:sz w:val="19"/>
                <w:szCs w:val="19"/>
                <w:color w:val="auto"/>
              </w:rPr>
            </w:pPr>
          </w:p>
        </w:tc>
        <w:tc>
          <w:tcPr>
            <w:tcW w:w="12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7EAF2"/>
            </w:tcBorders>
            <w:shd w:val="clear" w:color="auto" w:fill="C7EAF2"/>
          </w:tcPr>
          <w:p>
            <w:pPr>
              <w:spacing w:after="0"/>
              <w:rPr>
                <w:sz w:val="19"/>
                <w:szCs w:val="19"/>
                <w:color w:val="auto"/>
              </w:rPr>
            </w:pPr>
          </w:p>
        </w:tc>
        <w:tc>
          <w:tcPr>
            <w:tcW w:w="120" w:type="dxa"/>
            <w:vAlign w:val="bottom"/>
            <w:tcBorders>
              <w:bottom w:val="single" w:sz="8" w:color="auto"/>
            </w:tcBorders>
            <w:shd w:val="clear" w:color="auto" w:fill="C7EAF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104,465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2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29,722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134,701</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shd w:val="clear" w:color="auto" w:fill="C7EAF2"/>
          </w:tcPr>
          <w:p>
            <w:pPr>
              <w:spacing w:after="0"/>
              <w:rPr>
                <w:sz w:val="18"/>
                <w:szCs w:val="18"/>
                <w:color w:val="auto"/>
              </w:rPr>
            </w:pP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vMerge w:val="restart"/>
          </w:tcPr>
          <w:p>
            <w:pPr>
              <w:spacing w:after="0"/>
              <w:rPr>
                <w:sz w:val="18"/>
                <w:szCs w:val="18"/>
                <w:color w:val="auto"/>
              </w:rPr>
            </w:pPr>
          </w:p>
        </w:tc>
        <w:tc>
          <w:tcPr>
            <w:tcW w:w="12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Increase (decrease) in cash</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(38,084)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74,767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Impact of exchange rate changes on cash</w:t>
            </w:r>
          </w:p>
        </w:tc>
        <w:tc>
          <w:tcPr>
            <w:tcW w:w="860" w:type="dxa"/>
            <w:vAlign w:val="bottom"/>
            <w:shd w:val="clear" w:color="auto" w:fill="C7EAF2"/>
          </w:tcPr>
          <w:p>
            <w:pPr>
              <w:spacing w:after="0"/>
              <w:rPr>
                <w:sz w:val="18"/>
                <w:szCs w:val="18"/>
                <w:color w:val="auto"/>
              </w:rPr>
            </w:pPr>
          </w:p>
        </w:tc>
        <w:tc>
          <w:tcPr>
            <w:tcW w:w="2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2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520" w:type="dxa"/>
            <w:vAlign w:val="bottom"/>
            <w:tcBorders>
              <w:bottom w:val="single" w:sz="8" w:color="C7EAF2"/>
            </w:tcBorders>
          </w:tcPr>
          <w:p>
            <w:pPr>
              <w:spacing w:after="0"/>
              <w:rPr>
                <w:sz w:val="20"/>
                <w:szCs w:val="20"/>
                <w:color w:val="auto"/>
              </w:rPr>
            </w:pPr>
            <w:r>
              <w:rPr>
                <w:rFonts w:ascii="Times New Roman" w:cs="Times New Roman" w:eastAsia="Times New Roman" w:hAnsi="Times New Roman"/>
                <w:sz w:val="17"/>
                <w:szCs w:val="17"/>
                <w:b w:val="1"/>
                <w:bCs w:val="1"/>
                <w:color w:val="auto"/>
              </w:rPr>
              <w:t>Cash - beginning of year</w:t>
            </w:r>
          </w:p>
        </w:tc>
        <w:tc>
          <w:tcPr>
            <w:tcW w:w="860" w:type="dxa"/>
            <w:vAlign w:val="bottom"/>
            <w:tcBorders>
              <w:bottom w:val="single" w:sz="8" w:color="C7EAF2"/>
            </w:tcBorders>
          </w:tcPr>
          <w:p>
            <w:pPr>
              <w:spacing w:after="0"/>
              <w:rPr>
                <w:sz w:val="18"/>
                <w:szCs w:val="18"/>
                <w:color w:val="auto"/>
              </w:rPr>
            </w:pPr>
          </w:p>
        </w:tc>
        <w:tc>
          <w:tcPr>
            <w:tcW w:w="200" w:type="dxa"/>
            <w:vAlign w:val="bottom"/>
            <w:tcBorders>
              <w:bottom w:val="single" w:sz="8" w:color="C7EAF2"/>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84,873</w:t>
            </w:r>
          </w:p>
        </w:tc>
        <w:tc>
          <w:tcPr>
            <w:tcW w:w="22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10,096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5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Cash - end of year</w:t>
            </w: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1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46,842</w:t>
            </w:r>
          </w:p>
        </w:tc>
        <w:tc>
          <w:tcPr>
            <w:tcW w:w="220" w:type="dxa"/>
            <w:vAlign w:val="bottom"/>
            <w:shd w:val="clear" w:color="auto" w:fill="C7EAF2"/>
          </w:tcPr>
          <w:p>
            <w:pPr>
              <w:spacing w:after="0"/>
              <w:rPr>
                <w:sz w:val="17"/>
                <w:szCs w:val="17"/>
                <w:color w:val="auto"/>
              </w:rPr>
            </w:pPr>
          </w:p>
        </w:tc>
        <w:tc>
          <w:tcPr>
            <w:tcW w:w="1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84,873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Supplemental cash flow information (Note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28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284">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20" w:hanging="311"/>
        <w:spacing w:after="0"/>
        <w:tabs>
          <w:tab w:leader="none" w:pos="32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Nature of Operations</w:t>
      </w:r>
    </w:p>
    <w:p>
      <w:pPr>
        <w:spacing w:after="0" w:line="222" w:lineRule="exact"/>
        <w:rPr>
          <w:rFonts w:ascii="Times New Roman" w:cs="Times New Roman" w:eastAsia="Times New Roman" w:hAnsi="Times New Roman"/>
          <w:sz w:val="17"/>
          <w:szCs w:val="17"/>
          <w:b w:val="1"/>
          <w:bCs w:val="1"/>
          <w:color w:val="auto"/>
        </w:rPr>
      </w:pPr>
    </w:p>
    <w:p>
      <w:pPr>
        <w:jc w:val="both"/>
        <w:ind w:left="320"/>
        <w:spacing w:after="0" w:line="24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(Note 6). The Company’s corporate office, registered address and records office is located at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all information prior to the Business Combination, including the prior year financial information, represents the financial condition and operating results of DeepGreen.</w:t>
      </w:r>
    </w:p>
    <w:p>
      <w:pPr>
        <w:spacing w:after="0" w:line="183" w:lineRule="exact"/>
        <w:rPr>
          <w:rFonts w:ascii="Times New Roman" w:cs="Times New Roman" w:eastAsia="Times New Roman" w:hAnsi="Times New Roman"/>
          <w:sz w:val="17"/>
          <w:szCs w:val="17"/>
          <w:b w:val="1"/>
          <w:bCs w:val="1"/>
          <w:color w:val="auto"/>
        </w:rPr>
      </w:pPr>
    </w:p>
    <w:p>
      <w:pPr>
        <w:jc w:val="both"/>
        <w:ind w:left="3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and cobalt sulfates, or intermediate nickel-copper-cobalt matte) for electric vehicles (“EV”) and renewable energy storage markets, (ii) copper cathode for EV wiring, clean energy transmission and other applications and (iii) manganese silicate for manganese alloy production required for steel production.</w:t>
      </w:r>
    </w:p>
    <w:p>
      <w:pPr>
        <w:spacing w:after="0" w:line="166" w:lineRule="exact"/>
        <w:rPr>
          <w:rFonts w:ascii="Times New Roman" w:cs="Times New Roman" w:eastAsia="Times New Roman" w:hAnsi="Times New Roman"/>
          <w:sz w:val="17"/>
          <w:szCs w:val="17"/>
          <w:b w:val="1"/>
          <w:bCs w:val="1"/>
          <w:color w:val="auto"/>
        </w:rPr>
      </w:pPr>
    </w:p>
    <w:p>
      <w:pPr>
        <w:jc w:val="both"/>
        <w:ind w:left="320"/>
        <w:spacing w:after="0" w:line="23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(“TOML Area”). Marawa Research and Exploration Limited (“Marawa”), an entity owned and sponsored by the Republic of Kiribati (“Kiribati”), was granted rights by the ISA to polymetallic nodules exploration in an area of 74,990 km</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 xml:space="preserve">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develop a system to collect, lift and transport nodules from the seafloor to shore and to subsequently convert that system into an early commercial production system (Note 10).</w:t>
      </w:r>
    </w:p>
    <w:p>
      <w:pPr>
        <w:spacing w:after="0" w:line="192" w:lineRule="exact"/>
        <w:rPr>
          <w:rFonts w:ascii="Times New Roman" w:cs="Times New Roman" w:eastAsia="Times New Roman" w:hAnsi="Times New Roman"/>
          <w:sz w:val="17"/>
          <w:szCs w:val="17"/>
          <w:b w:val="1"/>
          <w:bCs w:val="1"/>
          <w:color w:val="auto"/>
        </w:rPr>
      </w:pPr>
    </w:p>
    <w:p>
      <w:pPr>
        <w:jc w:val="both"/>
        <w:ind w:left="320"/>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28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286">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20" w:right="7440" w:hanging="311"/>
        <w:spacing w:after="0" w:line="510" w:lineRule="auto"/>
        <w:tabs>
          <w:tab w:leader="none" w:pos="320"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Statement of Compliance</w:t>
      </w:r>
    </w:p>
    <w:p>
      <w:pPr>
        <w:spacing w:after="0" w:line="1" w:lineRule="exact"/>
        <w:rPr>
          <w:rFonts w:ascii="Times New Roman" w:cs="Times New Roman" w:eastAsia="Times New Roman" w:hAnsi="Times New Roman"/>
          <w:sz w:val="17"/>
          <w:szCs w:val="17"/>
          <w:b w:val="1"/>
          <w:bCs w:val="1"/>
          <w:color w:val="auto"/>
        </w:rPr>
      </w:pPr>
    </w:p>
    <w:p>
      <w:pPr>
        <w:jc w:val="both"/>
        <w:ind w:left="3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These consolidated financial statements have been prepared in accordance with Generally Accepted Accounting Principles in the United States (“U.S. GAAP”) and include the accounts of TMC and its wholly-owned subsidiaries. The Company has applied the same accounting policies as in the prior year, except as disclosed below.</w:t>
      </w:r>
    </w:p>
    <w:p>
      <w:pPr>
        <w:spacing w:after="0" w:line="154" w:lineRule="exact"/>
        <w:rPr>
          <w:rFonts w:ascii="Times New Roman" w:cs="Times New Roman" w:eastAsia="Times New Roman" w:hAnsi="Times New Roman"/>
          <w:sz w:val="17"/>
          <w:szCs w:val="17"/>
          <w:b w:val="1"/>
          <w:bCs w:val="1"/>
          <w:color w:val="auto"/>
        </w:rPr>
      </w:pPr>
    </w:p>
    <w:p>
      <w:pPr>
        <w:ind w:left="320" w:right="1580"/>
        <w:spacing w:after="0" w:line="50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share and per share amounts have been adjusted to reflect the impact of the Business Combination (Note 6). Certain comparative figures in Note 10 have been reclassified to conform to the current period’s presentation.</w:t>
      </w: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Measurement</w:t>
      </w:r>
    </w:p>
    <w:p>
      <w:pPr>
        <w:spacing w:after="0" w:line="222" w:lineRule="exact"/>
        <w:rPr>
          <w:rFonts w:ascii="Times New Roman" w:cs="Times New Roman" w:eastAsia="Times New Roman" w:hAnsi="Times New Roman"/>
          <w:sz w:val="17"/>
          <w:szCs w:val="17"/>
          <w:b w:val="1"/>
          <w:bCs w:val="1"/>
          <w:color w:val="auto"/>
        </w:rPr>
      </w:pPr>
    </w:p>
    <w:p>
      <w:pPr>
        <w:ind w:left="32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These consolidated financial statements have been prepared under the historical cost convention, except for warrants liability that has been measured at fair value and are presented in United States (“US”) dollars.</w:t>
      </w:r>
    </w:p>
    <w:p>
      <w:pPr>
        <w:spacing w:after="0" w:line="133"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Consolidation</w:t>
      </w:r>
    </w:p>
    <w:p>
      <w:pPr>
        <w:spacing w:after="0" w:line="222" w:lineRule="exact"/>
        <w:rPr>
          <w:rFonts w:ascii="Times New Roman" w:cs="Times New Roman" w:eastAsia="Times New Roman" w:hAnsi="Times New Roman"/>
          <w:sz w:val="17"/>
          <w:szCs w:val="17"/>
          <w:b w:val="1"/>
          <w:bCs w:val="1"/>
          <w:color w:val="auto"/>
        </w:rPr>
      </w:pPr>
    </w:p>
    <w:p>
      <w:pPr>
        <w:ind w:left="32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These consolidated financial statements include the financial statements of the Company and its subsidiaries. The principal subsidiaries of the Company, their activities, and their geographic locations as at December 31, 2022 were as follows:</w:t>
      </w:r>
    </w:p>
    <w:p>
      <w:pPr>
        <w:spacing w:after="0" w:line="12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Proportion of</w:t>
            </w:r>
          </w:p>
        </w:tc>
        <w:tc>
          <w:tcPr>
            <w:tcW w:w="0" w:type="dxa"/>
            <w:vAlign w:val="bottom"/>
          </w:tcPr>
          <w:p>
            <w:pPr>
              <w:spacing w:after="0"/>
              <w:rPr>
                <w:sz w:val="1"/>
                <w:szCs w:val="1"/>
                <w:color w:val="auto"/>
              </w:rPr>
            </w:pPr>
          </w:p>
        </w:tc>
      </w:tr>
      <w:tr>
        <w:trPr>
          <w:trHeight w:val="143"/>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w:t>
            </w: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Principal Activity</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Location</w:t>
            </w:r>
          </w:p>
        </w:tc>
        <w:tc>
          <w:tcPr>
            <w:tcW w:w="140" w:type="dxa"/>
            <w:vAlign w:val="bottom"/>
          </w:tcPr>
          <w:p>
            <w:pPr>
              <w:spacing w:after="0"/>
              <w:rPr>
                <w:sz w:val="12"/>
                <w:szCs w:val="12"/>
                <w:color w:val="auto"/>
              </w:rPr>
            </w:pPr>
          </w:p>
        </w:tc>
        <w:tc>
          <w:tcPr>
            <w:tcW w:w="12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Interest Held</w:t>
            </w:r>
          </w:p>
        </w:tc>
        <w:tc>
          <w:tcPr>
            <w:tcW w:w="0" w:type="dxa"/>
            <w:vAlign w:val="bottom"/>
          </w:tcPr>
          <w:p>
            <w:pPr>
              <w:spacing w:after="0"/>
              <w:rPr>
                <w:sz w:val="1"/>
                <w:szCs w:val="1"/>
                <w:color w:val="auto"/>
              </w:rPr>
            </w:pPr>
          </w:p>
        </w:tc>
      </w:tr>
      <w:tr>
        <w:trPr>
          <w:trHeight w:val="168"/>
        </w:trPr>
        <w:tc>
          <w:tcPr>
            <w:tcW w:w="44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by the Company</w:t>
            </w:r>
          </w:p>
        </w:tc>
        <w:tc>
          <w:tcPr>
            <w:tcW w:w="0" w:type="dxa"/>
            <w:vAlign w:val="bottom"/>
          </w:tcPr>
          <w:p>
            <w:pPr>
              <w:spacing w:after="0"/>
              <w:rPr>
                <w:sz w:val="1"/>
                <w:szCs w:val="1"/>
                <w:color w:val="auto"/>
              </w:rPr>
            </w:pPr>
          </w:p>
        </w:tc>
      </w:tr>
      <w:tr>
        <w:trPr>
          <w:trHeight w:val="200"/>
        </w:trPr>
        <w:tc>
          <w:tcPr>
            <w:tcW w:w="426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DeepGreen Metals ULC</w:t>
            </w:r>
          </w:p>
        </w:tc>
        <w:tc>
          <w:tcPr>
            <w:tcW w:w="160" w:type="dxa"/>
            <w:vAlign w:val="bottom"/>
            <w:tcBorders>
              <w:top w:val="single" w:sz="8" w:color="C7EAF2"/>
            </w:tcBorders>
            <w:shd w:val="clear" w:color="auto" w:fill="C7EAF2"/>
          </w:tcPr>
          <w:p>
            <w:pPr>
              <w:spacing w:after="0"/>
              <w:rPr>
                <w:sz w:val="17"/>
                <w:szCs w:val="17"/>
                <w:color w:val="auto"/>
              </w:rPr>
            </w:pPr>
          </w:p>
        </w:tc>
        <w:tc>
          <w:tcPr>
            <w:tcW w:w="138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Mineral exploration</w:t>
            </w:r>
          </w:p>
        </w:tc>
        <w:tc>
          <w:tcPr>
            <w:tcW w:w="160" w:type="dxa"/>
            <w:vAlign w:val="bottom"/>
            <w:tcBorders>
              <w:top w:val="single" w:sz="8" w:color="C7EAF2"/>
            </w:tcBorders>
            <w:shd w:val="clear" w:color="auto" w:fill="C7EAF2"/>
          </w:tcPr>
          <w:p>
            <w:pPr>
              <w:spacing w:after="0"/>
              <w:rPr>
                <w:sz w:val="17"/>
                <w:szCs w:val="17"/>
                <w:color w:val="auto"/>
              </w:rPr>
            </w:pPr>
          </w:p>
        </w:tc>
        <w:tc>
          <w:tcPr>
            <w:tcW w:w="150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Canada</w:t>
            </w:r>
          </w:p>
        </w:tc>
        <w:tc>
          <w:tcPr>
            <w:tcW w:w="140" w:type="dxa"/>
            <w:vAlign w:val="bottom"/>
            <w:tcBorders>
              <w:top w:val="single" w:sz="8" w:color="C7EAF2"/>
            </w:tcBorders>
            <w:shd w:val="clear" w:color="auto" w:fill="C7EAF2"/>
          </w:tcPr>
          <w:p>
            <w:pPr>
              <w:spacing w:after="0"/>
              <w:rPr>
                <w:sz w:val="17"/>
                <w:szCs w:val="17"/>
                <w:color w:val="auto"/>
              </w:rPr>
            </w:pPr>
          </w:p>
        </w:tc>
        <w:tc>
          <w:tcPr>
            <w:tcW w:w="122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DeepGreen Engineering Pte. Ltd.</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Singapore</w:t>
            </w:r>
          </w:p>
        </w:tc>
        <w:tc>
          <w:tcPr>
            <w:tcW w:w="136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DeepGreen Resources, LLC</w:t>
            </w:r>
          </w:p>
        </w:tc>
        <w:tc>
          <w:tcPr>
            <w:tcW w:w="1540" w:type="dxa"/>
            <w:vAlign w:val="bottom"/>
            <w:gridSpan w:val="2"/>
            <w:shd w:val="clear" w:color="auto" w:fill="C7EAF2"/>
          </w:tcPr>
          <w:p>
            <w:pPr>
              <w:jc w:val="center"/>
              <w:ind w:right="180"/>
              <w:spacing w:after="0"/>
              <w:rPr>
                <w:sz w:val="20"/>
                <w:szCs w:val="20"/>
                <w:color w:val="auto"/>
              </w:rPr>
            </w:pPr>
            <w:r>
              <w:rPr>
                <w:rFonts w:ascii="Times New Roman" w:cs="Times New Roman" w:eastAsia="Times New Roman" w:hAnsi="Times New Roman"/>
                <w:sz w:val="17"/>
                <w:szCs w:val="17"/>
                <w:color w:val="auto"/>
              </w:rPr>
              <w:t>Holding Company</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w w:val="99"/>
              </w:rPr>
              <w:t>USA</w:t>
            </w:r>
          </w:p>
        </w:tc>
        <w:tc>
          <w:tcPr>
            <w:tcW w:w="1360" w:type="dxa"/>
            <w:vAlign w:val="bottom"/>
            <w:gridSpan w:val="2"/>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Nauru Ocean Resources Inc.</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Republic of Nauru</w:t>
            </w:r>
          </w:p>
        </w:tc>
        <w:tc>
          <w:tcPr>
            <w:tcW w:w="136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Nauru Education and Training Foundation Inc. (“NEAT”)</w:t>
            </w:r>
          </w:p>
        </w:tc>
        <w:tc>
          <w:tcPr>
            <w:tcW w:w="1540" w:type="dxa"/>
            <w:vAlign w:val="bottom"/>
            <w:gridSpan w:val="2"/>
            <w:shd w:val="clear" w:color="auto" w:fill="C7EAF2"/>
          </w:tcPr>
          <w:p>
            <w:pPr>
              <w:jc w:val="center"/>
              <w:ind w:right="180"/>
              <w:spacing w:after="0"/>
              <w:rPr>
                <w:sz w:val="20"/>
                <w:szCs w:val="20"/>
                <w:color w:val="auto"/>
              </w:rPr>
            </w:pPr>
            <w:r>
              <w:rPr>
                <w:rFonts w:ascii="Times New Roman" w:cs="Times New Roman" w:eastAsia="Times New Roman" w:hAnsi="Times New Roman"/>
                <w:sz w:val="17"/>
                <w:szCs w:val="17"/>
                <w:color w:val="auto"/>
              </w:rPr>
              <w:t>Holding Company</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Republic of Nauru</w:t>
            </w:r>
          </w:p>
        </w:tc>
        <w:tc>
          <w:tcPr>
            <w:tcW w:w="1360" w:type="dxa"/>
            <w:vAlign w:val="bottom"/>
            <w:gridSpan w:val="2"/>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Nauru Health and Environment Foundation Inc. (“NHEF”)</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Holding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Republic of Nauru</w:t>
            </w:r>
          </w:p>
        </w:tc>
        <w:tc>
          <w:tcPr>
            <w:tcW w:w="136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Tonga Offshore Mining Ltd.</w:t>
            </w:r>
          </w:p>
        </w:tc>
        <w:tc>
          <w:tcPr>
            <w:tcW w:w="1540" w:type="dxa"/>
            <w:vAlign w:val="bottom"/>
            <w:gridSpan w:val="2"/>
            <w:shd w:val="clear" w:color="auto" w:fill="C7EAF2"/>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w w:val="99"/>
              </w:rPr>
              <w:t>Kingdom of Tonga</w:t>
            </w:r>
          </w:p>
        </w:tc>
        <w:tc>
          <w:tcPr>
            <w:tcW w:w="1360" w:type="dxa"/>
            <w:vAlign w:val="bottom"/>
            <w:gridSpan w:val="2"/>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Koloa Moana Resources Ltd.</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Holding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Canada</w:t>
            </w:r>
          </w:p>
        </w:tc>
        <w:tc>
          <w:tcPr>
            <w:tcW w:w="136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Offshore Minerals Pty. Ltd.</w:t>
            </w:r>
          </w:p>
        </w:tc>
        <w:tc>
          <w:tcPr>
            <w:tcW w:w="1540" w:type="dxa"/>
            <w:vAlign w:val="bottom"/>
            <w:gridSpan w:val="2"/>
            <w:shd w:val="clear" w:color="auto" w:fill="C7EAF2"/>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c>
          <w:tcPr>
            <w:tcW w:w="1360" w:type="dxa"/>
            <w:vAlign w:val="bottom"/>
            <w:gridSpan w:val="2"/>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DeepGreen TOML Singapore Pte. Ltd.</w:t>
            </w: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Mineral exploration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Singapore</w:t>
            </w:r>
          </w:p>
        </w:tc>
        <w:tc>
          <w:tcPr>
            <w:tcW w:w="136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DeepGreen TOML Holding 1 Ltd.</w:t>
            </w:r>
          </w:p>
        </w:tc>
        <w:tc>
          <w:tcPr>
            <w:tcW w:w="1540" w:type="dxa"/>
            <w:vAlign w:val="bottom"/>
            <w:gridSpan w:val="2"/>
            <w:shd w:val="clear" w:color="auto" w:fill="C7EAF2"/>
          </w:tcPr>
          <w:p>
            <w:pPr>
              <w:jc w:val="center"/>
              <w:ind w:right="180"/>
              <w:spacing w:after="0"/>
              <w:rPr>
                <w:sz w:val="20"/>
                <w:szCs w:val="20"/>
                <w:color w:val="auto"/>
              </w:rPr>
            </w:pPr>
            <w:r>
              <w:rPr>
                <w:rFonts w:ascii="Times New Roman" w:cs="Times New Roman" w:eastAsia="Times New Roman" w:hAnsi="Times New Roman"/>
                <w:sz w:val="17"/>
                <w:szCs w:val="17"/>
                <w:color w:val="auto"/>
              </w:rPr>
              <w:t>Holding Company</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British Virgin Islands</w:t>
            </w:r>
          </w:p>
        </w:tc>
        <w:tc>
          <w:tcPr>
            <w:tcW w:w="1360" w:type="dxa"/>
            <w:vAlign w:val="bottom"/>
            <w:gridSpan w:val="2"/>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DeepGreen TOML Holding 2 Ltd.</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Holding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British Virgin Islands</w:t>
            </w:r>
          </w:p>
        </w:tc>
        <w:tc>
          <w:tcPr>
            <w:tcW w:w="136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07"/>
        </w:trPr>
        <w:tc>
          <w:tcPr>
            <w:tcW w:w="44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The Metals Company Australia Pty Ltd</w:t>
            </w:r>
          </w:p>
        </w:tc>
        <w:tc>
          <w:tcPr>
            <w:tcW w:w="1540" w:type="dxa"/>
            <w:vAlign w:val="bottom"/>
            <w:gridSpan w:val="2"/>
            <w:shd w:val="clear" w:color="auto" w:fill="C7EAF2"/>
          </w:tcPr>
          <w:p>
            <w:pPr>
              <w:jc w:val="center"/>
              <w:ind w:right="180"/>
              <w:spacing w:after="0"/>
              <w:rPr>
                <w:sz w:val="20"/>
                <w:szCs w:val="20"/>
                <w:color w:val="auto"/>
              </w:rPr>
            </w:pPr>
            <w:r>
              <w:rPr>
                <w:rFonts w:ascii="Times New Roman" w:cs="Times New Roman" w:eastAsia="Times New Roman" w:hAnsi="Times New Roman"/>
                <w:sz w:val="17"/>
                <w:szCs w:val="17"/>
                <w:color w:val="auto"/>
              </w:rPr>
              <w:t>Holding Company</w:t>
            </w:r>
          </w:p>
        </w:tc>
        <w:tc>
          <w:tcPr>
            <w:tcW w:w="15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w w:val="99"/>
              </w:rPr>
              <w:t>Australia</w:t>
            </w:r>
          </w:p>
        </w:tc>
        <w:tc>
          <w:tcPr>
            <w:tcW w:w="1360" w:type="dxa"/>
            <w:vAlign w:val="bottom"/>
            <w:gridSpan w:val="2"/>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32"/>
        </w:trPr>
        <w:tc>
          <w:tcPr>
            <w:tcW w:w="4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TMC The Metals Company UK Limited</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rPr>
              <w:t>Holding Company</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United Kingdom</w:t>
            </w:r>
          </w:p>
        </w:tc>
        <w:tc>
          <w:tcPr>
            <w:tcW w:w="1360" w:type="dxa"/>
            <w:vAlign w:val="bottom"/>
            <w:gridSpan w:val="2"/>
          </w:tcPr>
          <w:p>
            <w:pPr>
              <w:jc w:val="center"/>
              <w:ind w:left="74"/>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All inter-group balances have been eliminated on consolidation.</w:t>
      </w:r>
    </w:p>
    <w:p>
      <w:pPr>
        <w:spacing w:after="0" w:line="217" w:lineRule="exact"/>
        <w:rPr>
          <w:sz w:val="20"/>
          <w:szCs w:val="20"/>
          <w:color w:val="auto"/>
        </w:rPr>
      </w:pPr>
    </w:p>
    <w:p>
      <w:pPr>
        <w:ind w:left="320" w:right="7020" w:hanging="312"/>
        <w:spacing w:after="0" w:line="510" w:lineRule="auto"/>
        <w:tabs>
          <w:tab w:leader="none" w:pos="32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i. Foreign Currencies</w:t>
      </w:r>
    </w:p>
    <w:p>
      <w:pPr>
        <w:spacing w:after="0" w:line="2" w:lineRule="exact"/>
        <w:rPr>
          <w:sz w:val="20"/>
          <w:szCs w:val="20"/>
          <w:color w:val="auto"/>
        </w:rPr>
      </w:pPr>
    </w:p>
    <w:p>
      <w:pPr>
        <w:jc w:val="both"/>
        <w:ind w:left="320"/>
        <w:spacing w:after="0" w:line="288" w:lineRule="auto"/>
        <w:rPr>
          <w:sz w:val="20"/>
          <w:szCs w:val="20"/>
          <w:color w:val="auto"/>
        </w:rPr>
      </w:pPr>
      <w:r>
        <w:rPr>
          <w:rFonts w:ascii="Times New Roman" w:cs="Times New Roman" w:eastAsia="Times New Roman" w:hAnsi="Times New Roman"/>
          <w:sz w:val="17"/>
          <w:szCs w:val="17"/>
          <w:color w:val="auto"/>
        </w:rPr>
        <w:t>The functional currency is the currency of the primary economic environment in which the entity operates. The functional currency of the Company and all its subsidiaries is the U.S. Dollar, except for NEAT and NHEF, whose functional currency is the Australian Dollar.</w:t>
      </w:r>
    </w:p>
    <w:p>
      <w:pPr>
        <w:sectPr>
          <w:pgSz w:w="12240" w:h="15840" w:orient="portrait"/>
          <w:cols w:equalWidth="0" w:num="1">
            <w:col w:w="9620"/>
          </w:cols>
          <w:pgMar w:left="1320" w:top="1334" w:right="130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type w:val="continuous"/>
        </w:sectPr>
      </w:pPr>
    </w:p>
    <w:bookmarkStart w:id="130" w:name="page131"/>
    <w:bookmarkEnd w:id="130"/>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28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288">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200" w:firstLine="1"/>
        <w:spacing w:after="0" w:line="265" w:lineRule="auto"/>
        <w:rPr>
          <w:sz w:val="20"/>
          <w:szCs w:val="20"/>
          <w:color w:val="auto"/>
        </w:rPr>
      </w:pPr>
      <w:r>
        <w:rPr>
          <w:rFonts w:ascii="Times New Roman" w:cs="Times New Roman" w:eastAsia="Times New Roman" w:hAnsi="Times New Roman"/>
          <w:sz w:val="17"/>
          <w:szCs w:val="17"/>
          <w:color w:val="auto"/>
        </w:rPr>
        <w:t>At the end of each reporting period, monetary assets and liabilities that are denominated in foreign currencies are translated into the functional currency at the rates prevailing at that date. Non-monetary assets and liabilities carried at fair value that are denominated in currencies other than the U.S. Dollar are translated at rates prevailing at the date when the fair value was determined. All gains and losses on translation of these foreign currency transactions are included in the statements of loss and comprehensive loss. Non-monetary items that are measured at historical cost in a foreign currency are not retranslated.</w:t>
      </w:r>
    </w:p>
    <w:p>
      <w:pPr>
        <w:spacing w:after="0" w:line="165"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For consolidation purposes, the assets and liabilities of entities with functional currencies other than the US Dollar are translated at the period end rates of exchange, and the results of their operations are translated at average rates of exchange for the period. The resulting changes are recognized in accumulated other comprehensive loss within equity as currency translation differences.</w:t>
      </w:r>
    </w:p>
    <w:p>
      <w:pPr>
        <w:spacing w:after="0" w:line="152" w:lineRule="exact"/>
        <w:rPr>
          <w:sz w:val="20"/>
          <w:szCs w:val="20"/>
          <w:color w:val="auto"/>
        </w:rPr>
      </w:pPr>
    </w:p>
    <w:p>
      <w:pPr>
        <w:ind w:left="200"/>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ii.</w:t>
        <w:tab/>
        <w:t>Use of Estimates</w:t>
      </w:r>
    </w:p>
    <w:p>
      <w:pPr>
        <w:spacing w:after="0" w:line="222"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consolidated financial statements include, but are not limited to, the valuation of share-based payments, including valuation of incentive stock options (Note 15), as well as the valuation of warrants liability (Note 13). Actual results could differ materially from those estimates.</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iii.  Loss Per Share</w:t>
      </w:r>
    </w:p>
    <w:p>
      <w:pPr>
        <w:spacing w:after="0" w:line="222"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Basic loss per share is computed by dividing loss available to common shareholders by the weighted average number of common shares outstanding during the year. The computation of diluted loss per share assumes the conversion, exercise or contingent issuance of securities only when such conversion, exercise or issuance would have a dilutive effect on the loss per share. The dilutive effect of convertible securities is reflected in the diluted loss per share by application of the “if converted” method. The dilutive effect of outstanding options and their equivalents is reflected in the diluted loss per share by application of the treasury stock method.</w:t>
      </w:r>
    </w:p>
    <w:p>
      <w:pPr>
        <w:spacing w:after="0" w:line="162" w:lineRule="exact"/>
        <w:rPr>
          <w:sz w:val="20"/>
          <w:szCs w:val="20"/>
          <w:color w:val="auto"/>
        </w:rPr>
      </w:pPr>
    </w:p>
    <w:p>
      <w:pPr>
        <w:ind w:left="200"/>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iv.</w:t>
        <w:tab/>
        <w:t>Financial Instruments</w:t>
      </w:r>
    </w:p>
    <w:p>
      <w:pPr>
        <w:spacing w:after="0" w:line="222"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17"/>
          <w:szCs w:val="17"/>
          <w:color w:val="auto"/>
        </w:rPr>
        <w:t>Financial assets and liabilities are recognized when the Company becomes a party to the contractual provisions of the instrument. Financial assets are derecognized when the rights to receive cash flows from the assets have expired, or have been transferred, and the Company has transferred substantially all risks and rewards of ownership. A financial liability is derecognized when the obligation specified in the contract is discharged, cancelled, or expires.</w:t>
      </w:r>
    </w:p>
    <w:p>
      <w:pPr>
        <w:spacing w:after="0" w:line="160"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The Company’s financial instruments consists of cash and cash equivalents, receivables, accounts payable and accrued liabilities, and deferred acquisition costs which are recorded at amortized cost as well as warrants to acquire common shares of the Company which are measured at fair value.</w:t>
      </w:r>
    </w:p>
    <w:p>
      <w:pPr>
        <w:spacing w:after="0" w:line="152" w:lineRule="exact"/>
        <w:rPr>
          <w:sz w:val="20"/>
          <w:szCs w:val="20"/>
          <w:color w:val="auto"/>
        </w:rPr>
      </w:pPr>
    </w:p>
    <w:p>
      <w:pPr>
        <w:ind w:left="520" w:hanging="320"/>
        <w:spacing w:after="0"/>
        <w:tabs>
          <w:tab w:leader="none" w:pos="520"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of Financial Instruments</w:t>
      </w:r>
    </w:p>
    <w:p>
      <w:pPr>
        <w:spacing w:after="0" w:line="222"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sectPr>
      </w:pPr>
    </w:p>
    <w:bookmarkStart w:id="131" w:name="page132"/>
    <w:bookmarkEnd w:id="131"/>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28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290">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55" w:lineRule="exact"/>
        <w:rPr>
          <w:sz w:val="20"/>
          <w:szCs w:val="20"/>
          <w:color w:val="auto"/>
        </w:rPr>
      </w:pPr>
    </w:p>
    <w:p>
      <w:pPr>
        <w:ind w:left="540" w:hanging="315"/>
        <w:spacing w:after="0" w:line="298" w:lineRule="auto"/>
        <w:tabs>
          <w:tab w:leader="none" w:pos="5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Level 1</w:t>
      </w:r>
      <w:r>
        <w:rPr>
          <w:rFonts w:ascii="Times New Roman" w:cs="Times New Roman" w:eastAsia="Times New Roman" w:hAnsi="Times New Roman"/>
          <w:sz w:val="17"/>
          <w:szCs w:val="17"/>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access.</w:t>
      </w:r>
    </w:p>
    <w:p>
      <w:pPr>
        <w:spacing w:after="0" w:line="136" w:lineRule="exact"/>
        <w:rPr>
          <w:rFonts w:ascii="Times New Roman" w:cs="Times New Roman" w:eastAsia="Times New Roman" w:hAnsi="Times New Roman"/>
          <w:sz w:val="17"/>
          <w:szCs w:val="17"/>
          <w:color w:val="auto"/>
        </w:rPr>
      </w:pPr>
    </w:p>
    <w:p>
      <w:pPr>
        <w:jc w:val="both"/>
        <w:ind w:left="540" w:hanging="315"/>
        <w:spacing w:after="0" w:line="276" w:lineRule="auto"/>
        <w:tabs>
          <w:tab w:leader="none" w:pos="53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Level 2</w:t>
      </w:r>
      <w:r>
        <w:rPr>
          <w:rFonts w:ascii="Times New Roman" w:cs="Times New Roman" w:eastAsia="Times New Roman" w:hAnsi="Times New Roman"/>
          <w:sz w:val="17"/>
          <w:szCs w:val="17"/>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markets that are not active, or other inputs that are observable or can be corroborated by observable data for substantially the full term of the assets or liabilities.</w:t>
      </w:r>
    </w:p>
    <w:p>
      <w:pPr>
        <w:spacing w:after="0" w:line="155" w:lineRule="exact"/>
        <w:rPr>
          <w:rFonts w:ascii="Times New Roman" w:cs="Times New Roman" w:eastAsia="Times New Roman" w:hAnsi="Times New Roman"/>
          <w:sz w:val="17"/>
          <w:szCs w:val="17"/>
          <w:color w:val="auto"/>
        </w:rPr>
      </w:pPr>
    </w:p>
    <w:p>
      <w:pPr>
        <w:ind w:left="540" w:hanging="314"/>
        <w:spacing w:after="0" w:line="298" w:lineRule="auto"/>
        <w:tabs>
          <w:tab w:leader="none" w:pos="541"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Level 3</w:t>
      </w:r>
      <w:r>
        <w:rPr>
          <w:rFonts w:ascii="Times New Roman" w:cs="Times New Roman" w:eastAsia="Times New Roman" w:hAnsi="Times New Roman"/>
          <w:sz w:val="17"/>
          <w:szCs w:val="17"/>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assets or liabilities.</w:t>
      </w:r>
    </w:p>
    <w:p>
      <w:pPr>
        <w:spacing w:after="0" w:line="137"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There were no transfers between fair value measurement levels during the years ended December 31, 2022 and 2021.</w:t>
      </w:r>
    </w:p>
    <w:p>
      <w:pPr>
        <w:spacing w:after="0" w:line="219"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As at December 31, 2022 and 2021, the carrying values of cash, receivables, accounts payable and accrued liabilities approximate their fair values due to the short-term nature of these instruments. The financial instruments also include public and private warrants issued by the Company. The warrants are valued at fair value which is disclosed in Note 13.</w:t>
      </w:r>
    </w:p>
    <w:p>
      <w:pPr>
        <w:spacing w:after="0" w:line="152" w:lineRule="exact"/>
        <w:rPr>
          <w:sz w:val="20"/>
          <w:szCs w:val="20"/>
          <w:color w:val="auto"/>
        </w:rPr>
      </w:pPr>
    </w:p>
    <w:p>
      <w:pPr>
        <w:ind w:left="200"/>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vi.</w:t>
        <w:tab/>
        <w:t>Cash and Cash Equivalents</w:t>
      </w:r>
    </w:p>
    <w:p>
      <w:pPr>
        <w:spacing w:after="0" w:line="222" w:lineRule="exact"/>
        <w:rPr>
          <w:sz w:val="20"/>
          <w:szCs w:val="20"/>
          <w:color w:val="auto"/>
        </w:rPr>
      </w:pPr>
    </w:p>
    <w:p>
      <w:pPr>
        <w:jc w:val="both"/>
        <w:ind w:left="200"/>
        <w:spacing w:after="0" w:line="298" w:lineRule="auto"/>
        <w:rPr>
          <w:sz w:val="20"/>
          <w:szCs w:val="20"/>
          <w:color w:val="auto"/>
        </w:rPr>
      </w:pPr>
      <w:r>
        <w:rPr>
          <w:rFonts w:ascii="Times New Roman" w:cs="Times New Roman" w:eastAsia="Times New Roman" w:hAnsi="Times New Roman"/>
          <w:sz w:val="17"/>
          <w:szCs w:val="17"/>
          <w:color w:val="auto"/>
        </w:rPr>
        <w:t>Cash and cash equivalents include cash on hand and term deposits with a remaining term to maturity at acquisition of three months or less. As at December 31, 2022 and 2021, the Company had no cash equivalents.</w:t>
      </w:r>
    </w:p>
    <w:p>
      <w:pPr>
        <w:spacing w:after="0" w:line="1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vii. Equipment</w:t>
      </w:r>
    </w:p>
    <w:p>
      <w:pPr>
        <w:spacing w:after="0" w:line="222" w:lineRule="exact"/>
        <w:rPr>
          <w:sz w:val="20"/>
          <w:szCs w:val="20"/>
          <w:color w:val="auto"/>
        </w:rPr>
      </w:pPr>
    </w:p>
    <w:p>
      <w:pPr>
        <w:jc w:val="both"/>
        <w:ind w:left="200" w:firstLine="1"/>
        <w:spacing w:after="0" w:line="264" w:lineRule="auto"/>
        <w:rPr>
          <w:sz w:val="20"/>
          <w:szCs w:val="20"/>
          <w:color w:val="auto"/>
        </w:rPr>
      </w:pPr>
      <w:r>
        <w:rPr>
          <w:rFonts w:ascii="Times New Roman" w:cs="Times New Roman" w:eastAsia="Times New Roman" w:hAnsi="Times New Roman"/>
          <w:sz w:val="17"/>
          <w:szCs w:val="17"/>
          <w:color w:val="auto"/>
        </w:rPr>
        <w:t>Equipment are stated at cost less accumulated depreciation and accumulated impairment losses. Cost includes expenditures that are directly attributable to the acquisition of the asset. Subsequent costs are included in the asset’s carrying amount or recognized as a separate asset, as appropriate, when it is probable that future economic benefits from such assets will flow to the Company and the cost of such assets can be measured reliably. The carrying amount of an asset is derecognized when it is replaced or taken out of service. Repairs and maintenance costs are charged to the statement of loss and comprehensive loss during the period they are incurred.</w:t>
      </w:r>
    </w:p>
    <w:p>
      <w:pPr>
        <w:spacing w:after="0" w:line="376"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The major categories of equipment are amortized on a declining balance basis as follows:</w:t>
            </w:r>
          </w:p>
        </w:tc>
        <w:tc>
          <w:tcPr>
            <w:tcW w:w="800" w:type="dxa"/>
            <w:vAlign w:val="bottom"/>
          </w:tcPr>
          <w:p>
            <w:pPr>
              <w:spacing w:after="0"/>
              <w:rPr>
                <w:sz w:val="20"/>
                <w:szCs w:val="20"/>
                <w:color w:val="auto"/>
              </w:rPr>
            </w:pPr>
          </w:p>
        </w:tc>
      </w:tr>
      <w:tr>
        <w:trPr>
          <w:trHeight w:val="220"/>
        </w:trPr>
        <w:tc>
          <w:tcPr>
            <w:tcW w:w="66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7"/>
        </w:trPr>
        <w:tc>
          <w:tcPr>
            <w:tcW w:w="66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Exploration and other equipment</w:t>
            </w: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30 %</w:t>
            </w:r>
          </w:p>
        </w:tc>
      </w:tr>
      <w:tr>
        <w:trPr>
          <w:trHeight w:val="232"/>
        </w:trPr>
        <w:tc>
          <w:tcPr>
            <w:tcW w:w="6620" w:type="dxa"/>
            <w:vAlign w:val="bottom"/>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r>
    </w:tbl>
    <w:p>
      <w:pPr>
        <w:spacing w:after="0" w:line="159"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The Company allocates the amount initially recognized to each asset’s significant components and depreciates each component separately. Amortization methods and useful life of the assets are reviewed at each financial period end and adjusted on a prospective basis, if required.</w:t>
      </w:r>
    </w:p>
    <w:p>
      <w:pPr>
        <w:spacing w:after="0" w:line="155" w:lineRule="exact"/>
        <w:rPr>
          <w:sz w:val="20"/>
          <w:szCs w:val="20"/>
          <w:color w:val="auto"/>
        </w:rPr>
      </w:pPr>
    </w:p>
    <w:p>
      <w:pPr>
        <w:jc w:val="both"/>
        <w:ind w:left="200" w:right="20"/>
        <w:spacing w:after="0" w:line="299" w:lineRule="auto"/>
        <w:rPr>
          <w:sz w:val="20"/>
          <w:szCs w:val="20"/>
          <w:color w:val="auto"/>
        </w:rPr>
      </w:pPr>
      <w:r>
        <w:rPr>
          <w:rFonts w:ascii="Times New Roman" w:cs="Times New Roman" w:eastAsia="Times New Roman" w:hAnsi="Times New Roman"/>
          <w:sz w:val="17"/>
          <w:szCs w:val="17"/>
          <w:color w:val="auto"/>
        </w:rPr>
        <w:t>Gains and losses on disposals of equipment are determined by comparing the proceeds with the carrying amount of the asset and are included in the statement of loss and comprehensive loss.</w:t>
      </w:r>
    </w:p>
    <w:p>
      <w:pPr>
        <w:sectPr>
          <w:pgSz w:w="12240" w:h="15840" w:orient="portrait"/>
          <w:cols w:equalWidth="0" w:num="1">
            <w:col w:w="9500"/>
          </w:cols>
          <w:pgMar w:left="1440" w:top="1334" w:right="1300" w:bottom="1440" w:gutter="0" w:footer="0" w:header="0"/>
        </w:sectPr>
      </w:pPr>
    </w:p>
    <w:p>
      <w:pPr>
        <w:spacing w:after="0" w:line="3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type w:val="continuous"/>
        </w:sectPr>
      </w:pPr>
    </w:p>
    <w:bookmarkStart w:id="132" w:name="page133"/>
    <w:bookmarkEnd w:id="132"/>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9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292">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viii. Leases</w:t>
      </w:r>
    </w:p>
    <w:p>
      <w:pPr>
        <w:spacing w:after="0" w:line="222" w:lineRule="exact"/>
        <w:rPr>
          <w:sz w:val="20"/>
          <w:szCs w:val="20"/>
          <w:color w:val="auto"/>
        </w:rPr>
      </w:pPr>
    </w:p>
    <w:p>
      <w:pPr>
        <w:jc w:val="both"/>
        <w:ind w:left="200"/>
        <w:spacing w:after="0" w:line="289" w:lineRule="auto"/>
        <w:rPr>
          <w:sz w:val="20"/>
          <w:szCs w:val="20"/>
          <w:color w:val="auto"/>
        </w:rPr>
      </w:pPr>
      <w:r>
        <w:rPr>
          <w:rFonts w:ascii="Times New Roman" w:cs="Times New Roman" w:eastAsia="Times New Roman" w:hAnsi="Times New Roman"/>
          <w:sz w:val="17"/>
          <w:szCs w:val="17"/>
          <w:color w:val="auto"/>
        </w:rPr>
        <w:t>The Company determines if an arrangement is or contains a lease at inception. Operating leases are included in operating lease right-of-use (“ROU”) assets and operating lease liabilities in the consolidated balance sheet. The Company does not have any finance leases.</w:t>
      </w:r>
    </w:p>
    <w:p>
      <w:pPr>
        <w:spacing w:after="0" w:line="359" w:lineRule="exact"/>
        <w:rPr>
          <w:sz w:val="20"/>
          <w:szCs w:val="20"/>
          <w:color w:val="auto"/>
        </w:rPr>
      </w:pPr>
    </w:p>
    <w:p>
      <w:pPr>
        <w:jc w:val="both"/>
        <w:ind w:left="200" w:firstLine="1"/>
        <w:spacing w:after="0" w:line="260" w:lineRule="auto"/>
        <w:rPr>
          <w:sz w:val="20"/>
          <w:szCs w:val="20"/>
          <w:color w:val="auto"/>
        </w:rPr>
      </w:pPr>
      <w:r>
        <w:rPr>
          <w:rFonts w:ascii="Times New Roman" w:cs="Times New Roman" w:eastAsia="Times New Roman" w:hAnsi="Times New Roman"/>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When leases do not provide an implicit rate, the Company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operating leases is recognized on a straight-line basis over the lease term. Differences between the calculated lease payment and actual payment are expensed as incurred. Amortization of finance lease assets is recognized over the lease term. Interest expense on finance lease liabilities is recognized over the lease term in interest expense. The lease terms may include options to extend or terminate the lease when it is reasonably certain that we will exercise that option.</w:t>
      </w:r>
    </w:p>
    <w:p>
      <w:pPr>
        <w:spacing w:after="0" w:line="168" w:lineRule="exact"/>
        <w:rPr>
          <w:sz w:val="20"/>
          <w:szCs w:val="20"/>
          <w:color w:val="auto"/>
        </w:rPr>
      </w:pPr>
    </w:p>
    <w:p>
      <w:pPr>
        <w:jc w:val="both"/>
        <w:ind w:left="200" w:firstLine="1"/>
        <w:spacing w:after="0" w:line="269" w:lineRule="auto"/>
        <w:rPr>
          <w:sz w:val="20"/>
          <w:szCs w:val="20"/>
          <w:color w:val="auto"/>
        </w:rPr>
      </w:pPr>
      <w:r>
        <w:rPr>
          <w:rFonts w:ascii="Times New Roman" w:cs="Times New Roman" w:eastAsia="Times New Roman" w:hAnsi="Times New Roman"/>
          <w:sz w:val="17"/>
          <w:szCs w:val="17"/>
          <w:color w:val="auto"/>
        </w:rPr>
        <w:t>The Company elected to apply the short-term lease recognition exemption to all of its lease arrangements and recorded an expense of $132 (2021: $132) for lease payments during the year ended December 31, 2022 relating to office premises and employee accommodations. Such lease expense is disclosed under general and administrative expenses within the statement of loss and comprehensive loss and forms part of cash flow from operating activities.</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ix.  Exploration Contracts</w:t>
      </w:r>
    </w:p>
    <w:p>
      <w:pPr>
        <w:spacing w:after="0" w:line="222" w:lineRule="exact"/>
        <w:rPr>
          <w:sz w:val="20"/>
          <w:szCs w:val="20"/>
          <w:color w:val="auto"/>
        </w:rPr>
      </w:pPr>
    </w:p>
    <w:p>
      <w:pPr>
        <w:jc w:val="both"/>
        <w:ind w:left="200" w:firstLine="1"/>
        <w:spacing w:after="0" w:line="276" w:lineRule="auto"/>
        <w:rPr>
          <w:sz w:val="20"/>
          <w:szCs w:val="20"/>
          <w:color w:val="auto"/>
        </w:rPr>
      </w:pPr>
      <w:r>
        <w:rPr>
          <w:rFonts w:ascii="Times New Roman" w:cs="Times New Roman" w:eastAsia="Times New Roman" w:hAnsi="Times New Roman"/>
          <w:sz w:val="17"/>
          <w:szCs w:val="17"/>
          <w:color w:val="auto"/>
        </w:rPr>
        <w:t>The Company is in the exploration stage with respect to its investment in exploration contracts and follows the practice of capitalizing costs related to the acquisition of such exploration contracts. The cost of exploration contracts will be charged to operations using a unit-of-production method based on proven and probable reserves once commercial production commences in the future.</w:t>
      </w:r>
    </w:p>
    <w:p>
      <w:pPr>
        <w:spacing w:after="0" w:line="152" w:lineRule="exact"/>
        <w:rPr>
          <w:sz w:val="20"/>
          <w:szCs w:val="20"/>
          <w:color w:val="auto"/>
        </w:rPr>
      </w:pPr>
    </w:p>
    <w:p>
      <w:pPr>
        <w:ind w:left="520" w:hanging="321"/>
        <w:spacing w:after="0"/>
        <w:tabs>
          <w:tab w:leader="none" w:pos="520"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Exploration and Evaluation Expenses</w:t>
      </w:r>
    </w:p>
    <w:p>
      <w:pPr>
        <w:spacing w:after="0" w:line="222" w:lineRule="exact"/>
        <w:rPr>
          <w:sz w:val="20"/>
          <w:szCs w:val="20"/>
          <w:color w:val="auto"/>
        </w:rPr>
      </w:pPr>
    </w:p>
    <w:p>
      <w:pPr>
        <w:jc w:val="both"/>
        <w:ind w:left="200" w:right="20" w:firstLine="1"/>
        <w:spacing w:after="0" w:line="276" w:lineRule="auto"/>
        <w:rPr>
          <w:sz w:val="20"/>
          <w:szCs w:val="20"/>
          <w:color w:val="auto"/>
        </w:rPr>
      </w:pPr>
      <w:r>
        <w:rPr>
          <w:rFonts w:ascii="Times New Roman" w:cs="Times New Roman" w:eastAsia="Times New Roman" w:hAnsi="Times New Roman"/>
          <w:sz w:val="17"/>
          <w:szCs w:val="17"/>
          <w:color w:val="auto"/>
        </w:rPr>
        <w:t>The Company expenses all costs related to exploration and development of exploration contracts. Such exploration and development costs include, but are not limited to, exploration contract management, geological, geochemical and geophysical studies, environmental studies and process development.</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xi.  Share-Based Compensation</w:t>
      </w:r>
    </w:p>
    <w:p>
      <w:pPr>
        <w:spacing w:after="0" w:line="222"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Share-based compensation is measured at the grant date based on the fair value of the award and is recognized over the requisite service period. Share-based compensation costs are charged to exploration and evaluation expenses or general and administrative expenses in the statement of loss and comprehensive loss. The Company recognizes forfeiture of any awards as they occur. The Company records share-based compensation from the issuance of stock options and restricted share units (“RSUs”) to employees with service-based conditions using the accelerated attribution method.</w:t>
      </w:r>
    </w:p>
    <w:p>
      <w:pPr>
        <w:spacing w:after="0" w:line="165" w:lineRule="exact"/>
        <w:rPr>
          <w:sz w:val="20"/>
          <w:szCs w:val="20"/>
          <w:color w:val="auto"/>
        </w:rPr>
      </w:pPr>
    </w:p>
    <w:p>
      <w:pPr>
        <w:jc w:val="both"/>
        <w:ind w:left="200" w:firstLine="1"/>
        <w:spacing w:after="0" w:line="267" w:lineRule="auto"/>
        <w:rPr>
          <w:sz w:val="20"/>
          <w:szCs w:val="20"/>
          <w:color w:val="auto"/>
        </w:rPr>
      </w:pPr>
      <w:r>
        <w:rPr>
          <w:rFonts w:ascii="Times New Roman" w:cs="Times New Roman" w:eastAsia="Times New Roman" w:hAnsi="Times New Roman"/>
          <w:sz w:val="17"/>
          <w:szCs w:val="17"/>
          <w:color w:val="auto"/>
        </w:rPr>
        <w:t>For stock options and restricted share units issued with performance conditions (Note 15), the Company recognizes share-based compensation cost when the specific performance targets become probable of being achieved using the accelerated attribution method. When these costs relate to equity financing, they are netted against share capital as a share issuance cost. The fair value of stock option awards with only service and/or performance conditions is estimated on the grant date using a Black-Scholes option-pricing model.</w:t>
      </w: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sectPr>
      </w:pPr>
    </w:p>
    <w:bookmarkStart w:id="133" w:name="page134"/>
    <w:bookmarkEnd w:id="133"/>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29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294">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For stock options issued with market conditions (Note 15), the Company recognizes share-based compensation cost over the expected achievement period for the related market capitalization milestone determined on the grant date. If the related market capitalization milestone is achieved earlier than its expected achievement period, then any unamortized share-based compensation cost for that milestone is recognized at that time. The fair value of market-based stock option awards is estimated on the grant date using Monte-Carlo simulations.</w:t>
      </w:r>
    </w:p>
    <w:p>
      <w:pPr>
        <w:spacing w:after="0" w:line="165" w:lineRule="exact"/>
        <w:rPr>
          <w:sz w:val="20"/>
          <w:szCs w:val="20"/>
          <w:color w:val="auto"/>
        </w:rPr>
      </w:pPr>
    </w:p>
    <w:p>
      <w:pPr>
        <w:jc w:val="both"/>
        <w:ind w:left="200" w:firstLine="1"/>
        <w:spacing w:after="0" w:line="276" w:lineRule="auto"/>
        <w:rPr>
          <w:sz w:val="20"/>
          <w:szCs w:val="20"/>
          <w:color w:val="auto"/>
        </w:rPr>
      </w:pPr>
      <w:r>
        <w:rPr>
          <w:rFonts w:ascii="Times New Roman" w:cs="Times New Roman" w:eastAsia="Times New Roman" w:hAnsi="Times New Roman"/>
          <w:sz w:val="17"/>
          <w:szCs w:val="17"/>
          <w:color w:val="auto"/>
        </w:rPr>
        <w:t>The Company at times grants common shares, stock options or RSUs in lieu of cash to certain vendors for their services to the Company. The Company recognizes the associated cost in the same period and manner as if the Company paid cash for the services provided.</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xii. Warrants Liability</w:t>
      </w:r>
    </w:p>
    <w:p>
      <w:pPr>
        <w:spacing w:after="0" w:line="222"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17"/>
          <w:szCs w:val="17"/>
          <w:color w:val="auto"/>
        </w:rPr>
        <w:t>The Company evaluates all of its financial instruments, including issued share purchase warrants, to determine if such instruments are derivatives or contain features that qualify as embedded derivatives, pursuant to U.S. GAAP Accounting Standard Coding (“ASC”) 480, Distinguishing Liability from Equity, and ASC 815, Derivatives and Hedging. The classification of derivative instruments, including whether such instruments should be recorded as liabilities or as equity, is re-assessed at the end of each reporting period.</w:t>
      </w:r>
    </w:p>
    <w:p>
      <w:pPr>
        <w:spacing w:after="0" w:line="160"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17"/>
          <w:szCs w:val="17"/>
          <w:color w:val="auto"/>
        </w:rPr>
        <w:t>The Company accounts for the Public Warrants and Private Warrants (as defined below) in accordance with the guidance contained in ASC 815 (Subtopic 40), Derivative and Hedging – Contracts in Entity’s Own Equity (“ASC 815-40”), and the U.S. Securities and Exchange Commission (“SEC”) Division of Corporation Finance’s April 12, 2021 Public Statement, Staff Statement on Accounting and Reporting Considerations for Warrants Issued by Special Purpose Acquisition Companies (“SEC Statement”), under which, subsequent to the Business Combination, the 15,000,000 common share warrants issued by SOAC as part of the units offered in its initial public offering (“Public Warrants”) were determined to meet the criteria for equity classification, while the 9,500,000 private placement common share warrants issued by SOAC in a private placement simultaneously with the closing of the initial public offering (“Private Warrants”) did not meet the criteria for equity classification and must be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The warrants liability is subject to re-measurement at each balance sheet date until exercised with any changes in fair value being recognized in the Company’s statement of loss and comprehensive loss.</w:t>
      </w:r>
    </w:p>
    <w:p>
      <w:pPr>
        <w:spacing w:after="0" w:line="169"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17"/>
          <w:szCs w:val="17"/>
          <w:color w:val="auto"/>
        </w:rPr>
        <w:t>The Company granted warrants to Allseas on March 4, 2021 to acquire 11.6 million TMC common shares at a nominal value (the “Allseas Warrant”). The Allseas Warrant vested and became exercisable upon successful completion of the PMTS in the fourth quarter of 2022, and have been accounted for as equity, since the warrants do not meet the criteria to be classified as liability as defined in ASC Topic 480, Distinguishing Liabilities from Equity.</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xiii. Income Taxes</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Income tax expense represents the sum of current tax expense and deferred tax expense.</w:t>
      </w:r>
    </w:p>
    <w:p>
      <w:pPr>
        <w:spacing w:after="0" w:line="219" w:lineRule="exact"/>
        <w:rPr>
          <w:sz w:val="20"/>
          <w:szCs w:val="20"/>
          <w:color w:val="auto"/>
        </w:rPr>
      </w:pPr>
    </w:p>
    <w:p>
      <w:pPr>
        <w:jc w:val="both"/>
        <w:ind w:left="200"/>
        <w:spacing w:after="0" w:line="263" w:lineRule="auto"/>
        <w:rPr>
          <w:sz w:val="20"/>
          <w:szCs w:val="20"/>
          <w:color w:val="auto"/>
        </w:rPr>
      </w:pPr>
      <w:r>
        <w:rPr>
          <w:rFonts w:ascii="Times New Roman" w:cs="Times New Roman" w:eastAsia="Times New Roman" w:hAnsi="Times New Roman"/>
          <w:sz w:val="17"/>
          <w:szCs w:val="17"/>
          <w:color w:val="auto"/>
        </w:rPr>
        <w:t>Current tax expense is based on taxable profit for the year and includes any adjustments to tax payable in respect of previous years. Taxable profit differs from accounting profit or loss as reported in the consolidated income statement because it excludes (i) items of income or expense that are taxable or deductible in other years and (ii) items that are never taxable or deductible. The Company’s liability for current tax is calculated using tax rates that have been enacted by the balance sheet date. The Company’s policy is to account for income tax related interest and penalties in income tax expense in the accompanying statements of loss and comprehensive loss.</w:t>
      </w: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29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296">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7"/>
          <w:szCs w:val="17"/>
          <w:color w:val="auto"/>
        </w:rPr>
        <w:t>Deferred tax income taxes are accounted for using the asset and liability method. Deferred income tax assets and liabilities are based on temporary differences, which are differences between the accounting basis and tax basis of assets and liabilities, non-capital loss, capital loss, and tax credits carryforwards and are measured using the enacted tax rates and laws expected to apply when these differences reverse. Deferred tax benefits, including non-capital loss, capital loss, and tax credits carryforwards are recognized to the extent that realization of such benefits is considered more likely than not. The effect on deferred tax assets and liabilities of a change in tax rates is recognized in the consolidated income statement in the period that enactment occurs. When realization of deferred income tax assets does not meet the more likely than not criterion for recognition, a valuation allowance is provided.</w:t>
      </w:r>
    </w:p>
    <w:p>
      <w:pPr>
        <w:spacing w:after="0" w:line="168" w:lineRule="exact"/>
        <w:rPr>
          <w:sz w:val="20"/>
          <w:szCs w:val="20"/>
          <w:color w:val="auto"/>
        </w:rPr>
      </w:pPr>
    </w:p>
    <w:p>
      <w:pPr>
        <w:ind w:left="320" w:right="4320"/>
        <w:spacing w:after="0" w:line="510" w:lineRule="auto"/>
        <w:rPr>
          <w:sz w:val="20"/>
          <w:szCs w:val="20"/>
          <w:color w:val="auto"/>
        </w:rPr>
      </w:pPr>
      <w:r>
        <w:rPr>
          <w:rFonts w:ascii="Times New Roman" w:cs="Times New Roman" w:eastAsia="Times New Roman" w:hAnsi="Times New Roman"/>
          <w:sz w:val="17"/>
          <w:szCs w:val="17"/>
          <w:b w:val="1"/>
          <w:bCs w:val="1"/>
          <w:color w:val="auto"/>
        </w:rPr>
        <w:t xml:space="preserve">Significant Accounting Policies Adopted during the year </w:t>
      </w:r>
      <w:r>
        <w:rPr>
          <w:rFonts w:ascii="Times New Roman" w:cs="Times New Roman" w:eastAsia="Times New Roman" w:hAnsi="Times New Roman"/>
          <w:sz w:val="17"/>
          <w:szCs w:val="17"/>
          <w:b w:val="1"/>
          <w:bCs w:val="1"/>
          <w:i w:val="1"/>
          <w:iCs w:val="1"/>
          <w:color w:val="auto"/>
        </w:rPr>
        <w:t>Share-Based Compensation under the Employee Stock Purchase Plan</w:t>
      </w:r>
    </w:p>
    <w:p>
      <w:pPr>
        <w:spacing w:after="0" w:line="1" w:lineRule="exact"/>
        <w:rPr>
          <w:sz w:val="20"/>
          <w:szCs w:val="20"/>
          <w:color w:val="auto"/>
        </w:rPr>
      </w:pPr>
    </w:p>
    <w:p>
      <w:pPr>
        <w:jc w:val="both"/>
        <w:ind w:left="320"/>
        <w:spacing w:after="0" w:line="262" w:lineRule="auto"/>
        <w:rPr>
          <w:sz w:val="20"/>
          <w:szCs w:val="20"/>
          <w:color w:val="auto"/>
        </w:rPr>
      </w:pPr>
      <w:r>
        <w:rPr>
          <w:rFonts w:ascii="Times New Roman" w:cs="Times New Roman" w:eastAsia="Times New Roman" w:hAnsi="Times New Roman"/>
          <w:sz w:val="17"/>
          <w:szCs w:val="17"/>
          <w:color w:val="auto"/>
        </w:rPr>
        <w:t>During the second quarter of 2022, the Company adopted an employee stock purchase plan (the “ESPP”) whereby employees can purchase common shares of the Company at a 15% discount to its share price at the time of purchase, through payroll deductions (Note 15). Employee contributions are converted into common shares at a discount to the lower of the share price at the beginning of the offering period and the share price at the end of the purchase period. The fair value of the shares purchased under the ESPP is estimated on the grant date using a Black-Scholes option-pricing model and is reported as share-based compensation over the offering period, using the accelerated attribution method. Share-based compensation costs are charged to exploration and evaluation expenses or general and administrative expenses in the statement of loss and comprehensive loss.</w:t>
      </w:r>
    </w:p>
    <w:p>
      <w:pPr>
        <w:spacing w:after="0" w:line="163" w:lineRule="exact"/>
        <w:rPr>
          <w:sz w:val="20"/>
          <w:szCs w:val="20"/>
          <w:color w:val="auto"/>
        </w:rPr>
      </w:pPr>
    </w:p>
    <w:p>
      <w:pPr>
        <w:ind w:left="320" w:hanging="311"/>
        <w:spacing w:after="0"/>
        <w:tabs>
          <w:tab w:leader="none" w:pos="320"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Estimates and Judgements</w:t>
      </w:r>
    </w:p>
    <w:p>
      <w:pPr>
        <w:spacing w:after="0" w:line="222" w:lineRule="exact"/>
        <w:rPr>
          <w:rFonts w:ascii="Times New Roman" w:cs="Times New Roman" w:eastAsia="Times New Roman" w:hAnsi="Times New Roman"/>
          <w:sz w:val="17"/>
          <w:szCs w:val="17"/>
          <w:b w:val="1"/>
          <w:bCs w:val="1"/>
          <w:color w:val="auto"/>
        </w:rPr>
      </w:pPr>
    </w:p>
    <w:p>
      <w:pPr>
        <w:jc w:val="both"/>
        <w:ind w:left="3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preparation of financial statements in accordance with U.S. GAAP requires management to make judgments, estimates and assumptions that affect the application of policies and reported amounts of assets and liabilities, income and expenses. The estimates and associated assumptions are based on historical experience and various other factors that are believed to be reasonable under the circumstances, the results of which form the basis of making the judgments about carrying values of assets and liabilities that are not readily apparent from other sources. Actual results may differ from these estimates.</w:t>
      </w:r>
    </w:p>
    <w:p>
      <w:pPr>
        <w:spacing w:after="0" w:line="164" w:lineRule="exact"/>
        <w:rPr>
          <w:rFonts w:ascii="Times New Roman" w:cs="Times New Roman" w:eastAsia="Times New Roman" w:hAnsi="Times New Roman"/>
          <w:sz w:val="17"/>
          <w:szCs w:val="17"/>
          <w:b w:val="1"/>
          <w:bCs w:val="1"/>
          <w:color w:val="auto"/>
        </w:rPr>
      </w:pPr>
    </w:p>
    <w:p>
      <w:pPr>
        <w:ind w:left="320" w:right="3360"/>
        <w:spacing w:after="0" w:line="50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Significant management judgments and estimates were applied to the following areas: </w:t>
      </w:r>
      <w:r>
        <w:rPr>
          <w:rFonts w:ascii="Times New Roman" w:cs="Times New Roman" w:eastAsia="Times New Roman" w:hAnsi="Times New Roman"/>
          <w:sz w:val="17"/>
          <w:szCs w:val="17"/>
          <w:b w:val="1"/>
          <w:bCs w:val="1"/>
          <w:color w:val="auto"/>
        </w:rPr>
        <w:t>i. Valuation of Share-Based Payments</w:t>
      </w:r>
    </w:p>
    <w:p>
      <w:pPr>
        <w:jc w:val="both"/>
        <w:ind w:left="320" w:firstLine="1"/>
        <w:spacing w:after="0" w:line="276" w:lineRule="auto"/>
        <w:rPr>
          <w:sz w:val="20"/>
          <w:szCs w:val="20"/>
          <w:color w:val="auto"/>
        </w:rPr>
      </w:pPr>
      <w:r>
        <w:rPr>
          <w:rFonts w:ascii="Times New Roman" w:cs="Times New Roman" w:eastAsia="Times New Roman" w:hAnsi="Times New Roman"/>
          <w:sz w:val="17"/>
          <w:szCs w:val="17"/>
          <w:color w:val="auto"/>
        </w:rPr>
        <w:t>TMC recognized the cost of share-based awards granted to employees, non-employees and directors based on the estimated grant-date fair value of the awards. TMC determined the fair value of stock options and Restricted Share Units using the Black-Scholes option pricing model, which was impacted by the following assumptions:</w:t>
      </w:r>
    </w:p>
    <w:p>
      <w:pPr>
        <w:spacing w:after="0" w:line="155" w:lineRule="exact"/>
        <w:rPr>
          <w:sz w:val="20"/>
          <w:szCs w:val="20"/>
          <w:color w:val="auto"/>
        </w:rPr>
      </w:pPr>
    </w:p>
    <w:p>
      <w:pPr>
        <w:ind w:left="660" w:hanging="315"/>
        <w:spacing w:after="0" w:line="254" w:lineRule="auto"/>
        <w:tabs>
          <w:tab w:leader="none" w:pos="659"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 Value of Common Shares on the Date of the Grant — The Company valued its common shares at the closing market price of the share as quoted on NASDAQ.</w:t>
      </w:r>
    </w:p>
    <w:p>
      <w:pPr>
        <w:ind w:left="660" w:hanging="314"/>
        <w:spacing w:after="0"/>
        <w:tabs>
          <w:tab w:leader="none" w:pos="6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Term—TMC used the term of the award when calculating the expected term due to insufficient historical exercise data.</w:t>
      </w:r>
    </w:p>
    <w:p>
      <w:pPr>
        <w:spacing w:after="0" w:line="11" w:lineRule="exact"/>
        <w:rPr>
          <w:rFonts w:ascii="Times New Roman" w:cs="Times New Roman" w:eastAsia="Times New Roman" w:hAnsi="Times New Roman"/>
          <w:sz w:val="17"/>
          <w:szCs w:val="17"/>
          <w:color w:val="auto"/>
        </w:rPr>
      </w:pPr>
    </w:p>
    <w:p>
      <w:pPr>
        <w:ind w:left="660" w:right="20" w:hanging="314"/>
        <w:spacing w:after="0" w:line="254" w:lineRule="auto"/>
        <w:tabs>
          <w:tab w:leader="none" w:pos="6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Volatility—As TMC’s shares were not actively traded prior to closing of the Business Combination, the volatility is based on a benchmark of comparable companies within the mining industry.</w:t>
      </w:r>
    </w:p>
    <w:p>
      <w:pPr>
        <w:spacing w:after="0" w:line="1" w:lineRule="exact"/>
        <w:rPr>
          <w:rFonts w:ascii="Times New Roman" w:cs="Times New Roman" w:eastAsia="Times New Roman" w:hAnsi="Times New Roman"/>
          <w:sz w:val="17"/>
          <w:szCs w:val="17"/>
          <w:color w:val="auto"/>
        </w:rPr>
      </w:pPr>
    </w:p>
    <w:p>
      <w:pPr>
        <w:ind w:left="660" w:hanging="314"/>
        <w:spacing w:after="0" w:line="254" w:lineRule="auto"/>
        <w:tabs>
          <w:tab w:leader="none" w:pos="6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Dividend Yield—The dividend rate used is zero as TMC has never paid any cash dividends on common shares and does not anticipate doing so during the expected life of the stock options.</w:t>
      </w:r>
    </w:p>
    <w:p>
      <w:pPr>
        <w:ind w:left="660" w:right="20" w:hanging="314"/>
        <w:spacing w:after="0" w:line="298" w:lineRule="auto"/>
        <w:tabs>
          <w:tab w:leader="none" w:pos="66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Risk-Free Interest Rate—The interest rates used are based on the implied yield available on Canadian Treasury zero-coupon issues with an equivalent remaining term equal to the expected life of the award.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29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98">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This valuation approach involves the use of estimates, judgments and assumptions that are subjective, such as those regarding the probability of future events. Changes in these estimates and assumptions impact the Company’s valuation as of the valuation date and may have a material impact on the valuation of the Company’s common shares. Changes in these assumptions used to determine the fair value of incentive stock options, including the vesting timeline of granted stock options, could have a material impact on the Company’s loss and comprehensive loss.</w:t>
      </w:r>
    </w:p>
    <w:p>
      <w:pPr>
        <w:spacing w:after="0" w:line="165" w:lineRule="exact"/>
        <w:rPr>
          <w:sz w:val="20"/>
          <w:szCs w:val="20"/>
          <w:color w:val="auto"/>
        </w:rPr>
      </w:pPr>
    </w:p>
    <w:p>
      <w:pPr>
        <w:jc w:val="both"/>
        <w:ind w:left="320" w:firstLine="1"/>
        <w:spacing w:after="0" w:line="269" w:lineRule="auto"/>
        <w:rPr>
          <w:sz w:val="20"/>
          <w:szCs w:val="20"/>
          <w:color w:val="auto"/>
        </w:rPr>
      </w:pPr>
      <w:r>
        <w:rPr>
          <w:rFonts w:ascii="Times New Roman" w:cs="Times New Roman" w:eastAsia="Times New Roman" w:hAnsi="Times New Roman"/>
          <w:sz w:val="17"/>
          <w:szCs w:val="17"/>
          <w:color w:val="auto"/>
        </w:rPr>
        <w:t>Prior to closing of the Business Combination, TMC estimated the fair value of common shares issued for services using the Probability Weighted Expected Return Method (“PWERM”). The Company applied the PWERM by first defining the range of potential future liquidity outcomes, including the share price used for its most recent private placements and the share price used for the Business Combination, then allocating its value based on the probability of that event occurring.</w:t>
      </w:r>
    </w:p>
    <w:p>
      <w:pPr>
        <w:spacing w:after="0" w:line="158"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ii.</w:t>
        <w:tab/>
        <w:t>Valuation of Warrants Liability</w:t>
      </w:r>
    </w:p>
    <w:p>
      <w:pPr>
        <w:spacing w:after="0" w:line="222" w:lineRule="exact"/>
        <w:rPr>
          <w:sz w:val="20"/>
          <w:szCs w:val="20"/>
          <w:color w:val="auto"/>
        </w:rPr>
      </w:pPr>
    </w:p>
    <w:p>
      <w:pPr>
        <w:jc w:val="both"/>
        <w:ind w:left="320" w:firstLine="1"/>
        <w:spacing w:after="0" w:line="269" w:lineRule="auto"/>
        <w:rPr>
          <w:sz w:val="20"/>
          <w:szCs w:val="20"/>
          <w:color w:val="auto"/>
        </w:rPr>
      </w:pPr>
      <w:r>
        <w:rPr>
          <w:rFonts w:ascii="Times New Roman" w:cs="Times New Roman" w:eastAsia="Times New Roman" w:hAnsi="Times New Roman"/>
          <w:sz w:val="17"/>
          <w:szCs w:val="17"/>
          <w:color w:val="auto"/>
        </w:rPr>
        <w:t>The Company re-measures the fair value of the Private Warrants at the end of each reporting period. The fair value of the Private Warrants was estimated using a Black-Scholes option pricing model whereby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iii.  Evaluation of Going Concern</w:t>
      </w:r>
    </w:p>
    <w:p>
      <w:pPr>
        <w:spacing w:after="0" w:line="222" w:lineRule="exact"/>
        <w:rPr>
          <w:sz w:val="20"/>
          <w:szCs w:val="20"/>
          <w:color w:val="auto"/>
        </w:rPr>
      </w:pPr>
    </w:p>
    <w:p>
      <w:pPr>
        <w:jc w:val="both"/>
        <w:ind w:left="320" w:firstLine="1"/>
        <w:spacing w:after="0" w:line="276" w:lineRule="auto"/>
        <w:rPr>
          <w:sz w:val="20"/>
          <w:szCs w:val="20"/>
          <w:color w:val="auto"/>
        </w:rPr>
      </w:pPr>
      <w:r>
        <w:rPr>
          <w:rFonts w:ascii="Times New Roman" w:cs="Times New Roman" w:eastAsia="Times New Roman" w:hAnsi="Times New Roman"/>
          <w:sz w:val="17"/>
          <w:szCs w:val="17"/>
          <w:color w:val="auto"/>
        </w:rPr>
        <w:t>The Company evaluates its ability to operate as a going concern at each reporting period. This evaluation requires the Company to estimate its cash flow commitments over a forecast period of twelve months and whether it has the financial ability to pay for such commitments. Changes in these estimates and assumptions may have a material impact on this assessment.</w:t>
      </w:r>
    </w:p>
    <w:p>
      <w:pPr>
        <w:spacing w:after="0" w:line="152" w:lineRule="exact"/>
        <w:rPr>
          <w:sz w:val="20"/>
          <w:szCs w:val="20"/>
          <w:color w:val="auto"/>
        </w:rPr>
      </w:pPr>
    </w:p>
    <w:p>
      <w:pPr>
        <w:ind w:left="320" w:hanging="311"/>
        <w:spacing w:after="0"/>
        <w:tabs>
          <w:tab w:leader="none" w:pos="32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 Accounting Pronouncements Issued and Adopted</w:t>
      </w:r>
    </w:p>
    <w:p>
      <w:pPr>
        <w:spacing w:after="0" w:line="219"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Accounting for Certain Modifications or Exchanges of Freestanding Equity-Classified Written Call Options</w:t>
      </w:r>
    </w:p>
    <w:p>
      <w:pPr>
        <w:spacing w:after="0" w:line="222" w:lineRule="exact"/>
        <w:rPr>
          <w:rFonts w:ascii="Times New Roman" w:cs="Times New Roman" w:eastAsia="Times New Roman" w:hAnsi="Times New Roman"/>
          <w:sz w:val="17"/>
          <w:szCs w:val="17"/>
          <w:b w:val="1"/>
          <w:bCs w:val="1"/>
          <w:color w:val="auto"/>
        </w:rPr>
      </w:pPr>
    </w:p>
    <w:p>
      <w:pPr>
        <w:jc w:val="both"/>
        <w:ind w:left="32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May 2021, the Financial Accounting Standards Board (the “FASB”) issued Accounting Standards Update (“ASU”) 2021-04, “Earnings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which clarified and reduced diversity in an issuer’s accounting for modifications or exchanges of freestanding equity-classified written call options that remain equity classified after modification or exchange. Specifically, an issuer should treat a modification of the terms or conditions or an exchange of a freestanding equity-classified written call option that remains equity classified after modification or exchange as an exchange of the original instrument for a new instrument. Modification or an exchange that is a part of or directly related to a modification or an exchange of an existing debt instrument should be measured as the difference between the fair value of the modified or exchanged written call option and the fair value of that written call option immediately before it is modified or exchanged. The effect of a modification or an exchange of a freestanding equity-classified written call option that remains equity classified after modification or exchange on the basis of the substance of the transaction should be recognized in the same manner as if cash had been paid as consideration. ASU 2021-04 is effective for fiscal periods ending on or after December 15, 2021, with early adoption permitted. ASU 2021-04 is applied prospectively to modifications or exchanges occurring on or after the effective date. The adoption of ASU 2021-04 on January 1, 2022 did not have a material impact on the Company’s consolidated financial statements.</w:t>
      </w:r>
    </w:p>
    <w:p>
      <w:pPr>
        <w:spacing w:after="0" w:line="175" w:lineRule="exact"/>
        <w:rPr>
          <w:rFonts w:ascii="Times New Roman" w:cs="Times New Roman" w:eastAsia="Times New Roman" w:hAnsi="Times New Roman"/>
          <w:sz w:val="17"/>
          <w:szCs w:val="17"/>
          <w:b w:val="1"/>
          <w:bCs w:val="1"/>
          <w:color w:val="auto"/>
        </w:rPr>
      </w:pPr>
    </w:p>
    <w:p>
      <w:pPr>
        <w:ind w:left="320" w:hanging="311"/>
        <w:spacing w:after="0"/>
        <w:tabs>
          <w:tab w:leader="none" w:pos="320"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222" w:lineRule="exact"/>
        <w:rPr>
          <w:rFonts w:ascii="Times New Roman" w:cs="Times New Roman" w:eastAsia="Times New Roman" w:hAnsi="Times New Roman"/>
          <w:sz w:val="17"/>
          <w:szCs w:val="17"/>
          <w:b w:val="1"/>
          <w:bCs w:val="1"/>
          <w:color w:val="auto"/>
        </w:rPr>
      </w:pPr>
    </w:p>
    <w:p>
      <w:pPr>
        <w:jc w:val="both"/>
        <w:ind w:left="3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4, 2021, SOAC and DeepGreen entered into a business combination agreement (“BCA”) in which SOAC would combine with DeepGreen, relist on the Nasdaq and SOAC would be renamed to TMC. The Business Combination was consummated on September 9, 2021, whereby SOAC acquired all of the outstanding common shares of DeepGreen.</w:t>
      </w:r>
    </w:p>
    <w:p>
      <w:pPr>
        <w:sectPr>
          <w:pgSz w:w="12240" w:h="15840" w:orient="portrait"/>
          <w:cols w:equalWidth="0" w:num="1">
            <w:col w:w="9620"/>
          </w:cols>
          <w:pgMar w:left="1320" w:top="1334" w:right="130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type w:val="continuous"/>
        </w:sectPr>
      </w:pPr>
    </w:p>
    <w:bookmarkStart w:id="136" w:name="page137"/>
    <w:bookmarkEnd w:id="136"/>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29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300">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200" w:firstLine="1"/>
        <w:spacing w:after="0" w:line="265" w:lineRule="auto"/>
        <w:rPr>
          <w:sz w:val="20"/>
          <w:szCs w:val="20"/>
          <w:color w:val="auto"/>
        </w:rPr>
      </w:pPr>
      <w:r>
        <w:rPr>
          <w:rFonts w:ascii="Times New Roman" w:cs="Times New Roman" w:eastAsia="Times New Roman" w:hAnsi="Times New Roman"/>
          <w:sz w:val="17"/>
          <w:szCs w:val="17"/>
          <w:color w:val="auto"/>
        </w:rPr>
        <w:t>Pursuant to the BCA, shareholders of DeepGreen exchanged their DeepGreen common shares at a ratio of 1.157862 TMC common shares per DeepGreen common share (“Exchange Ratio”) and received approximately 203.9 million TMC common shares and a total of 120.1 million Class A to H special shares (“Special Shares”). Each class of Special Shares automatically convert to TMC common shares if TMC common shares trade at a price on any 20 trading days within any 30- trading day period that is greater than or equal to the specific trigger price for the respective class of Special Share. The trigger prices range from $15 per share to $200 per share.</w:t>
      </w:r>
    </w:p>
    <w:p>
      <w:pPr>
        <w:spacing w:after="0" w:line="165"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In connection with the Business Combination, the SOAC sponsors were entitled to an additional 0.5 million Class I Special Shares and 0.7 million Class J Special Shares which are convertible to TMC common shares if TMC common shares trade for a price on any 20 trading days within any 30-trading day period that is greater than or equal to $50.00 per share and $12.00 per share, respectively.</w:t>
      </w:r>
    </w:p>
    <w:p>
      <w:pPr>
        <w:spacing w:after="0" w:line="155" w:lineRule="exact"/>
        <w:rPr>
          <w:sz w:val="20"/>
          <w:szCs w:val="20"/>
          <w:color w:val="auto"/>
        </w:rPr>
      </w:pPr>
    </w:p>
    <w:p>
      <w:pPr>
        <w:jc w:val="both"/>
        <w:ind w:left="200" w:firstLine="1"/>
        <w:spacing w:after="0" w:line="269" w:lineRule="auto"/>
        <w:rPr>
          <w:sz w:val="20"/>
          <w:szCs w:val="20"/>
          <w:color w:val="auto"/>
        </w:rPr>
      </w:pPr>
      <w:r>
        <w:rPr>
          <w:rFonts w:ascii="Times New Roman" w:cs="Times New Roman" w:eastAsia="Times New Roman" w:hAnsi="Times New Roman"/>
          <w:sz w:val="17"/>
          <w:szCs w:val="17"/>
          <w:color w:val="auto"/>
        </w:rPr>
        <w:t>Additionally, existing DeepGreen options were automatically adopted by TMC (the “Rollover Options”) after application of the Exchange Ratio to both the underlying number of common shares and the exercise price. These Rollover Options did not change in value as a result of the Business Combination. The Rollover Options also entitle holders thereof to a pro-rata portion of up to an aggregate of 14.9 million Special Shares if exercised.</w:t>
      </w:r>
    </w:p>
    <w:p>
      <w:pPr>
        <w:spacing w:after="0" w:line="160" w:lineRule="exact"/>
        <w:rPr>
          <w:sz w:val="20"/>
          <w:szCs w:val="20"/>
          <w:color w:val="auto"/>
        </w:rPr>
      </w:pPr>
    </w:p>
    <w:p>
      <w:pPr>
        <w:jc w:val="both"/>
        <w:ind w:left="200"/>
        <w:spacing w:after="0" w:line="299" w:lineRule="auto"/>
        <w:rPr>
          <w:sz w:val="20"/>
          <w:szCs w:val="20"/>
          <w:color w:val="auto"/>
        </w:rPr>
      </w:pPr>
      <w:r>
        <w:rPr>
          <w:rFonts w:ascii="Times New Roman" w:cs="Times New Roman" w:eastAsia="Times New Roman" w:hAnsi="Times New Roman"/>
          <w:sz w:val="17"/>
          <w:szCs w:val="17"/>
          <w:color w:val="auto"/>
        </w:rPr>
        <w:t>Lastly, the warrants granted to Allseas to acquire 10 million DeepGreen common shares at a nominal value (the “Allseas Warrant”) have been assumed by TMC and have become warrants to purchase 11.6 million TMC common shares, in accordance with its terms.</w:t>
      </w: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Below is a summary of the Special Shares and their respective vesting thresholds, assuming the full amount of Special Shares from</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Rollover Options are issued:</w:t>
      </w:r>
    </w:p>
    <w:p>
      <w:pPr>
        <w:spacing w:after="0" w:line="222" w:lineRule="exact"/>
        <w:rPr>
          <w:sz w:val="20"/>
          <w:szCs w:val="20"/>
          <w:color w:val="auto"/>
        </w:rPr>
      </w:pPr>
    </w:p>
    <w:tbl>
      <w:tblPr>
        <w:tblLayout w:type="fixed"/>
        <w:tblInd w:w="210" w:type="dxa"/>
        <w:tblCellMar>
          <w:top w:w="0" w:type="dxa"/>
          <w:left w:w="0" w:type="dxa"/>
          <w:bottom w:w="0" w:type="dxa"/>
          <w:right w:w="0" w:type="dxa"/>
        </w:tblCellMar>
      </w:tblPr>
      <w:tr>
        <w:trPr>
          <w:trHeight w:val="234"/>
        </w:trPr>
        <w:tc>
          <w:tcPr>
            <w:tcW w:w="33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Special Share Class</w:t>
            </w: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w:t>
            </w:r>
          </w:p>
        </w:tc>
        <w:tc>
          <w:tcPr>
            <w:tcW w:w="1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right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B</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w:t>
            </w:r>
          </w:p>
        </w:tc>
        <w:tc>
          <w:tcPr>
            <w:tcW w:w="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w:t>
            </w:r>
          </w:p>
        </w:tc>
        <w:tc>
          <w:tcPr>
            <w:tcW w:w="1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right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E</w:t>
            </w:r>
          </w:p>
        </w:tc>
        <w:tc>
          <w:tcPr>
            <w:tcW w:w="54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F</w:t>
            </w:r>
          </w:p>
        </w:tc>
        <w:tc>
          <w:tcPr>
            <w:tcW w:w="56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G</w:t>
            </w:r>
          </w:p>
        </w:tc>
        <w:tc>
          <w:tcPr>
            <w:tcW w:w="5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H</w:t>
            </w:r>
          </w:p>
        </w:tc>
        <w:tc>
          <w:tcPr>
            <w:tcW w:w="2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left w:val="single" w:sz="8" w:color="auto"/>
              <w:bottom w:val="single" w:sz="8" w:color="auto"/>
            </w:tcBorders>
          </w:tcPr>
          <w:p>
            <w:pPr>
              <w:jc w:val="right"/>
              <w:ind w:right="47"/>
              <w:spacing w:after="0"/>
              <w:rPr>
                <w:sz w:val="20"/>
                <w:szCs w:val="20"/>
                <w:color w:val="auto"/>
              </w:rPr>
            </w:pPr>
            <w:r>
              <w:rPr>
                <w:rFonts w:ascii="Times New Roman" w:cs="Times New Roman" w:eastAsia="Times New Roman" w:hAnsi="Times New Roman"/>
                <w:sz w:val="17"/>
                <w:szCs w:val="17"/>
                <w:b w:val="1"/>
                <w:bCs w:val="1"/>
                <w:color w:val="auto"/>
              </w:rPr>
              <w:t>I</w:t>
            </w:r>
          </w:p>
        </w:tc>
        <w:tc>
          <w:tcPr>
            <w:tcW w:w="140" w:type="dxa"/>
            <w:vAlign w:val="bottom"/>
            <w:tcBorders>
              <w:top w:val="single" w:sz="8" w:color="auto"/>
              <w:bottom w:val="single" w:sz="8" w:color="auto"/>
              <w:right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J</w:t>
            </w: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360" w:type="dxa"/>
            <w:vAlign w:val="bottom"/>
            <w:tcBorders>
              <w:left w:val="single" w:sz="8" w:color="auto"/>
              <w:bottom w:val="single" w:sz="8" w:color="auto"/>
              <w:right w:val="single" w:sz="8" w:color="auto"/>
            </w:tcBorders>
            <w:shd w:val="clear" w:color="auto" w:fill="C7EAF2"/>
          </w:tcPr>
          <w:p>
            <w:pPr>
              <w:ind w:left="20"/>
              <w:spacing w:after="0"/>
              <w:rPr>
                <w:sz w:val="20"/>
                <w:szCs w:val="20"/>
                <w:color w:val="auto"/>
              </w:rPr>
            </w:pPr>
            <w:r>
              <w:rPr>
                <w:rFonts w:ascii="Times New Roman" w:cs="Times New Roman" w:eastAsia="Times New Roman" w:hAnsi="Times New Roman"/>
                <w:sz w:val="17"/>
                <w:szCs w:val="17"/>
                <w:color w:val="auto"/>
              </w:rPr>
              <w:t>Share Trigger price ($)</w:t>
            </w:r>
          </w:p>
        </w:tc>
        <w:tc>
          <w:tcPr>
            <w:tcW w:w="100" w:type="dxa"/>
            <w:vAlign w:val="bottom"/>
            <w:tcBorders>
              <w:bottom w:val="single" w:sz="8" w:color="auto"/>
            </w:tcBorders>
            <w:shd w:val="clear" w:color="auto" w:fill="C7EAF2"/>
          </w:tcPr>
          <w:p>
            <w:pPr>
              <w:spacing w:after="0"/>
              <w:rPr>
                <w:sz w:val="17"/>
                <w:szCs w:val="17"/>
                <w:color w:val="auto"/>
              </w:rPr>
            </w:pPr>
          </w:p>
        </w:tc>
        <w:tc>
          <w:tcPr>
            <w:tcW w:w="440" w:type="dxa"/>
            <w:vAlign w:val="bottom"/>
            <w:tcBorders>
              <w:bottom w:val="single" w:sz="8" w:color="auto"/>
              <w:right w:val="single" w:sz="8" w:color="auto"/>
            </w:tcBorders>
            <w:shd w:val="clear" w:color="auto" w:fill="C7EAF2"/>
          </w:tcPr>
          <w:p>
            <w:pPr>
              <w:jc w:val="right"/>
              <w:ind w:right="114"/>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Borders>
              <w:bottom w:val="single" w:sz="8" w:color="auto"/>
            </w:tcBorders>
            <w:shd w:val="clear" w:color="auto" w:fill="C7EAF2"/>
          </w:tcPr>
          <w:p>
            <w:pPr>
              <w:spacing w:after="0"/>
              <w:rPr>
                <w:sz w:val="17"/>
                <w:szCs w:val="17"/>
                <w:color w:val="auto"/>
              </w:rPr>
            </w:pPr>
          </w:p>
        </w:tc>
        <w:tc>
          <w:tcPr>
            <w:tcW w:w="400" w:type="dxa"/>
            <w:vAlign w:val="bottom"/>
            <w:tcBorders>
              <w:bottom w:val="single" w:sz="8" w:color="auto"/>
              <w:right w:val="single" w:sz="8" w:color="auto"/>
            </w:tcBorders>
            <w:shd w:val="clear" w:color="auto" w:fill="C7EAF2"/>
          </w:tcPr>
          <w:p>
            <w:pPr>
              <w:jc w:val="center"/>
              <w:ind w:right="54"/>
              <w:spacing w:after="0"/>
              <w:rPr>
                <w:sz w:val="20"/>
                <w:szCs w:val="20"/>
                <w:color w:val="auto"/>
              </w:rPr>
            </w:pPr>
            <w:r>
              <w:rPr>
                <w:rFonts w:ascii="Times New Roman" w:cs="Times New Roman" w:eastAsia="Times New Roman" w:hAnsi="Times New Roman"/>
                <w:sz w:val="17"/>
                <w:szCs w:val="17"/>
                <w:color w:val="auto"/>
              </w:rPr>
              <w:t>25</w:t>
            </w:r>
          </w:p>
        </w:tc>
        <w:tc>
          <w:tcPr>
            <w:tcW w:w="540" w:type="dxa"/>
            <w:vAlign w:val="bottom"/>
            <w:tcBorders>
              <w:bottom w:val="single" w:sz="8" w:color="auto"/>
              <w:right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35</w:t>
            </w:r>
          </w:p>
        </w:tc>
        <w:tc>
          <w:tcPr>
            <w:tcW w:w="560" w:type="dxa"/>
            <w:vAlign w:val="bottom"/>
            <w:tcBorders>
              <w:bottom w:val="single" w:sz="8" w:color="auto"/>
              <w:right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140" w:type="dxa"/>
            <w:vAlign w:val="bottom"/>
            <w:tcBorders>
              <w:bottom w:val="single" w:sz="8" w:color="auto"/>
            </w:tcBorders>
            <w:shd w:val="clear" w:color="auto" w:fill="C7EAF2"/>
          </w:tcPr>
          <w:p>
            <w:pPr>
              <w:spacing w:after="0"/>
              <w:rPr>
                <w:sz w:val="17"/>
                <w:szCs w:val="17"/>
                <w:color w:val="auto"/>
              </w:rPr>
            </w:pPr>
          </w:p>
        </w:tc>
        <w:tc>
          <w:tcPr>
            <w:tcW w:w="400" w:type="dxa"/>
            <w:vAlign w:val="bottom"/>
            <w:tcBorders>
              <w:bottom w:val="single" w:sz="8" w:color="auto"/>
              <w:right w:val="single" w:sz="8" w:color="auto"/>
            </w:tcBorders>
            <w:shd w:val="clear" w:color="auto" w:fill="C7EAF2"/>
          </w:tcPr>
          <w:p>
            <w:pPr>
              <w:jc w:val="center"/>
              <w:ind w:right="94"/>
              <w:spacing w:after="0"/>
              <w:rPr>
                <w:sz w:val="20"/>
                <w:szCs w:val="20"/>
                <w:color w:val="auto"/>
              </w:rPr>
            </w:pPr>
            <w:r>
              <w:rPr>
                <w:rFonts w:ascii="Times New Roman" w:cs="Times New Roman" w:eastAsia="Times New Roman" w:hAnsi="Times New Roman"/>
                <w:sz w:val="17"/>
                <w:szCs w:val="17"/>
                <w:color w:val="auto"/>
              </w:rPr>
              <w:t>75</w:t>
            </w:r>
          </w:p>
        </w:tc>
        <w:tc>
          <w:tcPr>
            <w:tcW w:w="540" w:type="dxa"/>
            <w:vAlign w:val="bottom"/>
            <w:tcBorders>
              <w:bottom w:val="single" w:sz="8" w:color="auto"/>
              <w:right w:val="single" w:sz="8" w:color="auto"/>
            </w:tcBorders>
            <w:shd w:val="clear" w:color="auto" w:fill="C7EAF2"/>
          </w:tcPr>
          <w:p>
            <w:pPr>
              <w:jc w:val="right"/>
              <w:ind w:right="74"/>
              <w:spacing w:after="0"/>
              <w:rPr>
                <w:sz w:val="20"/>
                <w:szCs w:val="20"/>
                <w:color w:val="auto"/>
              </w:rPr>
            </w:pPr>
            <w:r>
              <w:rPr>
                <w:rFonts w:ascii="Times New Roman" w:cs="Times New Roman" w:eastAsia="Times New Roman" w:hAnsi="Times New Roman"/>
                <w:sz w:val="17"/>
                <w:szCs w:val="17"/>
                <w:color w:val="auto"/>
              </w:rPr>
              <w:t>100</w:t>
            </w:r>
          </w:p>
        </w:tc>
        <w:tc>
          <w:tcPr>
            <w:tcW w:w="560" w:type="dxa"/>
            <w:vAlign w:val="bottom"/>
            <w:tcBorders>
              <w:bottom w:val="single" w:sz="8" w:color="auto"/>
              <w:right w:val="single" w:sz="8" w:color="auto"/>
            </w:tcBorders>
            <w:shd w:val="clear" w:color="auto" w:fill="C7EAF2"/>
          </w:tcPr>
          <w:p>
            <w:pPr>
              <w:jc w:val="right"/>
              <w:ind w:right="74"/>
              <w:spacing w:after="0"/>
              <w:rPr>
                <w:sz w:val="20"/>
                <w:szCs w:val="20"/>
                <w:color w:val="auto"/>
              </w:rPr>
            </w:pPr>
            <w:r>
              <w:rPr>
                <w:rFonts w:ascii="Times New Roman" w:cs="Times New Roman" w:eastAsia="Times New Roman" w:hAnsi="Times New Roman"/>
                <w:sz w:val="17"/>
                <w:szCs w:val="17"/>
                <w:color w:val="auto"/>
              </w:rPr>
              <w:t>150</w:t>
            </w:r>
          </w:p>
        </w:tc>
        <w:tc>
          <w:tcPr>
            <w:tcW w:w="540" w:type="dxa"/>
            <w:vAlign w:val="bottom"/>
            <w:tcBorders>
              <w:bottom w:val="single" w:sz="8" w:color="auto"/>
            </w:tcBorders>
            <w:shd w:val="clear" w:color="auto" w:fill="C7EAF2"/>
          </w:tcPr>
          <w:p>
            <w:pPr>
              <w:jc w:val="right"/>
              <w:ind w:right="54"/>
              <w:spacing w:after="0"/>
              <w:rPr>
                <w:sz w:val="20"/>
                <w:szCs w:val="20"/>
                <w:color w:val="auto"/>
              </w:rPr>
            </w:pPr>
            <w:r>
              <w:rPr>
                <w:rFonts w:ascii="Times New Roman" w:cs="Times New Roman" w:eastAsia="Times New Roman" w:hAnsi="Times New Roman"/>
                <w:sz w:val="17"/>
                <w:szCs w:val="17"/>
                <w:color w:val="auto"/>
              </w:rPr>
              <w:t>200</w:t>
            </w:r>
          </w:p>
        </w:tc>
        <w:tc>
          <w:tcPr>
            <w:tcW w:w="20" w:type="dxa"/>
            <w:vAlign w:val="bottom"/>
            <w:tcBorders>
              <w:bottom w:val="single" w:sz="8" w:color="auto"/>
            </w:tcBorders>
          </w:tcPr>
          <w:p>
            <w:pPr>
              <w:spacing w:after="0"/>
              <w:rPr>
                <w:sz w:val="17"/>
                <w:szCs w:val="17"/>
                <w:color w:val="auto"/>
              </w:rPr>
            </w:pPr>
          </w:p>
        </w:tc>
        <w:tc>
          <w:tcPr>
            <w:tcW w:w="420" w:type="dxa"/>
            <w:vAlign w:val="bottom"/>
            <w:tcBorders>
              <w:left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40" w:type="dxa"/>
            <w:vAlign w:val="bottom"/>
            <w:tcBorders>
              <w:bottom w:val="single" w:sz="8" w:color="auto"/>
              <w:right w:val="single" w:sz="8" w:color="auto"/>
            </w:tcBorders>
            <w:shd w:val="clear" w:color="auto" w:fill="C7EAF2"/>
          </w:tcPr>
          <w:p>
            <w:pPr>
              <w:spacing w:after="0"/>
              <w:rPr>
                <w:sz w:val="17"/>
                <w:szCs w:val="17"/>
                <w:color w:val="auto"/>
              </w:rPr>
            </w:pPr>
          </w:p>
        </w:tc>
        <w:tc>
          <w:tcPr>
            <w:tcW w:w="520" w:type="dxa"/>
            <w:vAlign w:val="bottom"/>
            <w:tcBorders>
              <w:bottom w:val="single" w:sz="8" w:color="auto"/>
            </w:tcBorders>
            <w:shd w:val="clear" w:color="auto" w:fill="C7EAF2"/>
          </w:tcPr>
          <w:p>
            <w:pPr>
              <w:jc w:val="right"/>
              <w:ind w:right="94"/>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Special Shares (million)</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color w:val="auto"/>
              </w:rPr>
              <w:t>10</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rPr>
              <w:t>20</w:t>
            </w:r>
          </w:p>
        </w:tc>
        <w:tc>
          <w:tcPr>
            <w:tcW w:w="540" w:type="dxa"/>
            <w:vAlign w:val="bottom"/>
            <w:tcBorders>
              <w:bottom w:val="single" w:sz="8" w:color="auto"/>
              <w:right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560" w:type="dxa"/>
            <w:vAlign w:val="bottom"/>
            <w:tcBorders>
              <w:bottom w:val="single" w:sz="8" w:color="auto"/>
              <w:right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25</w:t>
            </w:r>
          </w:p>
        </w:tc>
        <w:tc>
          <w:tcPr>
            <w:tcW w:w="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Borders>
              <w:bottom w:val="single" w:sz="8" w:color="auto"/>
            </w:tcBorders>
          </w:tcPr>
          <w:p>
            <w:pPr>
              <w:spacing w:after="0"/>
              <w:rPr>
                <w:sz w:val="17"/>
                <w:szCs w:val="17"/>
                <w:color w:val="auto"/>
              </w:rPr>
            </w:pPr>
          </w:p>
        </w:tc>
        <w:tc>
          <w:tcPr>
            <w:tcW w:w="42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4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0.7</w:t>
            </w: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08"/>
        </w:trPr>
        <w:tc>
          <w:tcPr>
            <w:tcW w:w="5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The following table reconciles the cash proceeds from the Business Combination:</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6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60" w:type="dxa"/>
            <w:vAlign w:val="bottom"/>
            <w:tcBorders>
              <w:left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Cash proceeds from SOAC</w:t>
            </w:r>
          </w:p>
        </w:tc>
        <w:tc>
          <w:tcPr>
            <w:tcW w:w="440" w:type="dxa"/>
            <w:vAlign w:val="bottom"/>
            <w:tcBorders>
              <w:right w:val="single" w:sz="8" w:color="C7EAF2"/>
            </w:tcBorders>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400" w:type="dxa"/>
            <w:vAlign w:val="bottom"/>
            <w:tcBorders>
              <w:right w:val="single" w:sz="8" w:color="C7EAF2"/>
            </w:tcBorders>
            <w:shd w:val="clear" w:color="auto" w:fill="C7EAF2"/>
          </w:tcPr>
          <w:p>
            <w:pPr>
              <w:spacing w:after="0"/>
              <w:rPr>
                <w:sz w:val="18"/>
                <w:szCs w:val="18"/>
                <w:color w:val="auto"/>
              </w:rPr>
            </w:pPr>
          </w:p>
        </w:tc>
        <w:tc>
          <w:tcPr>
            <w:tcW w:w="540" w:type="dxa"/>
            <w:vAlign w:val="bottom"/>
            <w:tcBorders>
              <w:right w:val="single" w:sz="8" w:color="C7EAF2"/>
            </w:tcBorders>
            <w:shd w:val="clear" w:color="auto" w:fill="C7EAF2"/>
          </w:tcPr>
          <w:p>
            <w:pPr>
              <w:spacing w:after="0"/>
              <w:rPr>
                <w:sz w:val="18"/>
                <w:szCs w:val="18"/>
                <w:color w:val="auto"/>
              </w:rPr>
            </w:pPr>
          </w:p>
        </w:tc>
        <w:tc>
          <w:tcPr>
            <w:tcW w:w="560" w:type="dxa"/>
            <w:vAlign w:val="bottom"/>
            <w:tcBorders>
              <w:right w:val="single" w:sz="8" w:color="C7EAF2"/>
            </w:tcBorders>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400" w:type="dxa"/>
            <w:vAlign w:val="bottom"/>
            <w:tcBorders>
              <w:right w:val="single" w:sz="8" w:color="C7EAF2"/>
            </w:tcBorders>
            <w:shd w:val="clear" w:color="auto" w:fill="C7EAF2"/>
          </w:tcPr>
          <w:p>
            <w:pPr>
              <w:spacing w:after="0"/>
              <w:rPr>
                <w:sz w:val="18"/>
                <w:szCs w:val="18"/>
                <w:color w:val="auto"/>
              </w:rPr>
            </w:pPr>
          </w:p>
        </w:tc>
        <w:tc>
          <w:tcPr>
            <w:tcW w:w="540" w:type="dxa"/>
            <w:vAlign w:val="bottom"/>
            <w:tcBorders>
              <w:right w:val="single" w:sz="8" w:color="C7EAF2"/>
            </w:tcBorders>
            <w:shd w:val="clear" w:color="auto" w:fill="C7EAF2"/>
          </w:tcPr>
          <w:p>
            <w:pPr>
              <w:spacing w:after="0"/>
              <w:rPr>
                <w:sz w:val="18"/>
                <w:szCs w:val="18"/>
                <w:color w:val="auto"/>
              </w:rPr>
            </w:pPr>
          </w:p>
        </w:tc>
        <w:tc>
          <w:tcPr>
            <w:tcW w:w="560" w:type="dxa"/>
            <w:vAlign w:val="bottom"/>
            <w:tcBorders>
              <w:right w:val="single" w:sz="8" w:color="C7EAF2"/>
            </w:tcBorders>
            <w:shd w:val="clear" w:color="auto" w:fill="C7EAF2"/>
          </w:tcPr>
          <w:p>
            <w:pPr>
              <w:spacing w:after="0"/>
              <w:rPr>
                <w:sz w:val="18"/>
                <w:szCs w:val="18"/>
                <w:color w:val="auto"/>
              </w:rPr>
            </w:pPr>
          </w:p>
        </w:tc>
        <w:tc>
          <w:tcPr>
            <w:tcW w:w="540" w:type="dxa"/>
            <w:vAlign w:val="bottom"/>
            <w:shd w:val="clear" w:color="auto" w:fill="C7EAF2"/>
          </w:tcPr>
          <w:p>
            <w:pPr>
              <w:spacing w:after="0"/>
              <w:rPr>
                <w:sz w:val="18"/>
                <w:szCs w:val="18"/>
                <w:color w:val="auto"/>
              </w:rPr>
            </w:pPr>
          </w:p>
        </w:tc>
        <w:tc>
          <w:tcPr>
            <w:tcW w:w="20" w:type="dxa"/>
            <w:vAlign w:val="bottom"/>
            <w:vMerge w:val="continue"/>
          </w:tcPr>
          <w:p>
            <w:pPr>
              <w:spacing w:after="0"/>
              <w:rPr>
                <w:sz w:val="18"/>
                <w:szCs w:val="18"/>
                <w:color w:val="auto"/>
              </w:rPr>
            </w:pPr>
          </w:p>
        </w:tc>
        <w:tc>
          <w:tcPr>
            <w:tcW w:w="420" w:type="dxa"/>
            <w:vAlign w:val="bottom"/>
            <w:tcBorders>
              <w:left w:val="single" w:sz="8" w:color="C7EAF2"/>
            </w:tcBorders>
            <w:shd w:val="clear" w:color="auto" w:fill="C7EAF2"/>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27,328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60" w:type="dxa"/>
            <w:vAlign w:val="bottom"/>
            <w:tcBorders>
              <w:bottom w:val="single" w:sz="8" w:color="C7EAF2"/>
            </w:tcBorders>
            <w:gridSpan w:val="2"/>
          </w:tcPr>
          <w:p>
            <w:pPr>
              <w:spacing w:after="0"/>
              <w:rPr>
                <w:sz w:val="20"/>
                <w:szCs w:val="20"/>
                <w:color w:val="auto"/>
              </w:rPr>
            </w:pPr>
            <w:r>
              <w:rPr>
                <w:rFonts w:ascii="Times New Roman" w:cs="Times New Roman" w:eastAsia="Times New Roman" w:hAnsi="Times New Roman"/>
                <w:sz w:val="17"/>
                <w:szCs w:val="17"/>
                <w:color w:val="auto"/>
              </w:rPr>
              <w:t>Cash proceeds from sale of equity securities</w:t>
            </w:r>
          </w:p>
        </w:tc>
        <w:tc>
          <w:tcPr>
            <w:tcW w:w="440" w:type="dxa"/>
            <w:vAlign w:val="bottom"/>
            <w:tcBorders>
              <w:bottom w:val="single" w:sz="8" w:color="C7EAF2"/>
            </w:tcBorders>
          </w:tcPr>
          <w:p>
            <w:pPr>
              <w:spacing w:after="0"/>
              <w:rPr>
                <w:sz w:val="18"/>
                <w:szCs w:val="18"/>
                <w:color w:val="auto"/>
              </w:rPr>
            </w:pPr>
          </w:p>
        </w:tc>
        <w:tc>
          <w:tcPr>
            <w:tcW w:w="140" w:type="dxa"/>
            <w:vAlign w:val="bottom"/>
            <w:tcBorders>
              <w:bottom w:val="single" w:sz="8" w:color="C7EAF2"/>
            </w:tcBorders>
          </w:tcPr>
          <w:p>
            <w:pPr>
              <w:spacing w:after="0"/>
              <w:rPr>
                <w:sz w:val="18"/>
                <w:szCs w:val="18"/>
                <w:color w:val="auto"/>
              </w:rPr>
            </w:pPr>
          </w:p>
        </w:tc>
        <w:tc>
          <w:tcPr>
            <w:tcW w:w="400" w:type="dxa"/>
            <w:vAlign w:val="bottom"/>
            <w:tcBorders>
              <w:bottom w:val="single" w:sz="8" w:color="C7EAF2"/>
            </w:tcBorders>
          </w:tcPr>
          <w:p>
            <w:pPr>
              <w:spacing w:after="0"/>
              <w:rPr>
                <w:sz w:val="18"/>
                <w:szCs w:val="18"/>
                <w:color w:val="auto"/>
              </w:rPr>
            </w:pPr>
          </w:p>
        </w:tc>
        <w:tc>
          <w:tcPr>
            <w:tcW w:w="540" w:type="dxa"/>
            <w:vAlign w:val="bottom"/>
            <w:tcBorders>
              <w:bottom w:val="single" w:sz="8" w:color="C7EAF2"/>
            </w:tcBorders>
          </w:tcPr>
          <w:p>
            <w:pPr>
              <w:spacing w:after="0"/>
              <w:rPr>
                <w:sz w:val="18"/>
                <w:szCs w:val="18"/>
                <w:color w:val="auto"/>
              </w:rPr>
            </w:pPr>
          </w:p>
        </w:tc>
        <w:tc>
          <w:tcPr>
            <w:tcW w:w="560" w:type="dxa"/>
            <w:vAlign w:val="bottom"/>
            <w:tcBorders>
              <w:bottom w:val="single" w:sz="8" w:color="C7EAF2"/>
            </w:tcBorders>
          </w:tcPr>
          <w:p>
            <w:pPr>
              <w:spacing w:after="0"/>
              <w:rPr>
                <w:sz w:val="18"/>
                <w:szCs w:val="18"/>
                <w:color w:val="auto"/>
              </w:rPr>
            </w:pPr>
          </w:p>
        </w:tc>
        <w:tc>
          <w:tcPr>
            <w:tcW w:w="140" w:type="dxa"/>
            <w:vAlign w:val="bottom"/>
            <w:tcBorders>
              <w:bottom w:val="single" w:sz="8" w:color="C7EAF2"/>
            </w:tcBorders>
          </w:tcPr>
          <w:p>
            <w:pPr>
              <w:spacing w:after="0"/>
              <w:rPr>
                <w:sz w:val="18"/>
                <w:szCs w:val="18"/>
                <w:color w:val="auto"/>
              </w:rPr>
            </w:pPr>
          </w:p>
        </w:tc>
        <w:tc>
          <w:tcPr>
            <w:tcW w:w="400" w:type="dxa"/>
            <w:vAlign w:val="bottom"/>
            <w:tcBorders>
              <w:bottom w:val="single" w:sz="8" w:color="C7EAF2"/>
            </w:tcBorders>
          </w:tcPr>
          <w:p>
            <w:pPr>
              <w:spacing w:after="0"/>
              <w:rPr>
                <w:sz w:val="18"/>
                <w:szCs w:val="18"/>
                <w:color w:val="auto"/>
              </w:rPr>
            </w:pPr>
          </w:p>
        </w:tc>
        <w:tc>
          <w:tcPr>
            <w:tcW w:w="540" w:type="dxa"/>
            <w:vAlign w:val="bottom"/>
            <w:tcBorders>
              <w:bottom w:val="single" w:sz="8" w:color="C7EAF2"/>
            </w:tcBorders>
          </w:tcPr>
          <w:p>
            <w:pPr>
              <w:spacing w:after="0"/>
              <w:rPr>
                <w:sz w:val="18"/>
                <w:szCs w:val="18"/>
                <w:color w:val="auto"/>
              </w:rPr>
            </w:pPr>
          </w:p>
        </w:tc>
        <w:tc>
          <w:tcPr>
            <w:tcW w:w="560" w:type="dxa"/>
            <w:vAlign w:val="bottom"/>
            <w:tcBorders>
              <w:bottom w:val="single" w:sz="8" w:color="C7EAF2"/>
            </w:tcBorders>
          </w:tcPr>
          <w:p>
            <w:pPr>
              <w:spacing w:after="0"/>
              <w:rPr>
                <w:sz w:val="18"/>
                <w:szCs w:val="18"/>
                <w:color w:val="auto"/>
              </w:rPr>
            </w:pPr>
          </w:p>
        </w:tc>
        <w:tc>
          <w:tcPr>
            <w:tcW w:w="540" w:type="dxa"/>
            <w:vAlign w:val="bottom"/>
            <w:tcBorders>
              <w:bottom w:val="single" w:sz="8" w:color="C7EAF2"/>
            </w:tcBorders>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110,300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40" w:type="dxa"/>
            <w:vAlign w:val="bottom"/>
            <w:tcBorders>
              <w:left w:val="single" w:sz="8" w:color="C7EAF2"/>
            </w:tcBorders>
            <w:gridSpan w:val="4"/>
            <w:shd w:val="clear" w:color="auto" w:fill="C7EAF2"/>
          </w:tcPr>
          <w:p>
            <w:pPr>
              <w:spacing w:after="0"/>
              <w:rPr>
                <w:sz w:val="20"/>
                <w:szCs w:val="20"/>
                <w:color w:val="auto"/>
              </w:rPr>
            </w:pPr>
            <w:r>
              <w:rPr>
                <w:rFonts w:ascii="Times New Roman" w:cs="Times New Roman" w:eastAsia="Times New Roman" w:hAnsi="Times New Roman"/>
                <w:sz w:val="17"/>
                <w:szCs w:val="17"/>
                <w:color w:val="auto"/>
              </w:rPr>
              <w:t>Gross cash received by TMC from Business Combination</w:t>
            </w:r>
          </w:p>
        </w:tc>
        <w:tc>
          <w:tcPr>
            <w:tcW w:w="400" w:type="dxa"/>
            <w:vAlign w:val="bottom"/>
            <w:tcBorders>
              <w:right w:val="single" w:sz="8" w:color="C7EAF2"/>
            </w:tcBorders>
            <w:shd w:val="clear" w:color="auto" w:fill="C7EAF2"/>
          </w:tcPr>
          <w:p>
            <w:pPr>
              <w:spacing w:after="0"/>
              <w:rPr>
                <w:sz w:val="17"/>
                <w:szCs w:val="17"/>
                <w:color w:val="auto"/>
              </w:rPr>
            </w:pPr>
          </w:p>
        </w:tc>
        <w:tc>
          <w:tcPr>
            <w:tcW w:w="540" w:type="dxa"/>
            <w:vAlign w:val="bottom"/>
            <w:tcBorders>
              <w:right w:val="single" w:sz="8" w:color="C7EAF2"/>
            </w:tcBorders>
            <w:shd w:val="clear" w:color="auto" w:fill="C7EAF2"/>
          </w:tcPr>
          <w:p>
            <w:pPr>
              <w:spacing w:after="0"/>
              <w:rPr>
                <w:sz w:val="17"/>
                <w:szCs w:val="17"/>
                <w:color w:val="auto"/>
              </w:rPr>
            </w:pPr>
          </w:p>
        </w:tc>
        <w:tc>
          <w:tcPr>
            <w:tcW w:w="560" w:type="dxa"/>
            <w:vAlign w:val="bottom"/>
            <w:tcBorders>
              <w:right w:val="single" w:sz="8" w:color="C7EAF2"/>
            </w:tcBorders>
            <w:shd w:val="clear" w:color="auto" w:fill="C7EAF2"/>
          </w:tcPr>
          <w:p>
            <w:pPr>
              <w:spacing w:after="0"/>
              <w:rPr>
                <w:sz w:val="17"/>
                <w:szCs w:val="17"/>
                <w:color w:val="auto"/>
              </w:rPr>
            </w:pPr>
          </w:p>
        </w:tc>
        <w:tc>
          <w:tcPr>
            <w:tcW w:w="140" w:type="dxa"/>
            <w:vAlign w:val="bottom"/>
            <w:shd w:val="clear" w:color="auto" w:fill="C7EAF2"/>
          </w:tcPr>
          <w:p>
            <w:pPr>
              <w:spacing w:after="0"/>
              <w:rPr>
                <w:sz w:val="17"/>
                <w:szCs w:val="17"/>
                <w:color w:val="auto"/>
              </w:rPr>
            </w:pPr>
          </w:p>
        </w:tc>
        <w:tc>
          <w:tcPr>
            <w:tcW w:w="400" w:type="dxa"/>
            <w:vAlign w:val="bottom"/>
            <w:tcBorders>
              <w:right w:val="single" w:sz="8" w:color="C7EAF2"/>
            </w:tcBorders>
            <w:shd w:val="clear" w:color="auto" w:fill="C7EAF2"/>
          </w:tcPr>
          <w:p>
            <w:pPr>
              <w:spacing w:after="0"/>
              <w:rPr>
                <w:sz w:val="17"/>
                <w:szCs w:val="17"/>
                <w:color w:val="auto"/>
              </w:rPr>
            </w:pPr>
          </w:p>
        </w:tc>
        <w:tc>
          <w:tcPr>
            <w:tcW w:w="540" w:type="dxa"/>
            <w:vAlign w:val="bottom"/>
            <w:tcBorders>
              <w:right w:val="single" w:sz="8" w:color="C7EAF2"/>
            </w:tcBorders>
            <w:shd w:val="clear" w:color="auto" w:fill="C7EAF2"/>
          </w:tcPr>
          <w:p>
            <w:pPr>
              <w:spacing w:after="0"/>
              <w:rPr>
                <w:sz w:val="17"/>
                <w:szCs w:val="17"/>
                <w:color w:val="auto"/>
              </w:rPr>
            </w:pPr>
          </w:p>
        </w:tc>
        <w:tc>
          <w:tcPr>
            <w:tcW w:w="560" w:type="dxa"/>
            <w:vAlign w:val="bottom"/>
            <w:tcBorders>
              <w:right w:val="single" w:sz="8" w:color="C7EAF2"/>
            </w:tcBorders>
            <w:shd w:val="clear" w:color="auto" w:fill="C7EAF2"/>
          </w:tcPr>
          <w:p>
            <w:pPr>
              <w:spacing w:after="0"/>
              <w:rPr>
                <w:sz w:val="17"/>
                <w:szCs w:val="17"/>
                <w:color w:val="auto"/>
              </w:rPr>
            </w:pPr>
          </w:p>
        </w:tc>
        <w:tc>
          <w:tcPr>
            <w:tcW w:w="540" w:type="dxa"/>
            <w:vAlign w:val="bottom"/>
            <w:shd w:val="clear" w:color="auto" w:fill="C7EAF2"/>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left w:val="single" w:sz="8" w:color="C7EAF2"/>
            </w:tcBorders>
            <w:shd w:val="clear" w:color="auto" w:fill="C7EAF2"/>
          </w:tcPr>
          <w:p>
            <w:pPr>
              <w:spacing w:after="0"/>
              <w:rPr>
                <w:sz w:val="17"/>
                <w:szCs w:val="17"/>
                <w:color w:val="auto"/>
              </w:rPr>
            </w:pPr>
          </w:p>
        </w:tc>
        <w:tc>
          <w:tcPr>
            <w:tcW w:w="6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137,628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60" w:type="dxa"/>
            <w:vAlign w:val="bottom"/>
            <w:tcBorders>
              <w:bottom w:val="single" w:sz="8" w:color="C7EAF2"/>
            </w:tcBorders>
            <w:gridSpan w:val="2"/>
          </w:tcPr>
          <w:p>
            <w:pPr>
              <w:spacing w:after="0"/>
              <w:rPr>
                <w:sz w:val="20"/>
                <w:szCs w:val="20"/>
                <w:color w:val="auto"/>
              </w:rPr>
            </w:pPr>
            <w:r>
              <w:rPr>
                <w:rFonts w:ascii="Times New Roman" w:cs="Times New Roman" w:eastAsia="Times New Roman" w:hAnsi="Times New Roman"/>
                <w:sz w:val="17"/>
                <w:szCs w:val="17"/>
                <w:color w:val="auto"/>
              </w:rPr>
              <w:t>Less: Transaction costs settled in cash</w:t>
            </w:r>
          </w:p>
        </w:tc>
        <w:tc>
          <w:tcPr>
            <w:tcW w:w="440" w:type="dxa"/>
            <w:vAlign w:val="bottom"/>
            <w:tcBorders>
              <w:bottom w:val="single" w:sz="8" w:color="C7EAF2"/>
            </w:tcBorders>
          </w:tcPr>
          <w:p>
            <w:pPr>
              <w:spacing w:after="0"/>
              <w:rPr>
                <w:sz w:val="18"/>
                <w:szCs w:val="18"/>
                <w:color w:val="auto"/>
              </w:rPr>
            </w:pPr>
          </w:p>
        </w:tc>
        <w:tc>
          <w:tcPr>
            <w:tcW w:w="140" w:type="dxa"/>
            <w:vAlign w:val="bottom"/>
            <w:tcBorders>
              <w:bottom w:val="single" w:sz="8" w:color="C7EAF2"/>
            </w:tcBorders>
          </w:tcPr>
          <w:p>
            <w:pPr>
              <w:spacing w:after="0"/>
              <w:rPr>
                <w:sz w:val="18"/>
                <w:szCs w:val="18"/>
                <w:color w:val="auto"/>
              </w:rPr>
            </w:pPr>
          </w:p>
        </w:tc>
        <w:tc>
          <w:tcPr>
            <w:tcW w:w="400" w:type="dxa"/>
            <w:vAlign w:val="bottom"/>
            <w:tcBorders>
              <w:bottom w:val="single" w:sz="8" w:color="C7EAF2"/>
            </w:tcBorders>
          </w:tcPr>
          <w:p>
            <w:pPr>
              <w:spacing w:after="0"/>
              <w:rPr>
                <w:sz w:val="18"/>
                <w:szCs w:val="18"/>
                <w:color w:val="auto"/>
              </w:rPr>
            </w:pPr>
          </w:p>
        </w:tc>
        <w:tc>
          <w:tcPr>
            <w:tcW w:w="540" w:type="dxa"/>
            <w:vAlign w:val="bottom"/>
            <w:tcBorders>
              <w:bottom w:val="single" w:sz="8" w:color="C7EAF2"/>
            </w:tcBorders>
          </w:tcPr>
          <w:p>
            <w:pPr>
              <w:spacing w:after="0"/>
              <w:rPr>
                <w:sz w:val="18"/>
                <w:szCs w:val="18"/>
                <w:color w:val="auto"/>
              </w:rPr>
            </w:pPr>
          </w:p>
        </w:tc>
        <w:tc>
          <w:tcPr>
            <w:tcW w:w="560" w:type="dxa"/>
            <w:vAlign w:val="bottom"/>
            <w:tcBorders>
              <w:bottom w:val="single" w:sz="8" w:color="C7EAF2"/>
            </w:tcBorders>
          </w:tcPr>
          <w:p>
            <w:pPr>
              <w:spacing w:after="0"/>
              <w:rPr>
                <w:sz w:val="18"/>
                <w:szCs w:val="18"/>
                <w:color w:val="auto"/>
              </w:rPr>
            </w:pPr>
          </w:p>
        </w:tc>
        <w:tc>
          <w:tcPr>
            <w:tcW w:w="140" w:type="dxa"/>
            <w:vAlign w:val="bottom"/>
            <w:tcBorders>
              <w:bottom w:val="single" w:sz="8" w:color="C7EAF2"/>
            </w:tcBorders>
          </w:tcPr>
          <w:p>
            <w:pPr>
              <w:spacing w:after="0"/>
              <w:rPr>
                <w:sz w:val="18"/>
                <w:szCs w:val="18"/>
                <w:color w:val="auto"/>
              </w:rPr>
            </w:pPr>
          </w:p>
        </w:tc>
        <w:tc>
          <w:tcPr>
            <w:tcW w:w="400" w:type="dxa"/>
            <w:vAlign w:val="bottom"/>
            <w:tcBorders>
              <w:bottom w:val="single" w:sz="8" w:color="C7EAF2"/>
            </w:tcBorders>
          </w:tcPr>
          <w:p>
            <w:pPr>
              <w:spacing w:after="0"/>
              <w:rPr>
                <w:sz w:val="18"/>
                <w:szCs w:val="18"/>
                <w:color w:val="auto"/>
              </w:rPr>
            </w:pPr>
          </w:p>
        </w:tc>
        <w:tc>
          <w:tcPr>
            <w:tcW w:w="540" w:type="dxa"/>
            <w:vAlign w:val="bottom"/>
            <w:tcBorders>
              <w:bottom w:val="single" w:sz="8" w:color="C7EAF2"/>
            </w:tcBorders>
          </w:tcPr>
          <w:p>
            <w:pPr>
              <w:spacing w:after="0"/>
              <w:rPr>
                <w:sz w:val="18"/>
                <w:szCs w:val="18"/>
                <w:color w:val="auto"/>
              </w:rPr>
            </w:pPr>
          </w:p>
        </w:tc>
        <w:tc>
          <w:tcPr>
            <w:tcW w:w="560" w:type="dxa"/>
            <w:vAlign w:val="bottom"/>
            <w:tcBorders>
              <w:bottom w:val="single" w:sz="8" w:color="C7EAF2"/>
            </w:tcBorders>
          </w:tcPr>
          <w:p>
            <w:pPr>
              <w:spacing w:after="0"/>
              <w:rPr>
                <w:sz w:val="18"/>
                <w:szCs w:val="18"/>
                <w:color w:val="auto"/>
              </w:rPr>
            </w:pPr>
          </w:p>
        </w:tc>
        <w:tc>
          <w:tcPr>
            <w:tcW w:w="540" w:type="dxa"/>
            <w:vAlign w:val="bottom"/>
            <w:tcBorders>
              <w:bottom w:val="single" w:sz="8" w:color="C7EAF2"/>
            </w:tcBorders>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(33,163)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60" w:type="dxa"/>
            <w:vAlign w:val="bottom"/>
            <w:tcBorders>
              <w:left w:val="single" w:sz="8" w:color="C7EAF2"/>
              <w:bottom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Net contributions from Business Combination</w:t>
            </w:r>
          </w:p>
        </w:tc>
        <w:tc>
          <w:tcPr>
            <w:tcW w:w="440" w:type="dxa"/>
            <w:vAlign w:val="bottom"/>
            <w:tcBorders>
              <w:bottom w:val="single" w:sz="8" w:color="C7EAF2"/>
              <w:right w:val="single" w:sz="8" w:color="C7EAF2"/>
            </w:tcBorders>
            <w:shd w:val="clear" w:color="auto" w:fill="C7EAF2"/>
          </w:tcPr>
          <w:p>
            <w:pPr>
              <w:spacing w:after="0"/>
              <w:rPr>
                <w:sz w:val="17"/>
                <w:szCs w:val="17"/>
                <w:color w:val="auto"/>
              </w:rPr>
            </w:pPr>
          </w:p>
        </w:tc>
        <w:tc>
          <w:tcPr>
            <w:tcW w:w="140" w:type="dxa"/>
            <w:vAlign w:val="bottom"/>
            <w:tcBorders>
              <w:bottom w:val="single" w:sz="8" w:color="C7EAF2"/>
            </w:tcBorders>
            <w:shd w:val="clear" w:color="auto" w:fill="C7EAF2"/>
          </w:tcPr>
          <w:p>
            <w:pPr>
              <w:spacing w:after="0"/>
              <w:rPr>
                <w:sz w:val="17"/>
                <w:szCs w:val="17"/>
                <w:color w:val="auto"/>
              </w:rPr>
            </w:pPr>
          </w:p>
        </w:tc>
        <w:tc>
          <w:tcPr>
            <w:tcW w:w="400" w:type="dxa"/>
            <w:vAlign w:val="bottom"/>
            <w:tcBorders>
              <w:bottom w:val="single" w:sz="8" w:color="C7EAF2"/>
              <w:right w:val="single" w:sz="8" w:color="C7EAF2"/>
            </w:tcBorders>
            <w:shd w:val="clear" w:color="auto" w:fill="C7EAF2"/>
          </w:tcPr>
          <w:p>
            <w:pPr>
              <w:spacing w:after="0"/>
              <w:rPr>
                <w:sz w:val="17"/>
                <w:szCs w:val="17"/>
                <w:color w:val="auto"/>
              </w:rPr>
            </w:pPr>
          </w:p>
        </w:tc>
        <w:tc>
          <w:tcPr>
            <w:tcW w:w="540" w:type="dxa"/>
            <w:vAlign w:val="bottom"/>
            <w:tcBorders>
              <w:bottom w:val="single" w:sz="8" w:color="C7EAF2"/>
              <w:right w:val="single" w:sz="8" w:color="C7EAF2"/>
            </w:tcBorders>
            <w:shd w:val="clear" w:color="auto" w:fill="C7EAF2"/>
          </w:tcPr>
          <w:p>
            <w:pPr>
              <w:spacing w:after="0"/>
              <w:rPr>
                <w:sz w:val="17"/>
                <w:szCs w:val="17"/>
                <w:color w:val="auto"/>
              </w:rPr>
            </w:pPr>
          </w:p>
        </w:tc>
        <w:tc>
          <w:tcPr>
            <w:tcW w:w="560" w:type="dxa"/>
            <w:vAlign w:val="bottom"/>
            <w:tcBorders>
              <w:bottom w:val="single" w:sz="8" w:color="C7EAF2"/>
              <w:right w:val="single" w:sz="8" w:color="C7EAF2"/>
            </w:tcBorders>
            <w:shd w:val="clear" w:color="auto" w:fill="C7EAF2"/>
          </w:tcPr>
          <w:p>
            <w:pPr>
              <w:spacing w:after="0"/>
              <w:rPr>
                <w:sz w:val="17"/>
                <w:szCs w:val="17"/>
                <w:color w:val="auto"/>
              </w:rPr>
            </w:pPr>
          </w:p>
        </w:tc>
        <w:tc>
          <w:tcPr>
            <w:tcW w:w="140" w:type="dxa"/>
            <w:vAlign w:val="bottom"/>
            <w:tcBorders>
              <w:bottom w:val="single" w:sz="8" w:color="C7EAF2"/>
            </w:tcBorders>
            <w:shd w:val="clear" w:color="auto" w:fill="C7EAF2"/>
          </w:tcPr>
          <w:p>
            <w:pPr>
              <w:spacing w:after="0"/>
              <w:rPr>
                <w:sz w:val="17"/>
                <w:szCs w:val="17"/>
                <w:color w:val="auto"/>
              </w:rPr>
            </w:pPr>
          </w:p>
        </w:tc>
        <w:tc>
          <w:tcPr>
            <w:tcW w:w="400" w:type="dxa"/>
            <w:vAlign w:val="bottom"/>
            <w:tcBorders>
              <w:bottom w:val="single" w:sz="8" w:color="C7EAF2"/>
              <w:right w:val="single" w:sz="8" w:color="C7EAF2"/>
            </w:tcBorders>
            <w:shd w:val="clear" w:color="auto" w:fill="C7EAF2"/>
          </w:tcPr>
          <w:p>
            <w:pPr>
              <w:spacing w:after="0"/>
              <w:rPr>
                <w:sz w:val="17"/>
                <w:szCs w:val="17"/>
                <w:color w:val="auto"/>
              </w:rPr>
            </w:pPr>
          </w:p>
        </w:tc>
        <w:tc>
          <w:tcPr>
            <w:tcW w:w="540" w:type="dxa"/>
            <w:vAlign w:val="bottom"/>
            <w:tcBorders>
              <w:bottom w:val="single" w:sz="8" w:color="C7EAF2"/>
              <w:right w:val="single" w:sz="8" w:color="C7EAF2"/>
            </w:tcBorders>
            <w:shd w:val="clear" w:color="auto" w:fill="C7EAF2"/>
          </w:tcPr>
          <w:p>
            <w:pPr>
              <w:spacing w:after="0"/>
              <w:rPr>
                <w:sz w:val="17"/>
                <w:szCs w:val="17"/>
                <w:color w:val="auto"/>
              </w:rPr>
            </w:pPr>
          </w:p>
        </w:tc>
        <w:tc>
          <w:tcPr>
            <w:tcW w:w="560" w:type="dxa"/>
            <w:vAlign w:val="bottom"/>
            <w:tcBorders>
              <w:bottom w:val="single" w:sz="8" w:color="C7EAF2"/>
              <w:right w:val="single" w:sz="8" w:color="C7EAF2"/>
            </w:tcBorders>
            <w:shd w:val="clear" w:color="auto" w:fill="C7EAF2"/>
          </w:tcPr>
          <w:p>
            <w:pPr>
              <w:spacing w:after="0"/>
              <w:rPr>
                <w:sz w:val="17"/>
                <w:szCs w:val="17"/>
                <w:color w:val="auto"/>
              </w:rPr>
            </w:pPr>
          </w:p>
        </w:tc>
        <w:tc>
          <w:tcPr>
            <w:tcW w:w="540" w:type="dxa"/>
            <w:vAlign w:val="bottom"/>
            <w:tcBorders>
              <w:bottom w:val="single" w:sz="8" w:color="C7EAF2"/>
            </w:tcBorders>
            <w:shd w:val="clear" w:color="auto" w:fill="C7EAF2"/>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left w:val="single" w:sz="8" w:color="C7EAF2"/>
              <w:bottom w:val="single" w:sz="8" w:color="auto"/>
            </w:tcBorders>
            <w:shd w:val="clear" w:color="auto" w:fill="C7EAF2"/>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bottom w:val="single" w:sz="8" w:color="auto"/>
            </w:tcBorders>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104,465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200"/>
        <w:spacing w:after="0" w:line="299" w:lineRule="auto"/>
        <w:rPr>
          <w:sz w:val="20"/>
          <w:szCs w:val="20"/>
          <w:color w:val="auto"/>
        </w:rPr>
      </w:pPr>
      <w:r>
        <w:rPr>
          <w:rFonts w:ascii="Times New Roman" w:cs="Times New Roman" w:eastAsia="Times New Roman" w:hAnsi="Times New Roman"/>
          <w:sz w:val="17"/>
          <w:szCs w:val="17"/>
          <w:color w:val="auto"/>
        </w:rPr>
        <w:t>In addition to the transaction costs settled in cash above, the Company incurred $3.5 million of transaction costs which were settled by the issuance of 873,953 common shares on October 7, 2021.</w:t>
      </w:r>
    </w:p>
    <w:p>
      <w:pPr>
        <w:spacing w:after="0" w:line="135"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Prior to the Business Combination, SOAC had 30.0 million Class A common shares with a par value of $0.0001 per share (“SOAC Class A Shares”) outstanding and 7.5 million Class B common shares with a par value of $0.0001 per share (“SOAC Class B Shares”) held by Sustainable Opportunities Holdings LLC (the “Sponsor”).</w:t>
      </w:r>
    </w:p>
    <w:p>
      <w:pPr>
        <w:spacing w:after="0" w:line="155"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In connection with the Business Combination, 27.3 million SOAC Class A Shares were redeemed by public shareholders. On September 9, 2021, each remaining issued and outstanding share of SOAC Class A Shares automatically converted, on a one-for-one basis, into TMC common shares and 6.8 million outstanding shares of SOAC Class B Shares automatically converted, on a one-for-one basis, into TMC common shares and 0.7 million outstanding shares of SOAC Class B Shares converted into Class J Special Shares. The TMC common shares also changed from having a par value of $0.0001 per share to no par value.</w:t>
      </w:r>
    </w:p>
    <w:p>
      <w:pPr>
        <w:spacing w:after="0" w:line="3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30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302">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320" w:right="20"/>
        <w:spacing w:after="0" w:line="298" w:lineRule="auto"/>
        <w:rPr>
          <w:sz w:val="20"/>
          <w:szCs w:val="20"/>
          <w:color w:val="auto"/>
        </w:rPr>
      </w:pPr>
      <w:r>
        <w:rPr>
          <w:rFonts w:ascii="Times New Roman" w:cs="Times New Roman" w:eastAsia="Times New Roman" w:hAnsi="Times New Roman"/>
          <w:sz w:val="17"/>
          <w:szCs w:val="17"/>
          <w:color w:val="auto"/>
        </w:rPr>
        <w:t>The number of TMC common shares issued immediately following the consummation of the Business Combination is summarized as follows:</w:t>
      </w:r>
    </w:p>
    <w:p>
      <w:pPr>
        <w:sectPr>
          <w:pgSz w:w="12240" w:h="15840" w:orient="portrait"/>
          <w:cols w:equalWidth="0" w:num="1">
            <w:col w:w="9620"/>
          </w:cols>
          <w:pgMar w:left="1320" w:top="1334" w:right="1300" w:bottom="1440" w:gutter="0" w:footer="0" w:header="0"/>
        </w:sectPr>
      </w:pP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Shares by type</w:t>
      </w:r>
    </w:p>
    <w:p>
      <w:pPr>
        <w:ind w:left="320" w:right="2420"/>
        <w:spacing w:after="0" w:line="262" w:lineRule="auto"/>
        <w:rPr>
          <w:sz w:val="20"/>
          <w:szCs w:val="20"/>
          <w:color w:val="auto"/>
        </w:rPr>
      </w:pPr>
      <w:r>
        <w:rPr>
          <w:rFonts w:ascii="Times New Roman" w:cs="Times New Roman" w:eastAsia="Times New Roman" w:hAnsi="Times New Roman"/>
          <w:sz w:val="17"/>
          <w:szCs w:val="17"/>
          <w:color w:val="auto"/>
        </w:rPr>
        <w:t>SOAC Class A shares outstanding prior to the Business Combination Less: Redemption of SOAC Class A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198755</wp:posOffset>
                </wp:positionH>
                <wp:positionV relativeFrom="paragraph">
                  <wp:posOffset>-263525</wp:posOffset>
                </wp:positionV>
                <wp:extent cx="5609590" cy="13970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9590" cy="139700"/>
                        </a:xfrm>
                        <a:prstGeom prst="rect">
                          <a:avLst/>
                        </a:prstGeom>
                        <a:solidFill>
                          <a:srgbClr val="C7EAF2"/>
                        </a:solidFill>
                      </wps:spPr>
                      <wps:bodyPr/>
                    </wps:wsp>
                  </a:graphicData>
                </a:graphic>
              </wp:anchor>
            </w:drawing>
          </mc:Choice>
          <mc:Fallback>
            <w:pict>
              <v:rect id="Shape 449" o:spid="_x0000_s1474" style="position:absolute;margin-left:15.65pt;margin-top:-20.7499pt;width:441.7pt;height:1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7EAF2" stroked="f"/>
            </w:pict>
          </mc:Fallback>
        </mc:AlternateContent>
        <mc:AlternateContent>
          <mc:Choice Requires="wps">
            <w:drawing>
              <wp:anchor simplePos="0" relativeHeight="251657728" behindDoc="1" locked="0" layoutInCell="0" allowOverlap="1">
                <wp:simplePos x="0" y="0"/>
                <wp:positionH relativeFrom="column">
                  <wp:posOffset>198755</wp:posOffset>
                </wp:positionH>
                <wp:positionV relativeFrom="paragraph">
                  <wp:posOffset>-259715</wp:posOffset>
                </wp:positionV>
                <wp:extent cx="4762500"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2500"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5pt,-20.4499pt" to="390.65pt,-20.4499pt" o:allowincell="f" strokecolor="#000000" strokeweight="0.649pt"/>
            </w:pict>
          </mc:Fallback>
        </mc:AlternateContent>
      </w:r>
    </w:p>
    <w:p>
      <w:pPr>
        <w:ind w:left="320"/>
        <w:spacing w:after="0"/>
        <w:rPr>
          <w:sz w:val="20"/>
          <w:szCs w:val="20"/>
          <w:color w:val="auto"/>
        </w:rPr>
      </w:pPr>
      <w:r>
        <w:rPr>
          <w:rFonts w:ascii="Times New Roman" w:cs="Times New Roman" w:eastAsia="Times New Roman" w:hAnsi="Times New Roman"/>
          <w:sz w:val="17"/>
          <w:szCs w:val="17"/>
          <w:color w:val="auto"/>
        </w:rPr>
        <w:t>SOAC Class A shares outstanding and converted to TMC common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198755</wp:posOffset>
                </wp:positionH>
                <wp:positionV relativeFrom="paragraph">
                  <wp:posOffset>-116840</wp:posOffset>
                </wp:positionV>
                <wp:extent cx="5609590" cy="139065"/>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9590" cy="139065"/>
                        </a:xfrm>
                        <a:prstGeom prst="rect">
                          <a:avLst/>
                        </a:prstGeom>
                        <a:solidFill>
                          <a:srgbClr val="C7EAF2"/>
                        </a:solidFill>
                      </wps:spPr>
                      <wps:bodyPr/>
                    </wps:wsp>
                  </a:graphicData>
                </a:graphic>
              </wp:anchor>
            </w:drawing>
          </mc:Choice>
          <mc:Fallback>
            <w:pict>
              <v:rect id="Shape 451" o:spid="_x0000_s1476" style="position:absolute;margin-left:15.65pt;margin-top:-9.1999pt;width:441.7pt;height:1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7EAF2" stroked="f"/>
            </w:pict>
          </mc:Fallback>
        </mc:AlternateContent>
      </w:r>
    </w:p>
    <w:p>
      <w:pPr>
        <w:ind w:left="320"/>
        <w:spacing w:after="0"/>
        <w:rPr>
          <w:sz w:val="20"/>
          <w:szCs w:val="20"/>
          <w:color w:val="auto"/>
        </w:rPr>
      </w:pPr>
      <w:r>
        <w:rPr>
          <w:rFonts w:ascii="Times New Roman" w:cs="Times New Roman" w:eastAsia="Times New Roman" w:hAnsi="Times New Roman"/>
          <w:sz w:val="17"/>
          <w:szCs w:val="17"/>
          <w:color w:val="auto"/>
        </w:rPr>
        <w:t>Shares issued in the Private Investment in Public Equity (“PIPE”)</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Conversion of SOAC Class B shares to TMC common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198755</wp:posOffset>
                </wp:positionH>
                <wp:positionV relativeFrom="paragraph">
                  <wp:posOffset>-108585</wp:posOffset>
                </wp:positionV>
                <wp:extent cx="5609590" cy="13081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9590" cy="130810"/>
                        </a:xfrm>
                        <a:prstGeom prst="rect">
                          <a:avLst/>
                        </a:prstGeom>
                        <a:solidFill>
                          <a:srgbClr val="C7EAF2"/>
                        </a:solidFill>
                      </wps:spPr>
                      <wps:bodyPr/>
                    </wps:wsp>
                  </a:graphicData>
                </a:graphic>
              </wp:anchor>
            </w:drawing>
          </mc:Choice>
          <mc:Fallback>
            <w:pict>
              <v:rect id="Shape 452" o:spid="_x0000_s1477" style="position:absolute;margin-left:15.65pt;margin-top:-8.5499pt;width:441.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7EAF2" stroked="f"/>
            </w:pict>
          </mc:Fallback>
        </mc:AlternateContent>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Shares issued to SOAC and PIPE investors</w:t>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Shares issued to the DeepGreen shareholders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198755</wp:posOffset>
                </wp:positionH>
                <wp:positionV relativeFrom="paragraph">
                  <wp:posOffset>-108585</wp:posOffset>
                </wp:positionV>
                <wp:extent cx="5609590" cy="13081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9590" cy="130810"/>
                        </a:xfrm>
                        <a:prstGeom prst="rect">
                          <a:avLst/>
                        </a:prstGeom>
                        <a:solidFill>
                          <a:srgbClr val="C7EAF2"/>
                        </a:solidFill>
                      </wps:spPr>
                      <wps:bodyPr/>
                    </wps:wsp>
                  </a:graphicData>
                </a:graphic>
              </wp:anchor>
            </w:drawing>
          </mc:Choice>
          <mc:Fallback>
            <w:pict>
              <v:rect id="Shape 453" o:spid="_x0000_s1478" style="position:absolute;margin-left:15.65pt;margin-top:-8.5499pt;width:441.7pt;height:10.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C7EAF2" stroked="f"/>
            </w:pict>
          </mc:Fallback>
        </mc:AlternateConten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Total TMC common shares outstanding at close of Business Combination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shares</w:t>
      </w:r>
    </w:p>
    <w:p>
      <w:pPr>
        <w:ind w:left="80"/>
        <w:spacing w:after="0"/>
        <w:rPr>
          <w:sz w:val="20"/>
          <w:szCs w:val="20"/>
          <w:color w:val="auto"/>
        </w:rPr>
      </w:pPr>
      <w:r>
        <w:rPr>
          <w:rFonts w:ascii="Times New Roman" w:cs="Times New Roman" w:eastAsia="Times New Roman" w:hAnsi="Times New Roman"/>
          <w:sz w:val="17"/>
          <w:szCs w:val="17"/>
          <w:color w:val="auto"/>
        </w:rPr>
        <w:t>30,000,000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-112395</wp:posOffset>
                </wp:positionV>
                <wp:extent cx="698500"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8500"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8.8499pt" to="45.35pt,-8.8499pt" o:allowincell="f" strokecolor="#000000" strokeweight="0.649pt"/>
            </w:pict>
          </mc:Fallback>
        </mc:AlternateContent>
      </w:r>
    </w:p>
    <w:p>
      <w:pPr>
        <w:ind w:left="20"/>
        <w:spacing w:after="0"/>
        <w:rPr>
          <w:sz w:val="20"/>
          <w:szCs w:val="20"/>
          <w:color w:val="auto"/>
        </w:rPr>
      </w:pPr>
      <w:r>
        <w:rPr>
          <w:rFonts w:ascii="Times New Roman" w:cs="Times New Roman" w:eastAsia="Times New Roman" w:hAnsi="Times New Roman"/>
          <w:sz w:val="17"/>
          <w:szCs w:val="17"/>
          <w:color w:val="auto"/>
        </w:rPr>
        <w:t>(27,278,657)</w:t>
      </w:r>
    </w:p>
    <w:p>
      <w:pPr>
        <w:spacing w:after="0" w:line="25"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7"/>
          <w:szCs w:val="17"/>
          <w:color w:val="auto"/>
        </w:rPr>
        <w:t>2,721,343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-112395</wp:posOffset>
                </wp:positionV>
                <wp:extent cx="698500" cy="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8500"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8.8499pt" to="45.35pt,-8.8499pt" o:allowincell="f" strokecolor="#000000" strokeweight="0.648pt"/>
            </w:pict>
          </mc:Fallback>
        </mc:AlternateContent>
      </w:r>
    </w:p>
    <w:p>
      <w:pPr>
        <w:jc w:val="right"/>
        <w:ind w:right="520"/>
        <w:spacing w:after="0"/>
        <w:rPr>
          <w:sz w:val="20"/>
          <w:szCs w:val="20"/>
          <w:color w:val="auto"/>
        </w:rPr>
      </w:pPr>
      <w:r>
        <w:rPr>
          <w:rFonts w:ascii="Times New Roman" w:cs="Times New Roman" w:eastAsia="Times New Roman" w:hAnsi="Times New Roman"/>
          <w:sz w:val="17"/>
          <w:szCs w:val="17"/>
          <w:color w:val="auto"/>
        </w:rPr>
        <w:t>11,030,000</w:t>
      </w:r>
    </w:p>
    <w:p>
      <w:pPr>
        <w:spacing w:after="0" w:line="12" w:lineRule="exact"/>
        <w:rPr>
          <w:sz w:val="20"/>
          <w:szCs w:val="20"/>
          <w:color w:val="auto"/>
        </w:rPr>
      </w:pPr>
    </w:p>
    <w:p>
      <w:pPr>
        <w:jc w:val="right"/>
        <w:ind w:right="520"/>
        <w:spacing w:after="0"/>
        <w:rPr>
          <w:sz w:val="20"/>
          <w:szCs w:val="20"/>
          <w:color w:val="auto"/>
        </w:rPr>
      </w:pPr>
      <w:r>
        <w:rPr>
          <w:rFonts w:ascii="Times New Roman" w:cs="Times New Roman" w:eastAsia="Times New Roman" w:hAnsi="Times New Roman"/>
          <w:sz w:val="17"/>
          <w:szCs w:val="17"/>
          <w:color w:val="auto"/>
        </w:rPr>
        <w:t>6,759,000</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20,510,343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-112395</wp:posOffset>
                </wp:positionV>
                <wp:extent cx="698500" cy="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8500" cy="4763"/>
                        </a:xfrm>
                        <a:prstGeom prst="line">
                          <a:avLst/>
                        </a:prstGeom>
                        <a:solidFill>
                          <a:srgbClr val="FFFFFF"/>
                        </a:solidFill>
                        <a:ln w="8228">
                          <a:solidFill>
                            <a:srgbClr val="000000"/>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8.8499pt" to="45.35pt,-8.8499pt" o:allowincell="f" strokecolor="#000000" strokeweight="0.6479pt"/>
            </w:pict>
          </mc:Fallback>
        </mc:AlternateContent>
      </w:r>
    </w:p>
    <w:p>
      <w:pPr>
        <w:spacing w:after="0"/>
        <w:rPr>
          <w:sz w:val="20"/>
          <w:szCs w:val="20"/>
          <w:color w:val="auto"/>
        </w:rPr>
      </w:pPr>
      <w:r>
        <w:rPr>
          <w:rFonts w:ascii="Times New Roman" w:cs="Times New Roman" w:eastAsia="Times New Roman" w:hAnsi="Times New Roman"/>
          <w:sz w:val="17"/>
          <w:szCs w:val="17"/>
          <w:color w:val="auto"/>
        </w:rPr>
        <w:t>203,874,981</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224,385,324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-122555</wp:posOffset>
                </wp:positionH>
                <wp:positionV relativeFrom="paragraph">
                  <wp:posOffset>28575</wp:posOffset>
                </wp:positionV>
                <wp:extent cx="698500" cy="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8500" cy="4763"/>
                        </a:xfrm>
                        <a:prstGeom prst="line">
                          <a:avLst/>
                        </a:prstGeom>
                        <a:solidFill>
                          <a:srgbClr val="FFFFFF"/>
                        </a:solidFill>
                        <a:ln w="8217">
                          <a:solidFill>
                            <a:srgbClr val="000000"/>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2.25pt" to="45.35pt,2.25pt" o:allowincell="f" strokecolor="#000000" strokeweight="0.647pt"/>
            </w:pict>
          </mc:Fallback>
        </mc:AlternateContent>
        <mc:AlternateContent>
          <mc:Choice Requires="wps">
            <w:drawing>
              <wp:anchor simplePos="0" relativeHeight="251657728" behindDoc="1" locked="0" layoutInCell="0" allowOverlap="1">
                <wp:simplePos x="0" y="0"/>
                <wp:positionH relativeFrom="column">
                  <wp:posOffset>-122555</wp:posOffset>
                </wp:positionH>
                <wp:positionV relativeFrom="paragraph">
                  <wp:posOffset>45085</wp:posOffset>
                </wp:positionV>
                <wp:extent cx="698500" cy="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8500"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3.55pt" to="45.35pt,3.55pt" o:allowincell="f" strokecolor="#000000" strokeweight="0.649pt"/>
            </w:pict>
          </mc:Fallback>
        </mc:AlternateContent>
        <mc:AlternateContent>
          <mc:Choice Requires="wps">
            <w:drawing>
              <wp:anchor simplePos="0" relativeHeight="251657728" behindDoc="1" locked="0" layoutInCell="0" allowOverlap="1">
                <wp:simplePos x="0" y="0"/>
                <wp:positionH relativeFrom="column">
                  <wp:posOffset>-122555</wp:posOffset>
                </wp:positionH>
                <wp:positionV relativeFrom="paragraph">
                  <wp:posOffset>-111125</wp:posOffset>
                </wp:positionV>
                <wp:extent cx="698500" cy="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8500"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6499pt,-8.7499pt" to="45.35pt,-8.7499pt" o:allowincell="f" strokecolor="#000000" strokeweight="0.648pt"/>
            </w:pict>
          </mc:Fallback>
        </mc:AlternateContent>
      </w:r>
    </w:p>
    <w:p>
      <w:pPr>
        <w:spacing w:after="0" w:line="212" w:lineRule="exact"/>
        <w:rPr>
          <w:sz w:val="20"/>
          <w:szCs w:val="20"/>
          <w:color w:val="auto"/>
        </w:rPr>
      </w:pPr>
    </w:p>
    <w:p>
      <w:pPr>
        <w:sectPr>
          <w:pgSz w:w="12240" w:h="15840" w:orient="portrait"/>
          <w:cols w:equalWidth="0" w:num="2">
            <w:col w:w="7520" w:space="720"/>
            <w:col w:w="1380"/>
          </w:cols>
          <w:pgMar w:left="1320" w:top="1334" w:right="1300" w:bottom="1440" w:gutter="0" w:footer="0" w:header="0"/>
          <w:type w:val="continuous"/>
        </w:sectPr>
      </w:pPr>
    </w:p>
    <w:p>
      <w:pPr>
        <w:spacing w:after="0" w:line="48"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The Company incurred transaction costs related to the Business Combination of approximately $42.1 million, of which $5.4 million, incurred prior to the closing of the Business Combination becoming probable, are included in general and administrative expenses on the consolidated statements of loss and other comprehensive loss. The remaining $36.7 million of transaction costs were capitalized to common shares on the consolidated balance sheet.</w:t>
      </w:r>
    </w:p>
    <w:p>
      <w:pPr>
        <w:spacing w:after="0" w:line="161"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eliminate the historical equity of SOAC and recapitalize the equity of DeepGreen were recorded to common shares to reflect the effective issuance of common shares to SOAC and PIPE investors in the Business Combination.</w:t>
      </w:r>
    </w:p>
    <w:p>
      <w:pPr>
        <w:spacing w:after="0" w:line="162" w:lineRule="exact"/>
        <w:rPr>
          <w:sz w:val="20"/>
          <w:szCs w:val="20"/>
          <w:color w:val="auto"/>
        </w:rPr>
      </w:pPr>
    </w:p>
    <w:p>
      <w:pPr>
        <w:ind w:left="320" w:hanging="311"/>
        <w:spacing w:after="0"/>
        <w:tabs>
          <w:tab w:leader="none" w:pos="32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TOML Acquisition</w:t>
      </w:r>
    </w:p>
    <w:p>
      <w:pPr>
        <w:spacing w:after="0" w:line="222" w:lineRule="exact"/>
        <w:rPr>
          <w:rFonts w:ascii="Times New Roman" w:cs="Times New Roman" w:eastAsia="Times New Roman" w:hAnsi="Times New Roman"/>
          <w:sz w:val="17"/>
          <w:szCs w:val="17"/>
          <w:b w:val="1"/>
          <w:bCs w:val="1"/>
          <w:color w:val="auto"/>
        </w:rPr>
      </w:pPr>
    </w:p>
    <w:p>
      <w:pPr>
        <w:jc w:val="both"/>
        <w:ind w:left="320" w:firstLine="1"/>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March 31, 2020, the Company entered into an acquisition agreement to wholly acquire TOML and other entities in the group from Deep Sea Mining Finance Ltd. (the “TOML Acquisition”). Total purchase price of the TOML Acquisition, before transaction costs, was $32.0 million. TOML holds an ISA exploration contract in the CCZ (“TOML Exploration Contract”) and some exploration related equipment.</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net assets acquired as part of the TOML Acquisition were as follows: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Net assets acquired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198755</wp:posOffset>
                </wp:positionH>
                <wp:positionV relativeFrom="paragraph">
                  <wp:posOffset>10795</wp:posOffset>
                </wp:positionV>
                <wp:extent cx="5609590" cy="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09590"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5pt,0.85pt" to="457.35pt,0.85pt" o:allowincell="f" strokecolor="#000000" strokeweight="0.649pt"/>
            </w:pict>
          </mc:Fallback>
        </mc:AlternateContent>
      </w:r>
    </w:p>
    <w:p>
      <w:pPr>
        <w:spacing w:after="0" w:line="184" w:lineRule="exact"/>
        <w:rPr>
          <w:sz w:val="20"/>
          <w:szCs w:val="20"/>
          <w:color w:val="auto"/>
        </w:rPr>
      </w:pPr>
    </w:p>
    <w:tbl>
      <w:tblPr>
        <w:tblLayout w:type="fixed"/>
        <w:tblInd w:w="320" w:type="dxa"/>
        <w:tblCellMar>
          <w:top w:w="0" w:type="dxa"/>
          <w:left w:w="0" w:type="dxa"/>
          <w:bottom w:w="0" w:type="dxa"/>
          <w:right w:w="0" w:type="dxa"/>
        </w:tblCellMar>
      </w:tblPr>
      <w:tr>
        <w:trPr>
          <w:trHeight w:val="27"/>
        </w:trPr>
        <w:tc>
          <w:tcPr>
            <w:tcW w:w="24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77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Total acquisition cost</w:t>
            </w:r>
          </w:p>
        </w:tc>
        <w:tc>
          <w:tcPr>
            <w:tcW w:w="280" w:type="dxa"/>
            <w:vAlign w:val="bottom"/>
            <w:shd w:val="clear" w:color="auto" w:fill="C7EAF2"/>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32,047</w:t>
            </w:r>
          </w:p>
        </w:tc>
        <w:tc>
          <w:tcPr>
            <w:tcW w:w="20" w:type="dxa"/>
            <w:vAlign w:val="bottom"/>
          </w:tcPr>
          <w:p>
            <w:pPr>
              <w:spacing w:after="0"/>
              <w:rPr>
                <w:sz w:val="18"/>
                <w:szCs w:val="18"/>
                <w:color w:val="auto"/>
              </w:rPr>
            </w:pPr>
          </w:p>
        </w:tc>
      </w:t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Allocated to:</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77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Equipment</w:t>
            </w:r>
          </w:p>
        </w:tc>
        <w:tc>
          <w:tcPr>
            <w:tcW w:w="280" w:type="dxa"/>
            <w:vAlign w:val="bottom"/>
            <w:shd w:val="clear" w:color="auto" w:fill="C7EAF2"/>
          </w:tcPr>
          <w:p>
            <w:pPr>
              <w:spacing w:after="0"/>
              <w:rPr>
                <w:sz w:val="18"/>
                <w:szCs w:val="18"/>
                <w:color w:val="auto"/>
              </w:rPr>
            </w:pPr>
          </w:p>
        </w:tc>
        <w:tc>
          <w:tcPr>
            <w:tcW w:w="7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8"/>
                <w:szCs w:val="18"/>
                <w:color w:val="auto"/>
              </w:rPr>
            </w:pPr>
          </w:p>
        </w:tc>
      </w:t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Exploration contracts (Note 10)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42,701</w:t>
            </w:r>
          </w:p>
        </w:tc>
        <w:tc>
          <w:tcPr>
            <w:tcW w:w="20" w:type="dxa"/>
            <w:vAlign w:val="bottom"/>
          </w:tcPr>
          <w:p>
            <w:pPr>
              <w:spacing w:after="0"/>
              <w:rPr>
                <w:sz w:val="18"/>
                <w:szCs w:val="18"/>
                <w:color w:val="auto"/>
              </w:rPr>
            </w:pPr>
          </w:p>
        </w:tc>
      </w:tr>
      <w:tr>
        <w:trPr>
          <w:trHeight w:val="227"/>
        </w:trPr>
        <w:tc>
          <w:tcPr>
            <w:tcW w:w="7760" w:type="dxa"/>
            <w:vAlign w:val="bottom"/>
            <w:tcBorders>
              <w:bottom w:val="single" w:sz="8" w:color="C7EAF2"/>
            </w:tcBorders>
            <w:gridSpan w:val="2"/>
            <w:shd w:val="clear" w:color="auto" w:fill="C7EAF2"/>
          </w:tcPr>
          <w:p>
            <w:pPr>
              <w:spacing w:after="0" w:line="207" w:lineRule="exact"/>
              <w:rPr>
                <w:sz w:val="20"/>
                <w:szCs w:val="20"/>
                <w:color w:val="auto"/>
              </w:rPr>
            </w:pPr>
            <w:r>
              <w:rPr>
                <w:rFonts w:ascii="Times New Roman" w:cs="Times New Roman" w:eastAsia="Times New Roman" w:hAnsi="Times New Roman"/>
                <w:sz w:val="17"/>
                <w:szCs w:val="17"/>
                <w:color w:val="auto"/>
              </w:rPr>
              <w:t>Deferred tax liability</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shd w:val="clear" w:color="auto" w:fill="C7EAF2"/>
          </w:tcPr>
          <w:p>
            <w:pPr>
              <w:spacing w:after="0"/>
              <w:rPr>
                <w:sz w:val="19"/>
                <w:szCs w:val="19"/>
                <w:color w:val="auto"/>
              </w:rPr>
            </w:pPr>
          </w:p>
        </w:tc>
        <w:tc>
          <w:tcPr>
            <w:tcW w:w="7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(10,675)</w:t>
            </w:r>
          </w:p>
        </w:tc>
        <w:tc>
          <w:tcPr>
            <w:tcW w:w="20" w:type="dxa"/>
            <w:vAlign w:val="bottom"/>
          </w:tcPr>
          <w:p>
            <w:pPr>
              <w:spacing w:after="0"/>
              <w:rPr>
                <w:sz w:val="19"/>
                <w:szCs w:val="19"/>
                <w:color w:val="auto"/>
              </w:rPr>
            </w:pPr>
          </w:p>
        </w:tc>
      </w:tr>
      <w:tr>
        <w:trPr>
          <w:trHeight w:val="180"/>
        </w:trPr>
        <w:tc>
          <w:tcPr>
            <w:tcW w:w="77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Net assets acquired</w:t>
            </w:r>
          </w:p>
        </w:tc>
        <w:tc>
          <w:tcPr>
            <w:tcW w:w="2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32,047</w:t>
            </w:r>
          </w:p>
        </w:tc>
        <w:tc>
          <w:tcPr>
            <w:tcW w:w="20" w:type="dxa"/>
            <w:vAlign w:val="bottom"/>
          </w:tcPr>
          <w:p>
            <w:pPr>
              <w:spacing w:after="0"/>
              <w:rPr>
                <w:sz w:val="15"/>
                <w:szCs w:val="15"/>
                <w:color w:val="auto"/>
              </w:rPr>
            </w:pPr>
          </w:p>
        </w:tc>
      </w:tr>
      <w:tr>
        <w:trPr>
          <w:trHeight w:val="97"/>
        </w:trPr>
        <w:tc>
          <w:tcPr>
            <w:tcW w:w="240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64" w:lineRule="exact"/>
        <w:rPr>
          <w:sz w:val="20"/>
          <w:szCs w:val="20"/>
          <w:color w:val="auto"/>
        </w:rPr>
      </w:pPr>
    </w:p>
    <w:p>
      <w:pPr>
        <w:ind w:left="660" w:hanging="315"/>
        <w:spacing w:after="0" w:line="249" w:lineRule="auto"/>
        <w:tabs>
          <w:tab w:leader="none" w:pos="6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deferred tax liability was recognized by the Company on the acquisition which related to differences between the book value and the tax basis of the TOML exploration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type w:val="continuous"/>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30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304">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20" w:hanging="311"/>
        <w:spacing w:after="0"/>
        <w:tabs>
          <w:tab w:leader="none" w:pos="32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Receivables and Prepayments</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amounts of outstanding receivables and prepayments at December 31, 2022 and 2021 are as follows: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0"/>
        </w:trPr>
        <w:tc>
          <w:tcPr>
            <w:tcW w:w="632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Taxes and other receivables</w:t>
            </w:r>
          </w:p>
        </w:tc>
        <w:tc>
          <w:tcPr>
            <w:tcW w:w="400" w:type="dxa"/>
            <w:vAlign w:val="bottom"/>
            <w:tcBorders>
              <w:top w:val="single" w:sz="8" w:color="auto"/>
            </w:tcBorders>
            <w:shd w:val="clear" w:color="auto" w:fill="C7EAF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117</w:t>
            </w:r>
          </w:p>
        </w:tc>
        <w:tc>
          <w:tcPr>
            <w:tcW w:w="240" w:type="dxa"/>
            <w:vAlign w:val="bottom"/>
            <w:tcBorders>
              <w:top w:val="single" w:sz="8" w:color="C7EAF2"/>
            </w:tcBorders>
            <w:shd w:val="clear" w:color="auto" w:fill="C7EAF2"/>
          </w:tcPr>
          <w:p>
            <w:pPr>
              <w:spacing w:after="0"/>
              <w:rPr>
                <w:sz w:val="17"/>
                <w:szCs w:val="17"/>
                <w:color w:val="auto"/>
              </w:rPr>
            </w:pPr>
          </w:p>
        </w:tc>
        <w:tc>
          <w:tcPr>
            <w:tcW w:w="38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07"/>
        </w:trPr>
        <w:tc>
          <w:tcPr>
            <w:tcW w:w="6320" w:type="dxa"/>
            <w:vAlign w:val="bottom"/>
            <w:tcBorders>
              <w:bottom w:val="single" w:sz="8" w:color="C7EAF2"/>
            </w:tcBorders>
          </w:tcPr>
          <w:p>
            <w:pPr>
              <w:spacing w:after="0"/>
              <w:rPr>
                <w:sz w:val="20"/>
                <w:szCs w:val="20"/>
                <w:color w:val="auto"/>
              </w:rPr>
            </w:pPr>
            <w:r>
              <w:rPr>
                <w:rFonts w:ascii="Times New Roman" w:cs="Times New Roman" w:eastAsia="Times New Roman" w:hAnsi="Times New Roman"/>
                <w:sz w:val="17"/>
                <w:szCs w:val="17"/>
                <w:color w:val="auto"/>
              </w:rPr>
              <w:t>Prepayments</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2,643</w:t>
            </w:r>
          </w:p>
        </w:tc>
        <w:tc>
          <w:tcPr>
            <w:tcW w:w="240" w:type="dxa"/>
            <w:vAlign w:val="bottom"/>
            <w:tcBorders>
              <w:bottom w:val="single" w:sz="8" w:color="C7EAF2"/>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3,622</w:t>
            </w:r>
          </w:p>
        </w:tc>
      </w:tr>
      <w:tr>
        <w:trPr>
          <w:trHeight w:val="200"/>
        </w:trPr>
        <w:tc>
          <w:tcPr>
            <w:tcW w:w="6320" w:type="dxa"/>
            <w:vAlign w:val="bottom"/>
            <w:tcBorders>
              <w:bottom w:val="single" w:sz="8" w:color="C7EAF2"/>
            </w:tcBorders>
            <w:shd w:val="clear" w:color="auto" w:fill="C7EAF2"/>
          </w:tcPr>
          <w:p>
            <w:pPr>
              <w:spacing w:after="0"/>
              <w:rPr>
                <w:sz w:val="17"/>
                <w:szCs w:val="17"/>
                <w:color w:val="auto"/>
              </w:rPr>
            </w:pPr>
          </w:p>
        </w:tc>
        <w:tc>
          <w:tcPr>
            <w:tcW w:w="400" w:type="dxa"/>
            <w:vAlign w:val="bottom"/>
            <w:tcBorders>
              <w:bottom w:val="single" w:sz="8" w:color="auto"/>
            </w:tcBorders>
            <w:shd w:val="clear" w:color="auto" w:fill="C7EAF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2,760</w:t>
            </w:r>
          </w:p>
        </w:tc>
        <w:tc>
          <w:tcPr>
            <w:tcW w:w="240" w:type="dxa"/>
            <w:vAlign w:val="bottom"/>
            <w:tcBorders>
              <w:bottom w:val="single" w:sz="8" w:color="C7EAF2"/>
            </w:tcBorders>
            <w:shd w:val="clear" w:color="auto" w:fill="C7EAF2"/>
          </w:tcPr>
          <w:p>
            <w:pPr>
              <w:spacing w:after="0"/>
              <w:rPr>
                <w:sz w:val="17"/>
                <w:szCs w:val="17"/>
                <w:color w:val="auto"/>
              </w:rPr>
            </w:pPr>
          </w:p>
        </w:tc>
        <w:tc>
          <w:tcPr>
            <w:tcW w:w="380" w:type="dxa"/>
            <w:vAlign w:val="bottom"/>
            <w:tcBorders>
              <w:bottom w:val="single" w:sz="8" w:color="auto"/>
            </w:tcBorders>
            <w:shd w:val="clear" w:color="auto" w:fill="C7EAF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3,686</w:t>
            </w:r>
          </w:p>
        </w:tc>
      </w:tr>
      <w:tr>
        <w:trPr>
          <w:trHeight w:val="20"/>
        </w:trPr>
        <w:tc>
          <w:tcPr>
            <w:tcW w:w="6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20" w:hanging="311"/>
        <w:spacing w:after="0"/>
        <w:tabs>
          <w:tab w:leader="none" w:pos="320" w:val="left"/>
        </w:tabs>
        <w:numPr>
          <w:ilvl w:val="0"/>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Equipment</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movements in the Company’s capital equipment are as follows:</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3"/>
                <w:szCs w:val="13"/>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Exploration and</w:t>
            </w:r>
          </w:p>
        </w:tc>
        <w:tc>
          <w:tcPr>
            <w:tcW w:w="180" w:type="dxa"/>
            <w:vAlign w:val="bottom"/>
          </w:tcPr>
          <w:p>
            <w:pPr>
              <w:spacing w:after="0"/>
              <w:rPr>
                <w:sz w:val="13"/>
                <w:szCs w:val="13"/>
                <w:color w:val="auto"/>
              </w:rPr>
            </w:pPr>
          </w:p>
        </w:tc>
        <w:tc>
          <w:tcPr>
            <w:tcW w:w="15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Office equipment</w:t>
            </w:r>
          </w:p>
        </w:tc>
        <w:tc>
          <w:tcPr>
            <w:tcW w:w="520" w:type="dxa"/>
            <w:vAlign w:val="bottom"/>
          </w:tcPr>
          <w:p>
            <w:pPr>
              <w:spacing w:after="0"/>
              <w:rPr>
                <w:sz w:val="13"/>
                <w:szCs w:val="13"/>
                <w:color w:val="auto"/>
              </w:rPr>
            </w:pPr>
          </w:p>
        </w:tc>
        <w:tc>
          <w:tcPr>
            <w:tcW w:w="9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other equipment</w:t>
            </w:r>
          </w:p>
        </w:tc>
        <w:tc>
          <w:tcPr>
            <w:tcW w:w="1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6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December 31, 2020</w:t>
            </w:r>
          </w:p>
        </w:tc>
        <w:tc>
          <w:tcPr>
            <w:tcW w:w="260" w:type="dxa"/>
            <w:vAlign w:val="bottom"/>
            <w:tcBorders>
              <w:top w:val="single" w:sz="8" w:color="C7EAF2"/>
            </w:tcBorders>
            <w:shd w:val="clear" w:color="auto" w:fill="C7EAF2"/>
          </w:tcPr>
          <w:p>
            <w:pPr>
              <w:spacing w:after="0"/>
              <w:rPr>
                <w:sz w:val="17"/>
                <w:szCs w:val="17"/>
                <w:color w:val="auto"/>
              </w:rPr>
            </w:pPr>
          </w:p>
        </w:tc>
        <w:tc>
          <w:tcPr>
            <w:tcW w:w="280" w:type="dxa"/>
            <w:vAlign w:val="bottom"/>
            <w:tcBorders>
              <w:top w:val="single" w:sz="8" w:color="auto"/>
            </w:tcBorders>
            <w:shd w:val="clear" w:color="auto" w:fill="C7EAF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2,240</w:t>
            </w:r>
          </w:p>
        </w:tc>
        <w:tc>
          <w:tcPr>
            <w:tcW w:w="260" w:type="dxa"/>
            <w:vAlign w:val="bottom"/>
            <w:tcBorders>
              <w:top w:val="single" w:sz="8" w:color="C7EAF2"/>
            </w:tcBorders>
            <w:shd w:val="clear" w:color="auto" w:fill="C7EAF2"/>
          </w:tcPr>
          <w:p>
            <w:pPr>
              <w:spacing w:after="0"/>
              <w:rPr>
                <w:sz w:val="17"/>
                <w:szCs w:val="17"/>
                <w:color w:val="auto"/>
              </w:rPr>
            </w:pPr>
          </w:p>
        </w:tc>
        <w:tc>
          <w:tcPr>
            <w:tcW w:w="1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Borders>
              <w:top w:val="single" w:sz="8" w:color="auto"/>
            </w:tcBorders>
            <w:shd w:val="clear" w:color="auto" w:fill="C7EAF2"/>
          </w:tcPr>
          <w:p>
            <w:pPr>
              <w:spacing w:after="0"/>
              <w:rPr>
                <w:sz w:val="17"/>
                <w:szCs w:val="17"/>
                <w:color w:val="auto"/>
              </w:rPr>
            </w:pPr>
          </w:p>
        </w:tc>
        <w:tc>
          <w:tcPr>
            <w:tcW w:w="260" w:type="dxa"/>
            <w:vAlign w:val="bottom"/>
            <w:tcBorders>
              <w:top w:val="single" w:sz="8" w:color="C7EAF2"/>
            </w:tcBorders>
            <w:shd w:val="clear" w:color="auto" w:fill="C7EAF2"/>
          </w:tcPr>
          <w:p>
            <w:pPr>
              <w:spacing w:after="0"/>
              <w:rPr>
                <w:sz w:val="17"/>
                <w:szCs w:val="17"/>
                <w:color w:val="auto"/>
              </w:rPr>
            </w:pPr>
          </w:p>
        </w:tc>
        <w:tc>
          <w:tcPr>
            <w:tcW w:w="520" w:type="dxa"/>
            <w:vAlign w:val="bottom"/>
            <w:tcBorders>
              <w:top w:val="single" w:sz="8" w:color="auto"/>
            </w:tcBorders>
            <w:shd w:val="clear" w:color="auto" w:fill="C7EAF2"/>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Additions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tcBorders>
              <w:top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80" w:type="dxa"/>
            <w:vAlign w:val="bottom"/>
            <w:tcBorders>
              <w:top w:val="single" w:sz="8" w:color="auto"/>
            </w:tcBorders>
            <w:shd w:val="clear" w:color="auto" w:fill="C7EAF2"/>
          </w:tcPr>
          <w:p>
            <w:pPr>
              <w:spacing w:after="0"/>
              <w:rPr>
                <w:sz w:val="17"/>
                <w:szCs w:val="17"/>
                <w:color w:val="auto"/>
              </w:rPr>
            </w:pPr>
          </w:p>
        </w:tc>
        <w:tc>
          <w:tcPr>
            <w:tcW w:w="12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2,800</w:t>
            </w:r>
          </w:p>
        </w:tc>
        <w:tc>
          <w:tcPr>
            <w:tcW w:w="260" w:type="dxa"/>
            <w:vAlign w:val="bottom"/>
            <w:tcBorders>
              <w:top w:val="single" w:sz="8" w:color="C7EAF2"/>
            </w:tcBorders>
            <w:shd w:val="clear" w:color="auto" w:fill="C7EAF2"/>
          </w:tcPr>
          <w:p>
            <w:pPr>
              <w:spacing w:after="0"/>
              <w:rPr>
                <w:sz w:val="17"/>
                <w:szCs w:val="17"/>
                <w:color w:val="auto"/>
              </w:rPr>
            </w:pPr>
          </w:p>
        </w:tc>
        <w:tc>
          <w:tcPr>
            <w:tcW w:w="180" w:type="dxa"/>
            <w:vAlign w:val="bottom"/>
            <w:tcBorders>
              <w:top w:val="single" w:sz="8" w:color="auto"/>
            </w:tcBorders>
            <w:shd w:val="clear" w:color="auto" w:fill="C7EAF2"/>
          </w:tcPr>
          <w:p>
            <w:pPr>
              <w:spacing w:after="0"/>
              <w:rPr>
                <w:sz w:val="17"/>
                <w:szCs w:val="17"/>
                <w:color w:val="auto"/>
              </w:rPr>
            </w:pPr>
          </w:p>
        </w:tc>
        <w:tc>
          <w:tcPr>
            <w:tcW w:w="13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20" w:type="dxa"/>
            <w:vAlign w:val="bottom"/>
            <w:tcBorders>
              <w:top w:val="single" w:sz="8" w:color="C7EAF2"/>
            </w:tcBorders>
            <w:shd w:val="clear" w:color="auto" w:fill="C7EAF2"/>
          </w:tcPr>
          <w:p>
            <w:pPr>
              <w:spacing w:after="0"/>
              <w:rPr>
                <w:sz w:val="17"/>
                <w:szCs w:val="17"/>
                <w:color w:val="auto"/>
              </w:rPr>
            </w:pPr>
          </w:p>
        </w:tc>
        <w:tc>
          <w:tcPr>
            <w:tcW w:w="260" w:type="dxa"/>
            <w:vAlign w:val="bottom"/>
            <w:tcBorders>
              <w:top w:val="single" w:sz="8" w:color="C7EAF2"/>
            </w:tcBorders>
            <w:shd w:val="clear" w:color="auto" w:fill="C7EAF2"/>
          </w:tcPr>
          <w:p>
            <w:pPr>
              <w:spacing w:after="0"/>
              <w:rPr>
                <w:sz w:val="17"/>
                <w:szCs w:val="17"/>
                <w:color w:val="auto"/>
              </w:rPr>
            </w:pPr>
          </w:p>
        </w:tc>
        <w:tc>
          <w:tcPr>
            <w:tcW w:w="520" w:type="dxa"/>
            <w:vAlign w:val="bottom"/>
            <w:tcBorders>
              <w:top w:val="single" w:sz="8" w:color="auto"/>
            </w:tcBorders>
            <w:shd w:val="clear" w:color="auto" w:fill="C7EAF2"/>
          </w:tcPr>
          <w:p>
            <w:pPr>
              <w:spacing w:after="0"/>
              <w:rPr>
                <w:sz w:val="17"/>
                <w:szCs w:val="17"/>
                <w:color w:val="auto"/>
              </w:rPr>
            </w:pPr>
          </w:p>
        </w:tc>
        <w:tc>
          <w:tcPr>
            <w:tcW w:w="9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2,821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Additions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tcBorders>
              <w:top w:val="single" w:sz="8" w:color="C7EAF2"/>
              <w:bottom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80" w:type="dxa"/>
            <w:vAlign w:val="bottom"/>
            <w:tcBorders>
              <w:top w:val="single" w:sz="8" w:color="auto"/>
              <w:bottom w:val="single" w:sz="8" w:color="auto"/>
            </w:tcBorders>
            <w:shd w:val="clear" w:color="auto" w:fill="C7EAF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3,826</w:t>
            </w:r>
          </w:p>
        </w:tc>
        <w:tc>
          <w:tcPr>
            <w:tcW w:w="260" w:type="dxa"/>
            <w:vAlign w:val="bottom"/>
            <w:tcBorders>
              <w:top w:val="single" w:sz="8" w:color="C7EAF2"/>
              <w:bottom w:val="single" w:sz="8" w:color="C7EAF2"/>
            </w:tcBorders>
            <w:shd w:val="clear" w:color="auto" w:fill="C7EAF2"/>
          </w:tcPr>
          <w:p>
            <w:pPr>
              <w:spacing w:after="0"/>
              <w:rPr>
                <w:sz w:val="17"/>
                <w:szCs w:val="17"/>
                <w:color w:val="auto"/>
              </w:rPr>
            </w:pPr>
          </w:p>
        </w:tc>
        <w:tc>
          <w:tcPr>
            <w:tcW w:w="18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21</w:t>
            </w:r>
          </w:p>
        </w:tc>
        <w:tc>
          <w:tcPr>
            <w:tcW w:w="20" w:type="dxa"/>
            <w:vAlign w:val="bottom"/>
            <w:tcBorders>
              <w:top w:val="single" w:sz="8" w:color="C7EAF2"/>
              <w:bottom w:val="single" w:sz="8" w:color="C7EAF2"/>
            </w:tcBorders>
            <w:shd w:val="clear" w:color="auto" w:fill="C7EAF2"/>
          </w:tcPr>
          <w:p>
            <w:pPr>
              <w:spacing w:after="0"/>
              <w:rPr>
                <w:sz w:val="17"/>
                <w:szCs w:val="17"/>
                <w:color w:val="auto"/>
              </w:rPr>
            </w:pPr>
          </w:p>
        </w:tc>
        <w:tc>
          <w:tcPr>
            <w:tcW w:w="260" w:type="dxa"/>
            <w:vAlign w:val="bottom"/>
            <w:tcBorders>
              <w:top w:val="single" w:sz="8" w:color="C7EAF2"/>
              <w:bottom w:val="single" w:sz="8" w:color="C7EAF2"/>
            </w:tcBorders>
            <w:shd w:val="clear" w:color="auto" w:fill="C7EAF2"/>
          </w:tcPr>
          <w:p>
            <w:pPr>
              <w:spacing w:after="0"/>
              <w:rPr>
                <w:sz w:val="17"/>
                <w:szCs w:val="17"/>
                <w:color w:val="auto"/>
              </w:rPr>
            </w:pPr>
          </w:p>
        </w:tc>
        <w:tc>
          <w:tcPr>
            <w:tcW w:w="520" w:type="dxa"/>
            <w:vAlign w:val="bottom"/>
            <w:tcBorders>
              <w:top w:val="single" w:sz="8" w:color="auto"/>
              <w:bottom w:val="single" w:sz="8" w:color="auto"/>
            </w:tcBorders>
            <w:shd w:val="clear" w:color="auto" w:fill="C7EAF2"/>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3,847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60" w:type="dxa"/>
            <w:vAlign w:val="bottom"/>
            <w:tcBorders>
              <w:bottom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Accumulated depreciation</w:t>
            </w:r>
          </w:p>
        </w:tc>
        <w:tc>
          <w:tcPr>
            <w:tcW w:w="280" w:type="dxa"/>
            <w:vAlign w:val="bottom"/>
            <w:tcBorders>
              <w:bottom w:val="single" w:sz="8" w:color="auto"/>
            </w:tcBorders>
            <w:shd w:val="clear" w:color="auto" w:fill="C7EAF2"/>
          </w:tcPr>
          <w:p>
            <w:pPr>
              <w:spacing w:after="0"/>
              <w:rPr>
                <w:sz w:val="19"/>
                <w:szCs w:val="19"/>
                <w:color w:val="auto"/>
              </w:rPr>
            </w:pPr>
          </w:p>
        </w:tc>
        <w:tc>
          <w:tcPr>
            <w:tcW w:w="1200" w:type="dxa"/>
            <w:vAlign w:val="bottom"/>
            <w:tcBorders>
              <w:bottom w:val="single" w:sz="8" w:color="auto"/>
            </w:tcBorders>
            <w:shd w:val="clear" w:color="auto" w:fill="C7EAF2"/>
          </w:tcPr>
          <w:p>
            <w:pPr>
              <w:spacing w:after="0"/>
              <w:rPr>
                <w:sz w:val="19"/>
                <w:szCs w:val="19"/>
                <w:color w:val="auto"/>
              </w:rPr>
            </w:pPr>
          </w:p>
        </w:tc>
        <w:tc>
          <w:tcPr>
            <w:tcW w:w="260" w:type="dxa"/>
            <w:vAlign w:val="bottom"/>
            <w:tcBorders>
              <w:bottom w:val="single" w:sz="8" w:color="C7EAF2"/>
            </w:tcBorders>
            <w:shd w:val="clear" w:color="auto" w:fill="C7EAF2"/>
          </w:tcPr>
          <w:p>
            <w:pPr>
              <w:spacing w:after="0"/>
              <w:rPr>
                <w:sz w:val="19"/>
                <w:szCs w:val="19"/>
                <w:color w:val="auto"/>
              </w:rPr>
            </w:pPr>
          </w:p>
        </w:tc>
        <w:tc>
          <w:tcPr>
            <w:tcW w:w="180" w:type="dxa"/>
            <w:vAlign w:val="bottom"/>
            <w:tcBorders>
              <w:bottom w:val="single" w:sz="8" w:color="auto"/>
            </w:tcBorders>
            <w:shd w:val="clear" w:color="auto" w:fill="C7EAF2"/>
          </w:tcPr>
          <w:p>
            <w:pPr>
              <w:spacing w:after="0"/>
              <w:rPr>
                <w:sz w:val="19"/>
                <w:szCs w:val="19"/>
                <w:color w:val="auto"/>
              </w:rPr>
            </w:pPr>
          </w:p>
        </w:tc>
        <w:tc>
          <w:tcPr>
            <w:tcW w:w="1300" w:type="dxa"/>
            <w:vAlign w:val="bottom"/>
            <w:tcBorders>
              <w:bottom w:val="single" w:sz="8" w:color="auto"/>
            </w:tcBorders>
            <w:shd w:val="clear" w:color="auto" w:fill="C7EAF2"/>
          </w:tcPr>
          <w:p>
            <w:pPr>
              <w:spacing w:after="0"/>
              <w:rPr>
                <w:sz w:val="19"/>
                <w:szCs w:val="19"/>
                <w:color w:val="auto"/>
              </w:rPr>
            </w:pPr>
          </w:p>
        </w:tc>
        <w:tc>
          <w:tcPr>
            <w:tcW w:w="20" w:type="dxa"/>
            <w:vAlign w:val="bottom"/>
            <w:tcBorders>
              <w:bottom w:val="single" w:sz="8" w:color="C7EAF2"/>
            </w:tcBorders>
            <w:shd w:val="clear" w:color="auto" w:fill="C7EAF2"/>
          </w:tcPr>
          <w:p>
            <w:pPr>
              <w:spacing w:after="0"/>
              <w:rPr>
                <w:sz w:val="19"/>
                <w:szCs w:val="19"/>
                <w:color w:val="auto"/>
              </w:rPr>
            </w:pPr>
          </w:p>
        </w:tc>
        <w:tc>
          <w:tcPr>
            <w:tcW w:w="260" w:type="dxa"/>
            <w:vAlign w:val="bottom"/>
            <w:tcBorders>
              <w:bottom w:val="single" w:sz="8" w:color="C7EAF2"/>
            </w:tcBorders>
            <w:shd w:val="clear" w:color="auto" w:fill="C7EAF2"/>
          </w:tcPr>
          <w:p>
            <w:pPr>
              <w:spacing w:after="0"/>
              <w:rPr>
                <w:sz w:val="19"/>
                <w:szCs w:val="19"/>
                <w:color w:val="auto"/>
              </w:rPr>
            </w:pPr>
          </w:p>
        </w:tc>
        <w:tc>
          <w:tcPr>
            <w:tcW w:w="520" w:type="dxa"/>
            <w:vAlign w:val="bottom"/>
            <w:tcBorders>
              <w:bottom w:val="single" w:sz="8" w:color="auto"/>
            </w:tcBorders>
            <w:shd w:val="clear" w:color="auto" w:fill="C7EAF2"/>
          </w:tcPr>
          <w:p>
            <w:pPr>
              <w:spacing w:after="0"/>
              <w:rPr>
                <w:sz w:val="19"/>
                <w:szCs w:val="19"/>
                <w:color w:val="auto"/>
              </w:rPr>
            </w:pPr>
          </w:p>
        </w:tc>
        <w:tc>
          <w:tcPr>
            <w:tcW w:w="940" w:type="dxa"/>
            <w:vAlign w:val="bottom"/>
            <w:tcBorders>
              <w:bottom w:val="single" w:sz="8" w:color="auto"/>
            </w:tcBorders>
            <w:shd w:val="clear" w:color="auto" w:fill="C7EAF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8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auto"/>
              </w:rPr>
              <w:t>December 31, 2020</w:t>
            </w:r>
          </w:p>
        </w:tc>
        <w:tc>
          <w:tcPr>
            <w:tcW w:w="28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(933)</w:t>
            </w:r>
          </w:p>
        </w:tc>
        <w:tc>
          <w:tcPr>
            <w:tcW w:w="260" w:type="dxa"/>
            <w:vAlign w:val="bottom"/>
          </w:tcPr>
          <w:p>
            <w:pPr>
              <w:spacing w:after="0"/>
              <w:rPr>
                <w:sz w:val="15"/>
                <w:szCs w:val="15"/>
                <w:color w:val="auto"/>
              </w:rPr>
            </w:pPr>
          </w:p>
        </w:tc>
        <w:tc>
          <w:tcPr>
            <w:tcW w:w="18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ind w:right="354"/>
              <w:spacing w:after="0" w:line="18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(951)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86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Amortization for the year</w:t>
            </w:r>
          </w:p>
        </w:tc>
        <w:tc>
          <w:tcPr>
            <w:tcW w:w="280" w:type="dxa"/>
            <w:vAlign w:val="bottom"/>
            <w:shd w:val="clear" w:color="auto" w:fill="C7EAF2"/>
          </w:tcPr>
          <w:p>
            <w:pPr>
              <w:spacing w:after="0"/>
              <w:rPr>
                <w:sz w:val="18"/>
                <w:szCs w:val="18"/>
                <w:color w:val="auto"/>
              </w:rPr>
            </w:pPr>
          </w:p>
        </w:tc>
        <w:tc>
          <w:tcPr>
            <w:tcW w:w="12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260" w:type="dxa"/>
            <w:vAlign w:val="bottom"/>
            <w:shd w:val="clear" w:color="auto" w:fill="C7EAF2"/>
          </w:tcPr>
          <w:p>
            <w:pPr>
              <w:spacing w:after="0"/>
              <w:rPr>
                <w:sz w:val="18"/>
                <w:szCs w:val="18"/>
                <w:color w:val="auto"/>
              </w:rPr>
            </w:pPr>
          </w:p>
        </w:tc>
        <w:tc>
          <w:tcPr>
            <w:tcW w:w="180" w:type="dxa"/>
            <w:vAlign w:val="bottom"/>
            <w:shd w:val="clear" w:color="auto" w:fill="C7EAF2"/>
          </w:tcPr>
          <w:p>
            <w:pPr>
              <w:spacing w:after="0"/>
              <w:rPr>
                <w:sz w:val="18"/>
                <w:szCs w:val="18"/>
                <w:color w:val="auto"/>
              </w:rPr>
            </w:pPr>
          </w:p>
        </w:tc>
        <w:tc>
          <w:tcPr>
            <w:tcW w:w="1580" w:type="dxa"/>
            <w:vAlign w:val="bottom"/>
            <w:gridSpan w:val="3"/>
            <w:shd w:val="clear" w:color="auto" w:fill="C7EAF2"/>
          </w:tcPr>
          <w:p>
            <w:pPr>
              <w:jc w:val="right"/>
              <w:ind w:right="280"/>
              <w:spacing w:after="0"/>
              <w:rPr>
                <w:sz w:val="20"/>
                <w:szCs w:val="20"/>
                <w:color w:val="auto"/>
              </w:rPr>
            </w:pPr>
            <w:r>
              <w:rPr>
                <w:rFonts w:ascii="Times New Roman" w:cs="Times New Roman" w:eastAsia="Times New Roman" w:hAnsi="Times New Roman"/>
                <w:sz w:val="17"/>
                <w:szCs w:val="17"/>
                <w:color w:val="auto"/>
              </w:rPr>
              <w:t>(1)</w:t>
            </w:r>
          </w:p>
        </w:tc>
        <w:tc>
          <w:tcPr>
            <w:tcW w:w="520" w:type="dxa"/>
            <w:vAlign w:val="bottom"/>
            <w:shd w:val="clear" w:color="auto" w:fill="C7EAF2"/>
          </w:tcPr>
          <w:p>
            <w:pPr>
              <w:spacing w:after="0"/>
              <w:rPr>
                <w:sz w:val="18"/>
                <w:szCs w:val="18"/>
                <w:color w:val="auto"/>
              </w:rPr>
            </w:pP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(1,386)</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Amortization for the year</w:t>
            </w:r>
          </w:p>
        </w:tc>
        <w:tc>
          <w:tcPr>
            <w:tcW w:w="280" w:type="dxa"/>
            <w:vAlign w:val="bottom"/>
            <w:shd w:val="clear" w:color="auto" w:fill="C7EAF2"/>
          </w:tcPr>
          <w:p>
            <w:pPr>
              <w:spacing w:after="0"/>
              <w:rPr>
                <w:sz w:val="18"/>
                <w:szCs w:val="18"/>
                <w:color w:val="auto"/>
              </w:rPr>
            </w:pPr>
          </w:p>
        </w:tc>
        <w:tc>
          <w:tcPr>
            <w:tcW w:w="12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260" w:type="dxa"/>
            <w:vAlign w:val="bottom"/>
            <w:shd w:val="clear" w:color="auto" w:fill="C7EAF2"/>
          </w:tcPr>
          <w:p>
            <w:pPr>
              <w:spacing w:after="0"/>
              <w:rPr>
                <w:sz w:val="18"/>
                <w:szCs w:val="18"/>
                <w:color w:val="auto"/>
              </w:rPr>
            </w:pPr>
          </w:p>
        </w:tc>
        <w:tc>
          <w:tcPr>
            <w:tcW w:w="180" w:type="dxa"/>
            <w:vAlign w:val="bottom"/>
            <w:shd w:val="clear" w:color="auto" w:fill="C7EAF2"/>
          </w:tcPr>
          <w:p>
            <w:pPr>
              <w:spacing w:after="0"/>
              <w:rPr>
                <w:sz w:val="18"/>
                <w:szCs w:val="18"/>
                <w:color w:val="auto"/>
              </w:rPr>
            </w:pPr>
          </w:p>
        </w:tc>
        <w:tc>
          <w:tcPr>
            <w:tcW w:w="1580" w:type="dxa"/>
            <w:vAlign w:val="bottom"/>
            <w:gridSpan w:val="3"/>
            <w:shd w:val="clear" w:color="auto" w:fill="C7EAF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(1)</w:t>
            </w:r>
          </w:p>
        </w:tc>
        <w:tc>
          <w:tcPr>
            <w:tcW w:w="520" w:type="dxa"/>
            <w:vAlign w:val="bottom"/>
            <w:shd w:val="clear" w:color="auto" w:fill="C7EAF2"/>
          </w:tcPr>
          <w:p>
            <w:pPr>
              <w:spacing w:after="0"/>
              <w:rPr>
                <w:sz w:val="18"/>
                <w:szCs w:val="18"/>
                <w:color w:val="auto"/>
              </w:rPr>
            </w:pP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860" w:type="dxa"/>
            <w:vAlign w:val="bottom"/>
            <w:tcBorders>
              <w:bottom w:val="single" w:sz="8" w:color="C7EAF2"/>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(1,802)</w:t>
            </w:r>
          </w:p>
        </w:tc>
        <w:tc>
          <w:tcPr>
            <w:tcW w:w="260" w:type="dxa"/>
            <w:vAlign w:val="bottom"/>
            <w:tcBorders>
              <w:bottom w:val="single" w:sz="8" w:color="C7EAF2"/>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w:t>
            </w:r>
          </w:p>
        </w:tc>
        <w:tc>
          <w:tcPr>
            <w:tcW w:w="20" w:type="dxa"/>
            <w:vAlign w:val="bottom"/>
            <w:tcBorders>
              <w:bottom w:val="single" w:sz="8" w:color="C7EAF2"/>
            </w:tcBorders>
          </w:tcPr>
          <w:p>
            <w:pPr>
              <w:spacing w:after="0"/>
              <w:rPr>
                <w:sz w:val="17"/>
                <w:szCs w:val="17"/>
                <w:color w:val="auto"/>
              </w:rPr>
            </w:pPr>
          </w:p>
        </w:tc>
        <w:tc>
          <w:tcPr>
            <w:tcW w:w="260" w:type="dxa"/>
            <w:vAlign w:val="bottom"/>
            <w:tcBorders>
              <w:bottom w:val="single" w:sz="8" w:color="C7EAF2"/>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00" w:type="dxa"/>
            <w:vAlign w:val="bottom"/>
            <w:shd w:val="clear" w:color="auto" w:fill="C7EAF2"/>
          </w:tcPr>
          <w:p>
            <w:pPr>
              <w:spacing w:after="0"/>
              <w:rPr>
                <w:sz w:val="17"/>
                <w:szCs w:val="17"/>
                <w:color w:val="auto"/>
              </w:rPr>
            </w:pPr>
          </w:p>
        </w:tc>
        <w:tc>
          <w:tcPr>
            <w:tcW w:w="260" w:type="dxa"/>
            <w:vAlign w:val="bottom"/>
            <w:shd w:val="clear" w:color="auto" w:fill="C7EAF2"/>
          </w:tcPr>
          <w:p>
            <w:pPr>
              <w:spacing w:after="0"/>
              <w:rPr>
                <w:sz w:val="17"/>
                <w:szCs w:val="17"/>
                <w:color w:val="auto"/>
              </w:rPr>
            </w:pPr>
          </w:p>
        </w:tc>
        <w:tc>
          <w:tcPr>
            <w:tcW w:w="280" w:type="dxa"/>
            <w:vAlign w:val="bottom"/>
            <w:shd w:val="clear" w:color="auto" w:fill="C7EAF2"/>
          </w:tcPr>
          <w:p>
            <w:pPr>
              <w:spacing w:after="0"/>
              <w:rPr>
                <w:sz w:val="17"/>
                <w:szCs w:val="17"/>
                <w:color w:val="auto"/>
              </w:rPr>
            </w:pPr>
          </w:p>
        </w:tc>
        <w:tc>
          <w:tcPr>
            <w:tcW w:w="1200" w:type="dxa"/>
            <w:vAlign w:val="bottom"/>
            <w:shd w:val="clear" w:color="auto" w:fill="C7EAF2"/>
          </w:tcPr>
          <w:p>
            <w:pPr>
              <w:spacing w:after="0"/>
              <w:rPr>
                <w:sz w:val="17"/>
                <w:szCs w:val="17"/>
                <w:color w:val="auto"/>
              </w:rPr>
            </w:pPr>
          </w:p>
        </w:tc>
        <w:tc>
          <w:tcPr>
            <w:tcW w:w="260" w:type="dxa"/>
            <w:vAlign w:val="bottom"/>
            <w:shd w:val="clear" w:color="auto" w:fill="C7EAF2"/>
          </w:tcPr>
          <w:p>
            <w:pPr>
              <w:spacing w:after="0"/>
              <w:rPr>
                <w:sz w:val="17"/>
                <w:szCs w:val="17"/>
                <w:color w:val="auto"/>
              </w:rPr>
            </w:pPr>
          </w:p>
        </w:tc>
        <w:tc>
          <w:tcPr>
            <w:tcW w:w="180" w:type="dxa"/>
            <w:vAlign w:val="bottom"/>
            <w:shd w:val="clear" w:color="auto" w:fill="C7EAF2"/>
          </w:tcPr>
          <w:p>
            <w:pPr>
              <w:spacing w:after="0"/>
              <w:rPr>
                <w:sz w:val="17"/>
                <w:szCs w:val="17"/>
                <w:color w:val="auto"/>
              </w:rPr>
            </w:pPr>
          </w:p>
        </w:tc>
        <w:tc>
          <w:tcPr>
            <w:tcW w:w="1300" w:type="dxa"/>
            <w:vAlign w:val="bottom"/>
            <w:shd w:val="clear" w:color="auto" w:fill="C7EAF2"/>
          </w:tcPr>
          <w:p>
            <w:pPr>
              <w:spacing w:after="0"/>
              <w:rPr>
                <w:sz w:val="17"/>
                <w:szCs w:val="17"/>
                <w:color w:val="auto"/>
              </w:rPr>
            </w:pPr>
          </w:p>
        </w:tc>
        <w:tc>
          <w:tcPr>
            <w:tcW w:w="20" w:type="dxa"/>
            <w:vAlign w:val="bottom"/>
            <w:shd w:val="clear" w:color="auto" w:fill="C7EAF2"/>
          </w:tcPr>
          <w:p>
            <w:pPr>
              <w:spacing w:after="0"/>
              <w:rPr>
                <w:sz w:val="17"/>
                <w:szCs w:val="17"/>
                <w:color w:val="auto"/>
              </w:rPr>
            </w:pPr>
          </w:p>
        </w:tc>
        <w:tc>
          <w:tcPr>
            <w:tcW w:w="260" w:type="dxa"/>
            <w:vAlign w:val="bottom"/>
            <w:shd w:val="clear" w:color="auto" w:fill="C7EAF2"/>
          </w:tcPr>
          <w:p>
            <w:pPr>
              <w:spacing w:after="0"/>
              <w:rPr>
                <w:sz w:val="17"/>
                <w:szCs w:val="17"/>
                <w:color w:val="auto"/>
              </w:rPr>
            </w:pPr>
          </w:p>
        </w:tc>
        <w:tc>
          <w:tcPr>
            <w:tcW w:w="520" w:type="dxa"/>
            <w:vAlign w:val="bottom"/>
            <w:shd w:val="clear" w:color="auto" w:fill="C7EAF2"/>
          </w:tcPr>
          <w:p>
            <w:pPr>
              <w:spacing w:after="0"/>
              <w:rPr>
                <w:sz w:val="17"/>
                <w:szCs w:val="17"/>
                <w:color w:val="auto"/>
              </w:rPr>
            </w:pPr>
          </w:p>
        </w:tc>
        <w:tc>
          <w:tcPr>
            <w:tcW w:w="940" w:type="dxa"/>
            <w:vAlign w:val="bottom"/>
            <w:shd w:val="clear" w:color="auto" w:fill="C7EAF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book value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As at December 31, 2021</w:t>
            </w:r>
          </w:p>
        </w:tc>
        <w:tc>
          <w:tcPr>
            <w:tcW w:w="280" w:type="dxa"/>
            <w:vAlign w:val="bottom"/>
            <w:shd w:val="clear" w:color="auto" w:fill="C7EAF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260" w:type="dxa"/>
            <w:vAlign w:val="bottom"/>
            <w:shd w:val="clear" w:color="auto" w:fill="C7EAF2"/>
          </w:tcPr>
          <w:p>
            <w:pPr>
              <w:spacing w:after="0"/>
              <w:rPr>
                <w:sz w:val="18"/>
                <w:szCs w:val="18"/>
                <w:color w:val="auto"/>
              </w:rPr>
            </w:pPr>
          </w:p>
        </w:tc>
        <w:tc>
          <w:tcPr>
            <w:tcW w:w="1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7EAF2"/>
          </w:tcPr>
          <w:p>
            <w:pPr>
              <w:spacing w:after="0"/>
              <w:rPr>
                <w:sz w:val="18"/>
                <w:szCs w:val="18"/>
                <w:color w:val="auto"/>
              </w:rPr>
            </w:pPr>
          </w:p>
        </w:tc>
        <w:tc>
          <w:tcPr>
            <w:tcW w:w="260" w:type="dxa"/>
            <w:vAlign w:val="bottom"/>
            <w:shd w:val="clear" w:color="auto" w:fill="C7EAF2"/>
          </w:tcPr>
          <w:p>
            <w:pPr>
              <w:spacing w:after="0"/>
              <w:rPr>
                <w:sz w:val="18"/>
                <w:szCs w:val="18"/>
                <w:color w:val="auto"/>
              </w:rPr>
            </w:pPr>
          </w:p>
        </w:tc>
        <w:tc>
          <w:tcPr>
            <w:tcW w:w="520" w:type="dxa"/>
            <w:vAlign w:val="bottom"/>
            <w:shd w:val="clear" w:color="auto" w:fill="C7EAF2"/>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As at December 31, 2022</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20" w:hanging="311"/>
        <w:spacing w:after="0"/>
        <w:tabs>
          <w:tab w:leader="none" w:pos="32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Exploration Contracts</w:t>
      </w:r>
    </w:p>
    <w:p>
      <w:pPr>
        <w:spacing w:after="0" w:line="219" w:lineRule="exact"/>
        <w:rPr>
          <w:rFonts w:ascii="Times New Roman" w:cs="Times New Roman" w:eastAsia="Times New Roman" w:hAnsi="Times New Roman"/>
          <w:sz w:val="17"/>
          <w:szCs w:val="17"/>
          <w:b w:val="1"/>
          <w:bCs w:val="1"/>
          <w:color w:val="auto"/>
        </w:rPr>
      </w:pPr>
    </w:p>
    <w:p>
      <w:pPr>
        <w:ind w:left="320" w:right="6660"/>
        <w:spacing w:after="0" w:line="51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Exploration Agreements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7"/>
          <w:szCs w:val="17"/>
          <w:b w:val="1"/>
          <w:bCs w:val="1"/>
          <w:color w:val="auto"/>
        </w:rPr>
      </w:pPr>
    </w:p>
    <w:p>
      <w:pPr>
        <w:jc w:val="both"/>
        <w:ind w:left="3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wholly-owned subsidiary, NORI, was granted the NORI Exploration Contract on July 22, 2011 under the sponsorship of Nauru. The contract application fee of $0.3 million, provides NORI with exclusive rights to explore for polymetallic nodules in the NORI Area for an initial term of 15 years (renewable for successive five-year periods) subject to complying with the exploration contract terms (Note 20) and provides NORI with the priority right to apply for an exploitation contract to collect polymetallic nodules in the same area.</w:t>
      </w:r>
    </w:p>
    <w:p>
      <w:pPr>
        <w:spacing w:after="0" w:line="164" w:lineRule="exact"/>
        <w:rPr>
          <w:rFonts w:ascii="Times New Roman" w:cs="Times New Roman" w:eastAsia="Times New Roman" w:hAnsi="Times New Roman"/>
          <w:sz w:val="17"/>
          <w:szCs w:val="17"/>
          <w:b w:val="1"/>
          <w:bCs w:val="1"/>
          <w:color w:val="auto"/>
        </w:rPr>
      </w:pPr>
    </w:p>
    <w:p>
      <w:pPr>
        <w:ind w:left="32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NORI has a right to renounce, without penalty, in whole or part of its rights in the NORI Area at any time and therefore does not have a fixed commitment with relation to the NORI Exploration Contract (Note 20).</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sectPr>
      </w:pPr>
    </w:p>
    <w:bookmarkStart w:id="139" w:name="page140"/>
    <w:bookmarkEnd w:id="139"/>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30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306">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Marawa Agreements:</w:t>
      </w:r>
    </w:p>
    <w:p>
      <w:pPr>
        <w:spacing w:after="0" w:line="218"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17"/>
          <w:szCs w:val="17"/>
          <w:color w:val="auto"/>
        </w:rPr>
        <w:t>Marawa executed the Marawa Exploration Contract with the ISA on January 19, 2015.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160"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On March 17, 2012, the Company’s wholly-owned subsidiary, DeepGreen Engineering Pte. Ltd.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65"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On October 1, 2013, DGE also entered into a services agreement (“Marawa Services Agreement”) with Marawa and Kiribati, which grants DGE the exclusive right to carry out all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regulations and any other required regulations.</w:t>
      </w:r>
    </w:p>
    <w:p>
      <w:pPr>
        <w:spacing w:after="0" w:line="165" w:lineRule="exact"/>
        <w:rPr>
          <w:sz w:val="20"/>
          <w:szCs w:val="20"/>
          <w:color w:val="auto"/>
        </w:rPr>
      </w:pPr>
    </w:p>
    <w:p>
      <w:pPr>
        <w:jc w:val="both"/>
        <w:ind w:left="200"/>
        <w:spacing w:after="0" w:line="298" w:lineRule="auto"/>
        <w:rPr>
          <w:sz w:val="20"/>
          <w:szCs w:val="20"/>
          <w:color w:val="auto"/>
        </w:rPr>
      </w:pPr>
      <w:r>
        <w:rPr>
          <w:rFonts w:ascii="Times New Roman" w:cs="Times New Roman" w:eastAsia="Times New Roman" w:hAnsi="Times New Roman"/>
          <w:sz w:val="17"/>
          <w:szCs w:val="17"/>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137" w:lineRule="exact"/>
        <w:rPr>
          <w:sz w:val="20"/>
          <w:szCs w:val="20"/>
          <w:color w:val="auto"/>
        </w:rPr>
      </w:pPr>
    </w:p>
    <w:p>
      <w:pPr>
        <w:jc w:val="both"/>
        <w:ind w:left="200"/>
        <w:spacing w:after="0" w:line="263" w:lineRule="auto"/>
        <w:rPr>
          <w:sz w:val="20"/>
          <w:szCs w:val="20"/>
          <w:color w:val="auto"/>
        </w:rPr>
      </w:pPr>
      <w:r>
        <w:rPr>
          <w:rFonts w:ascii="Times New Roman" w:cs="Times New Roman" w:eastAsia="Times New Roman" w:hAnsi="Times New Roman"/>
          <w:sz w:val="17"/>
          <w:szCs w:val="17"/>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66" w:lineRule="exact"/>
        <w:rPr>
          <w:sz w:val="20"/>
          <w:szCs w:val="20"/>
          <w:color w:val="auto"/>
        </w:rPr>
      </w:pPr>
    </w:p>
    <w:p>
      <w:pPr>
        <w:jc w:val="both"/>
        <w:ind w:left="200"/>
        <w:spacing w:after="0" w:line="299" w:lineRule="auto"/>
        <w:rPr>
          <w:sz w:val="20"/>
          <w:szCs w:val="20"/>
          <w:color w:val="auto"/>
        </w:rPr>
      </w:pPr>
      <w:r>
        <w:rPr>
          <w:rFonts w:ascii="Times New Roman" w:cs="Times New Roman" w:eastAsia="Times New Roman" w:hAnsi="Times New Roman"/>
          <w:sz w:val="17"/>
          <w:szCs w:val="17"/>
          <w:color w:val="auto"/>
        </w:rPr>
        <w:t>As at December 31, 2022, Marawa had no amounts owing to DGE under the Marawa Services Agreement and no purchase tenements had been granted to Marawa.</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TOML Exploration Contract:</w:t>
      </w:r>
    </w:p>
    <w:p>
      <w:pPr>
        <w:spacing w:after="0" w:line="218"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17"/>
          <w:szCs w:val="17"/>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3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sectPr>
      </w:pPr>
    </w:p>
    <w:bookmarkStart w:id="140" w:name="page141"/>
    <w:bookmarkEnd w:id="140"/>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30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308">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color w:val="auto"/>
        </w:rPr>
        <w:t>Strategic Partnerships</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Strategic Alliance with Allseas Pilot Mining Test Project</w:t>
      </w:r>
    </w:p>
    <w:p>
      <w:pPr>
        <w:spacing w:after="0" w:line="218" w:lineRule="exact"/>
        <w:rPr>
          <w:sz w:val="20"/>
          <w:szCs w:val="20"/>
          <w:color w:val="auto"/>
        </w:rPr>
      </w:pPr>
    </w:p>
    <w:p>
      <w:pPr>
        <w:jc w:val="both"/>
        <w:ind w:left="200"/>
        <w:spacing w:after="0" w:line="260" w:lineRule="auto"/>
        <w:rPr>
          <w:sz w:val="20"/>
          <w:szCs w:val="20"/>
          <w:color w:val="auto"/>
        </w:rPr>
      </w:pPr>
      <w:r>
        <w:rPr>
          <w:rFonts w:ascii="Times New Roman" w:cs="Times New Roman" w:eastAsia="Times New Roman" w:hAnsi="Times New Roman"/>
          <w:sz w:val="17"/>
          <w:szCs w:val="17"/>
          <w:color w:val="auto"/>
        </w:rPr>
        <w:t>On March 29, 2019, the Company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the Company’s application for an exploitation contract with the ISA. Allseas committed to a fixed price development contract and would own all intellectual property used and generated in the development of the PMTS. Upon successful completion of the pilot trial of the PMTS in NORI Area D, the Company and Allseas agreed to enter into a nodule collection and shipping agreement whereby Allseas would provide commercial services for the collection of the first 200 million metric tonnes of polymetallic nodules on a cost plus 50% profit basis. Under the terms of the SAA, Allseas subscribed for and ultimately received 7.7 million common shares for a total of $20.0 million paid in cash to the Company.</w:t>
      </w:r>
    </w:p>
    <w:p>
      <w:pPr>
        <w:spacing w:after="0" w:line="380" w:lineRule="exact"/>
        <w:rPr>
          <w:sz w:val="20"/>
          <w:szCs w:val="20"/>
          <w:color w:val="auto"/>
        </w:rPr>
      </w:pPr>
    </w:p>
    <w:p>
      <w:pPr>
        <w:jc w:val="both"/>
        <w:ind w:left="200" w:firstLine="1"/>
        <w:spacing w:after="0" w:line="265" w:lineRule="auto"/>
        <w:rPr>
          <w:sz w:val="20"/>
          <w:szCs w:val="20"/>
          <w:color w:val="auto"/>
        </w:rPr>
      </w:pPr>
      <w:r>
        <w:rPr>
          <w:rFonts w:ascii="Times New Roman" w:cs="Times New Roman" w:eastAsia="Times New Roman" w:hAnsi="Times New Roman"/>
          <w:sz w:val="17"/>
          <w:szCs w:val="17"/>
          <w:color w:val="auto"/>
        </w:rPr>
        <w:t>On July 8, 2019, as contemplated by the SAA, the Company and Allseas entered into the Pilot Mining Test Agreement (“PMTA”) which governs the terms, design specifications, procedures, and timetable under which Allseas agreed to complete a pilot trial of the PMTS in NORI Area D. Under the PMTA, in exchange for Allseas’ development efforts, upon successful delivery of the pilot trial of the PMTS in NORI Area D by Allseas, the Company agreed to pay Allseas: (a) $30.0 million in cash and (b) issue 11.6 million common shares.</w:t>
      </w:r>
    </w:p>
    <w:p>
      <w:pPr>
        <w:spacing w:after="0" w:line="1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u w:val="single" w:color="auto"/>
          <w:color w:val="auto"/>
        </w:rPr>
        <w:t>Contract Amendments</w:t>
      </w:r>
    </w:p>
    <w:p>
      <w:pPr>
        <w:spacing w:after="0" w:line="219"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17"/>
          <w:szCs w:val="17"/>
          <w:color w:val="auto"/>
        </w:rPr>
        <w:t xml:space="preserve">On February 20, 2020, the PMTA was amended to recognize the acquisition by Allseas of the </w:t>
      </w:r>
      <w:r>
        <w:rPr>
          <w:rFonts w:ascii="Times New Roman" w:cs="Times New Roman" w:eastAsia="Times New Roman" w:hAnsi="Times New Roman"/>
          <w:sz w:val="17"/>
          <w:szCs w:val="17"/>
          <w:i w:val="1"/>
          <w:iCs w:val="1"/>
          <w:color w:val="auto"/>
        </w:rPr>
        <w:t>Hidden Gem</w:t>
      </w:r>
      <w:r>
        <w:rPr>
          <w:rFonts w:ascii="Times New Roman" w:cs="Times New Roman" w:eastAsia="Times New Roman" w:hAnsi="Times New Roman"/>
          <w:sz w:val="17"/>
          <w:szCs w:val="17"/>
          <w:color w:val="auto"/>
        </w:rPr>
        <w:t>, a former drillship to be converted into a surface production vessel that would first be used as part of the PMTS, and later as part of the commercial production system. The Company paid an additional: (a) $10.0 million in cash and (b) $10.0 million by issuing 3.2 million common shares valued at $3.11 per share.</w:t>
      </w:r>
    </w:p>
    <w:p>
      <w:pPr>
        <w:spacing w:after="0" w:line="160"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On March 4, 2021 and June 30, 2021, the Company and Allseas further amended the PMTA whereby, instead of issuing 11.6 million common shares upon successful delivery of the pilot trial of the PMTS in NORI Area D, the Company issued the Allseas Warrant (Note 13).</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2021 contract amendments also restructured the original $30.0 million lump sum cash payment upon successful delivery of the</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PMTS to:</w:t>
      </w:r>
    </w:p>
    <w:p>
      <w:pPr>
        <w:spacing w:after="0" w:line="219" w:lineRule="exact"/>
        <w:rPr>
          <w:sz w:val="20"/>
          <w:szCs w:val="20"/>
          <w:color w:val="auto"/>
        </w:rPr>
      </w:pPr>
    </w:p>
    <w:p>
      <w:pPr>
        <w:ind w:left="540" w:right="20" w:hanging="315"/>
        <w:spacing w:after="0" w:line="254" w:lineRule="auto"/>
        <w:tabs>
          <w:tab w:leader="none" w:pos="5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within 10 business days of the closing of the Business Combination and Allseas providing confirmation of placing an order for certain equipment and demonstrating certain progress on construction of the PMTS;</w:t>
      </w:r>
    </w:p>
    <w:p>
      <w:pPr>
        <w:ind w:left="540" w:hanging="315"/>
        <w:spacing w:after="0"/>
        <w:tabs>
          <w:tab w:leader="none" w:pos="5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on the later of (i) January 1, 2022, and (ii) confirmation of successful completion of the North Sea drive test; and</w:t>
      </w:r>
    </w:p>
    <w:p>
      <w:pPr>
        <w:spacing w:after="0" w:line="11" w:lineRule="exact"/>
        <w:rPr>
          <w:rFonts w:ascii="Times New Roman" w:cs="Times New Roman" w:eastAsia="Times New Roman" w:hAnsi="Times New Roman"/>
          <w:sz w:val="17"/>
          <w:szCs w:val="17"/>
          <w:color w:val="auto"/>
        </w:rPr>
      </w:pPr>
    </w:p>
    <w:p>
      <w:pPr>
        <w:ind w:left="540" w:hanging="315"/>
        <w:spacing w:after="0"/>
        <w:tabs>
          <w:tab w:leader="none" w:pos="5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upon successful completion of the pilot trial of the PMTS in NORI Area D.</w:t>
      </w:r>
    </w:p>
    <w:p>
      <w:pPr>
        <w:spacing w:after="0" w:line="220"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17"/>
          <w:szCs w:val="17"/>
          <w:color w:val="auto"/>
        </w:rPr>
        <w:t>On October 5, 2021, the first $10 million payment was paid to Allseas for successfully reaching the first progress milestone, with the completion of the Business Combination and by confirming the order of certain equipment and demonstrating certain progress on construction of the PMTS. The Company made the second $10 million payment of the amended PMTA on April 25, 2022, upon successful completion of the North Sea drive test on March 25, 2022.</w:t>
      </w:r>
    </w:p>
    <w:p>
      <w:pPr>
        <w:spacing w:after="0" w:line="3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535">
                          <a:solidFill>
                            <a:srgbClr val="000000"/>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302pt"/>
            </w:pict>
          </mc:Fallback>
        </mc:AlternateContent>
      </w:r>
    </w:p>
    <w:p>
      <w:pPr>
        <w:sectPr>
          <w:pgSz w:w="12240" w:h="15840" w:orient="portrait"/>
          <w:cols w:equalWidth="0" w:num="1">
            <w:col w:w="9500"/>
          </w:cols>
          <w:pgMar w:left="1440" w:top="1334" w:right="1300"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30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310">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7"/>
          <w:szCs w:val="17"/>
          <w:color w:val="auto"/>
        </w:rPr>
        <w:t xml:space="preserve">The Company accounts for the first two milestone payments in accordance with ASC 730, </w:t>
      </w: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xml:space="preserve"> as these payments represented progress payments. Accordingly, the Company expenses the payments according to when the services are performed. Therefore, the Company records the expense on a straight-line basis over the life of the contract which resulted in total expenses of $5.8 million (2021: $14.3 million) recorded as exploration and evaluation expenses for the year ended December 31, 2022. On November 11, 2022, the Board approved the successful completion of the PMTS in NORI Area D and payment of the third milestone amounting to $10 million by issuing 10 million common shares to Allseas. On February 13, 2023, the contract was further amended to allow TMC to pay the third milestone payment to Allseas in shares and these shares were issued to Allseas on February 23, 2023. In relation to the third milestone payment, the Company has recorded an expense equal to $8.7 million based on the fair market value of the Company's shares on November 11, 2022.</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at December 31, 2022, Allseas owned 23.7 million TMC common shares (2021: 16.2 million TMC common shares) which</w:t>
      </w:r>
    </w:p>
    <w:p>
      <w:pPr>
        <w:spacing w:after="0" w:line="12"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constituted 8.9% (2021: 7.2%) of total common shares outstanding. The Allseas total share ownership includes 3.2 million shares issued in a private placement in June 2020. On February 23, 2023 the Company settled the third milestone payment of $10 million and additional PMTS overage charges equal to $0.9 million by issuing 10.9 million common shares to Allseas (Note 24).</w:t>
      </w:r>
    </w:p>
    <w:p>
      <w:pPr>
        <w:spacing w:after="0" w:line="1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Reconciliation – Exploration Contracts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Company’s capitalized exploration contracts is as follows:</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NORI</w:t>
            </w:r>
          </w:p>
        </w:tc>
        <w:tc>
          <w:tcPr>
            <w:tcW w:w="300" w:type="dxa"/>
            <w:vAlign w:val="bottom"/>
          </w:tcPr>
          <w:p>
            <w:pPr>
              <w:spacing w:after="0"/>
              <w:rPr>
                <w:sz w:val="13"/>
                <w:szCs w:val="13"/>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340" w:type="dxa"/>
            <w:vAlign w:val="bottom"/>
          </w:tcPr>
          <w:p>
            <w:pPr>
              <w:spacing w:after="0"/>
              <w:rPr>
                <w:sz w:val="13"/>
                <w:szCs w:val="13"/>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TOML</w:t>
            </w: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Option</w:t>
            </w:r>
          </w:p>
        </w:tc>
        <w:tc>
          <w:tcPr>
            <w:tcW w:w="3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30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34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4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8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December 31, 2021</w:t>
            </w:r>
          </w:p>
        </w:tc>
        <w:tc>
          <w:tcPr>
            <w:tcW w:w="360" w:type="dxa"/>
            <w:vAlign w:val="bottom"/>
            <w:tcBorders>
              <w:top w:val="single" w:sz="8" w:color="auto"/>
            </w:tcBorders>
            <w:shd w:val="clear" w:color="auto" w:fill="C7EAF2"/>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60" w:type="dxa"/>
            <w:vAlign w:val="bottom"/>
            <w:tcBorders>
              <w:top w:val="single" w:sz="8" w:color="C7EAF2"/>
            </w:tcBorders>
            <w:shd w:val="clear" w:color="auto" w:fill="C7EAF2"/>
          </w:tcPr>
          <w:p>
            <w:pPr>
              <w:spacing w:after="0"/>
              <w:rPr>
                <w:sz w:val="17"/>
                <w:szCs w:val="17"/>
                <w:color w:val="auto"/>
              </w:rPr>
            </w:pPr>
          </w:p>
        </w:tc>
        <w:tc>
          <w:tcPr>
            <w:tcW w:w="300" w:type="dxa"/>
            <w:vAlign w:val="bottom"/>
            <w:tcBorders>
              <w:top w:val="single" w:sz="8" w:color="auto"/>
            </w:tcBorders>
            <w:shd w:val="clear" w:color="auto" w:fill="C7EAF2"/>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60" w:type="dxa"/>
            <w:vAlign w:val="bottom"/>
            <w:tcBorders>
              <w:top w:val="single" w:sz="8" w:color="C7EAF2"/>
            </w:tcBorders>
            <w:shd w:val="clear" w:color="auto" w:fill="C7EAF2"/>
          </w:tcPr>
          <w:p>
            <w:pPr>
              <w:spacing w:after="0"/>
              <w:rPr>
                <w:sz w:val="17"/>
                <w:szCs w:val="17"/>
                <w:color w:val="auto"/>
              </w:rPr>
            </w:pPr>
          </w:p>
        </w:tc>
        <w:tc>
          <w:tcPr>
            <w:tcW w:w="340" w:type="dxa"/>
            <w:vAlign w:val="bottom"/>
            <w:tcBorders>
              <w:top w:val="single" w:sz="8" w:color="auto"/>
            </w:tcBorders>
            <w:shd w:val="clear" w:color="auto" w:fill="C7EAF2"/>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42,701</w:t>
            </w:r>
          </w:p>
        </w:tc>
        <w:tc>
          <w:tcPr>
            <w:tcW w:w="260" w:type="dxa"/>
            <w:vAlign w:val="bottom"/>
            <w:tcBorders>
              <w:top w:val="single" w:sz="8" w:color="C7EAF2"/>
            </w:tcBorders>
            <w:shd w:val="clear" w:color="auto" w:fill="C7EAF2"/>
          </w:tcPr>
          <w:p>
            <w:pPr>
              <w:spacing w:after="0"/>
              <w:rPr>
                <w:sz w:val="17"/>
                <w:szCs w:val="17"/>
                <w:color w:val="auto"/>
              </w:rPr>
            </w:pPr>
          </w:p>
        </w:tc>
        <w:tc>
          <w:tcPr>
            <w:tcW w:w="400" w:type="dxa"/>
            <w:vAlign w:val="bottom"/>
            <w:tcBorders>
              <w:top w:val="single" w:sz="8" w:color="auto"/>
            </w:tcBorders>
            <w:shd w:val="clear" w:color="auto" w:fill="C7EAF2"/>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43,150</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250</w:t>
            </w:r>
          </w:p>
        </w:tc>
        <w:tc>
          <w:tcPr>
            <w:tcW w:w="26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199</w:t>
            </w:r>
          </w:p>
        </w:tc>
        <w:tc>
          <w:tcPr>
            <w:tcW w:w="260" w:type="dxa"/>
            <w:vAlign w:val="bottom"/>
          </w:tcPr>
          <w:p>
            <w:pPr>
              <w:spacing w:after="0"/>
              <w:rPr>
                <w:sz w:val="20"/>
                <w:szCs w:val="20"/>
                <w:color w:val="auto"/>
              </w:rPr>
            </w:pPr>
          </w:p>
        </w:tc>
        <w:tc>
          <w:tcPr>
            <w:tcW w:w="3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42,701</w:t>
            </w:r>
          </w:p>
        </w:tc>
        <w:tc>
          <w:tcPr>
            <w:tcW w:w="26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43,150</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Exploration and Evaluation Expenses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detail of exploration and evaluation expenses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NORI</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20" w:type="dxa"/>
            <w:vAlign w:val="bottom"/>
          </w:tcPr>
          <w:p>
            <w:pPr>
              <w:spacing w:after="0"/>
              <w:rPr>
                <w:sz w:val="12"/>
                <w:szCs w:val="12"/>
                <w:color w:val="auto"/>
              </w:rPr>
            </w:pPr>
          </w:p>
        </w:tc>
        <w:tc>
          <w:tcPr>
            <w:tcW w:w="76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Option</w:t>
            </w:r>
          </w:p>
        </w:tc>
        <w:tc>
          <w:tcPr>
            <w:tcW w:w="7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40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040" w:type="dxa"/>
            <w:vAlign w:val="bottom"/>
            <w:tcBorders>
              <w:top w:val="single" w:sz="8" w:color="auto"/>
            </w:tcBorders>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Environmental Studies</w:t>
            </w:r>
          </w:p>
        </w:tc>
        <w:tc>
          <w:tcPr>
            <w:tcW w:w="1160" w:type="dxa"/>
            <w:vAlign w:val="bottom"/>
            <w:tcBorders>
              <w:top w:val="single" w:sz="8" w:color="auto"/>
            </w:tcBorders>
            <w:shd w:val="clear" w:color="auto" w:fill="C7EAF2"/>
          </w:tcPr>
          <w:p>
            <w:pPr>
              <w:spacing w:after="0"/>
              <w:rPr>
                <w:sz w:val="17"/>
                <w:szCs w:val="17"/>
                <w:color w:val="auto"/>
              </w:rPr>
            </w:pPr>
          </w:p>
        </w:tc>
        <w:tc>
          <w:tcPr>
            <w:tcW w:w="16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38,022</w:t>
            </w:r>
          </w:p>
        </w:tc>
        <w:tc>
          <w:tcPr>
            <w:tcW w:w="16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top w:val="single" w:sz="8" w:color="C7EAF2"/>
            </w:tcBorders>
            <w:shd w:val="clear" w:color="auto" w:fill="C7EAF2"/>
          </w:tcPr>
          <w:p>
            <w:pPr>
              <w:spacing w:after="0"/>
              <w:rPr>
                <w:sz w:val="17"/>
                <w:szCs w:val="17"/>
                <w:color w:val="auto"/>
              </w:rPr>
            </w:pPr>
          </w:p>
        </w:tc>
        <w:tc>
          <w:tcPr>
            <w:tcW w:w="1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38,022</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Exploration Labor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4,420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6,020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0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17"/>
                <w:szCs w:val="17"/>
                <w:i w:val="1"/>
                <w:iCs w:val="1"/>
                <w:color w:val="auto"/>
              </w:rPr>
              <w:t>(Note 15)</w:t>
            </w:r>
          </w:p>
        </w:tc>
        <w:tc>
          <w:tcPr>
            <w:tcW w:w="11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6,086</w:t>
            </w:r>
          </w:p>
        </w:tc>
        <w:tc>
          <w:tcPr>
            <w:tcW w:w="1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1,167</w:t>
            </w:r>
          </w:p>
        </w:tc>
        <w:tc>
          <w:tcPr>
            <w:tcW w:w="16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1,235</w:t>
            </w:r>
          </w:p>
        </w:tc>
        <w:tc>
          <w:tcPr>
            <w:tcW w:w="1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8,488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Mining, Technological and Process Development</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1,823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1,988</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0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PMTS</w:t>
            </w:r>
          </w:p>
        </w:tc>
        <w:tc>
          <w:tcPr>
            <w:tcW w:w="11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15,603</w:t>
            </w:r>
          </w:p>
        </w:tc>
        <w:tc>
          <w:tcPr>
            <w:tcW w:w="1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670</w:t>
            </w:r>
          </w:p>
        </w:tc>
        <w:tc>
          <w:tcPr>
            <w:tcW w:w="16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1,546</w:t>
            </w:r>
          </w:p>
        </w:tc>
        <w:tc>
          <w:tcPr>
            <w:tcW w:w="1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17,819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xml:space="preserve">Allseas Warrant </w:t>
            </w:r>
            <w:r>
              <w:rPr>
                <w:rFonts w:ascii="Times New Roman" w:cs="Times New Roman" w:eastAsia="Times New Roman" w:hAnsi="Times New Roman"/>
                <w:sz w:val="17"/>
                <w:szCs w:val="17"/>
                <w:i w:val="1"/>
                <w:iCs w:val="1"/>
                <w:color w:val="auto"/>
              </w:rPr>
              <w:t>(Note 13)</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62,910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69,900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040" w:type="dxa"/>
            <w:vAlign w:val="bottom"/>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Sponsorship, Training and Stakeholder Engagement</w:t>
            </w:r>
          </w:p>
        </w:tc>
        <w:tc>
          <w:tcPr>
            <w:tcW w:w="11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891</w:t>
            </w:r>
          </w:p>
        </w:tc>
        <w:tc>
          <w:tcPr>
            <w:tcW w:w="1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194</w:t>
            </w:r>
          </w:p>
        </w:tc>
        <w:tc>
          <w:tcPr>
            <w:tcW w:w="16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476</w:t>
            </w:r>
          </w:p>
        </w:tc>
        <w:tc>
          <w:tcPr>
            <w:tcW w:w="1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6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1,561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040" w:type="dxa"/>
            <w:vAlign w:val="bottom"/>
            <w:tcBorders>
              <w:bottom w:val="single" w:sz="8" w:color="C7EAF2"/>
            </w:tcBorders>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1160" w:type="dxa"/>
            <w:vAlign w:val="bottom"/>
            <w:tcBorders>
              <w:bottom w:val="single" w:sz="8" w:color="C7EAF2"/>
            </w:tcBorders>
          </w:tcPr>
          <w:p>
            <w:pPr>
              <w:spacing w:after="0"/>
              <w:rPr>
                <w:sz w:val="18"/>
                <w:szCs w:val="18"/>
                <w:color w:val="auto"/>
              </w:rPr>
            </w:pPr>
          </w:p>
        </w:tc>
        <w:tc>
          <w:tcPr>
            <w:tcW w:w="16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706</w:t>
            </w:r>
          </w:p>
        </w:tc>
        <w:tc>
          <w:tcPr>
            <w:tcW w:w="16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w:t>
            </w:r>
          </w:p>
        </w:tc>
        <w:tc>
          <w:tcPr>
            <w:tcW w:w="160" w:type="dxa"/>
            <w:vAlign w:val="bottom"/>
            <w:tcBorders>
              <w:bottom w:val="single" w:sz="8" w:color="C7EAF2"/>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16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040" w:type="dxa"/>
            <w:vAlign w:val="bottom"/>
            <w:shd w:val="clear" w:color="auto" w:fill="C7EAF2"/>
          </w:tcPr>
          <w:p>
            <w:pPr>
              <w:spacing w:after="0"/>
              <w:rPr>
                <w:sz w:val="17"/>
                <w:szCs w:val="17"/>
                <w:color w:val="auto"/>
              </w:rPr>
            </w:pPr>
          </w:p>
        </w:tc>
        <w:tc>
          <w:tcPr>
            <w:tcW w:w="1160" w:type="dxa"/>
            <w:vAlign w:val="bottom"/>
            <w:shd w:val="clear" w:color="auto" w:fill="C7EAF2"/>
          </w:tcPr>
          <w:p>
            <w:pPr>
              <w:spacing w:after="0"/>
              <w:rPr>
                <w:sz w:val="17"/>
                <w:szCs w:val="17"/>
                <w:color w:val="auto"/>
              </w:rPr>
            </w:pPr>
          </w:p>
        </w:tc>
        <w:tc>
          <w:tcPr>
            <w:tcW w:w="160" w:type="dxa"/>
            <w:vAlign w:val="bottom"/>
            <w:shd w:val="clear" w:color="auto" w:fill="C7EAF2"/>
          </w:tcPr>
          <w:p>
            <w:pPr>
              <w:spacing w:after="0"/>
              <w:rPr>
                <w:sz w:val="17"/>
                <w:szCs w:val="17"/>
                <w:color w:val="auto"/>
              </w:rPr>
            </w:pPr>
          </w:p>
        </w:tc>
        <w:tc>
          <w:tcPr>
            <w:tcW w:w="120" w:type="dxa"/>
            <w:vAlign w:val="bottom"/>
            <w:tcBorders>
              <w:bottom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6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130,622</w:t>
            </w:r>
          </w:p>
        </w:tc>
        <w:tc>
          <w:tcPr>
            <w:tcW w:w="160" w:type="dxa"/>
            <w:vAlign w:val="bottom"/>
            <w:shd w:val="clear" w:color="auto" w:fill="C7EAF2"/>
          </w:tcPr>
          <w:p>
            <w:pPr>
              <w:spacing w:after="0"/>
              <w:rPr>
                <w:sz w:val="17"/>
                <w:szCs w:val="17"/>
                <w:color w:val="auto"/>
              </w:rPr>
            </w:pPr>
          </w:p>
        </w:tc>
        <w:tc>
          <w:tcPr>
            <w:tcW w:w="1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2,852</w:t>
            </w:r>
          </w:p>
        </w:tc>
        <w:tc>
          <w:tcPr>
            <w:tcW w:w="160" w:type="dxa"/>
            <w:vAlign w:val="bottom"/>
            <w:shd w:val="clear" w:color="auto" w:fill="C7EAF2"/>
          </w:tcPr>
          <w:p>
            <w:pPr>
              <w:spacing w:after="0"/>
              <w:rPr>
                <w:sz w:val="17"/>
                <w:szCs w:val="17"/>
                <w:color w:val="auto"/>
              </w:rPr>
            </w:pPr>
          </w:p>
        </w:tc>
        <w:tc>
          <w:tcPr>
            <w:tcW w:w="1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11,291</w:t>
            </w:r>
          </w:p>
        </w:tc>
        <w:tc>
          <w:tcPr>
            <w:tcW w:w="160" w:type="dxa"/>
            <w:vAlign w:val="bottom"/>
            <w:shd w:val="clear" w:color="auto" w:fill="C7EAF2"/>
          </w:tcPr>
          <w:p>
            <w:pPr>
              <w:spacing w:after="0"/>
              <w:rPr>
                <w:sz w:val="17"/>
                <w:szCs w:val="17"/>
                <w:color w:val="auto"/>
              </w:rPr>
            </w:pPr>
          </w:p>
        </w:tc>
        <w:tc>
          <w:tcPr>
            <w:tcW w:w="1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144,599</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3"/>
        </w:trPr>
        <w:tc>
          <w:tcPr>
            <w:tcW w:w="3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6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rPr>
              <w:t>132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3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620"/>
          </w:cols>
          <w:pgMar w:left="1320" w:top="1334" w:right="1300"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31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312">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40" w:type="dxa"/>
            <w:vAlign w:val="bottom"/>
          </w:tcPr>
          <w:p>
            <w:pPr>
              <w:spacing w:after="0"/>
              <w:rPr>
                <w:sz w:val="13"/>
                <w:szCs w:val="13"/>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140" w:type="dxa"/>
            <w:vAlign w:val="bottom"/>
          </w:tcPr>
          <w:p>
            <w:pPr>
              <w:spacing w:after="0"/>
              <w:rPr>
                <w:sz w:val="12"/>
                <w:szCs w:val="12"/>
                <w:color w:val="auto"/>
              </w:rPr>
            </w:pPr>
          </w:p>
        </w:tc>
        <w:tc>
          <w:tcPr>
            <w:tcW w:w="78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466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7EAF2"/>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40" w:type="dxa"/>
            <w:vAlign w:val="bottom"/>
            <w:tcBorders>
              <w:bottom w:val="single" w:sz="8" w:color="C7EAF2"/>
            </w:tcBorders>
          </w:tcPr>
          <w:p>
            <w:pPr>
              <w:spacing w:after="0"/>
              <w:rPr>
                <w:sz w:val="14"/>
                <w:szCs w:val="14"/>
                <w:color w:val="auto"/>
              </w:rPr>
            </w:pPr>
          </w:p>
        </w:tc>
        <w:tc>
          <w:tcPr>
            <w:tcW w:w="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Agreement</w:t>
            </w:r>
          </w:p>
        </w:tc>
        <w:tc>
          <w:tcPr>
            <w:tcW w:w="140" w:type="dxa"/>
            <w:vAlign w:val="bottom"/>
            <w:tcBorders>
              <w:bottom w:val="single" w:sz="8" w:color="C7EAF2"/>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7EAF2"/>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66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Environmental Studies</w:t>
            </w:r>
          </w:p>
        </w:tc>
        <w:tc>
          <w:tcPr>
            <w:tcW w:w="560" w:type="dxa"/>
            <w:vAlign w:val="bottom"/>
            <w:shd w:val="clear" w:color="auto" w:fill="C7EAF2"/>
          </w:tcPr>
          <w:p>
            <w:pPr>
              <w:spacing w:after="0"/>
              <w:rPr>
                <w:sz w:val="17"/>
                <w:szCs w:val="17"/>
                <w:color w:val="auto"/>
              </w:rPr>
            </w:pPr>
          </w:p>
        </w:tc>
        <w:tc>
          <w:tcPr>
            <w:tcW w:w="160" w:type="dxa"/>
            <w:vAlign w:val="bottom"/>
            <w:shd w:val="clear" w:color="auto" w:fill="C7EAF2"/>
          </w:tcPr>
          <w:p>
            <w:pPr>
              <w:spacing w:after="0"/>
              <w:rPr>
                <w:sz w:val="17"/>
                <w:szCs w:val="17"/>
                <w:color w:val="auto"/>
              </w:rPr>
            </w:pPr>
          </w:p>
        </w:tc>
        <w:tc>
          <w:tcPr>
            <w:tcW w:w="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40,204</w:t>
            </w:r>
          </w:p>
        </w:tc>
        <w:tc>
          <w:tcPr>
            <w:tcW w:w="140" w:type="dxa"/>
            <w:vAlign w:val="bottom"/>
            <w:shd w:val="clear" w:color="auto" w:fill="C7EAF2"/>
          </w:tcPr>
          <w:p>
            <w:pPr>
              <w:spacing w:after="0"/>
              <w:rPr>
                <w:sz w:val="17"/>
                <w:szCs w:val="17"/>
                <w:color w:val="auto"/>
              </w:rPr>
            </w:pPr>
          </w:p>
        </w:tc>
        <w:tc>
          <w:tcPr>
            <w:tcW w:w="260" w:type="dxa"/>
            <w:vAlign w:val="bottom"/>
            <w:shd w:val="clear" w:color="auto" w:fill="C7EAF2"/>
          </w:tcPr>
          <w:p>
            <w:pPr>
              <w:jc w:val="right"/>
              <w:ind w:right="81"/>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7EAF2"/>
          </w:tcPr>
          <w:p>
            <w:pPr>
              <w:spacing w:after="0"/>
              <w:rPr>
                <w:sz w:val="17"/>
                <w:szCs w:val="17"/>
                <w:color w:val="auto"/>
              </w:rPr>
            </w:pPr>
          </w:p>
        </w:tc>
        <w:tc>
          <w:tcPr>
            <w:tcW w:w="44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7EAF2"/>
          </w:tcPr>
          <w:p>
            <w:pPr>
              <w:spacing w:after="0"/>
              <w:rPr>
                <w:sz w:val="17"/>
                <w:szCs w:val="17"/>
                <w:color w:val="auto"/>
              </w:rPr>
            </w:pPr>
          </w:p>
        </w:tc>
        <w:tc>
          <w:tcPr>
            <w:tcW w:w="1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17"/>
                <w:szCs w:val="17"/>
                <w:color w:val="auto"/>
              </w:rPr>
            </w:pPr>
          </w:p>
        </w:tc>
        <w:tc>
          <w:tcPr>
            <w:tcW w:w="1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40,204</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Exploration Labor</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 xml:space="preserve">Share-Based Compensation </w:t>
            </w:r>
            <w:r>
              <w:rPr>
                <w:rFonts w:ascii="Times New Roman" w:cs="Times New Roman" w:eastAsia="Times New Roman" w:hAnsi="Times New Roman"/>
                <w:sz w:val="17"/>
                <w:szCs w:val="17"/>
                <w:i w:val="1"/>
                <w:iCs w:val="1"/>
                <w:color w:val="auto"/>
              </w:rPr>
              <w:t>(Note 15)</w:t>
            </w:r>
          </w:p>
        </w:tc>
        <w:tc>
          <w:tcPr>
            <w:tcW w:w="5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6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17,116</w:t>
            </w:r>
          </w:p>
        </w:tc>
        <w:tc>
          <w:tcPr>
            <w:tcW w:w="140" w:type="dxa"/>
            <w:vAlign w:val="bottom"/>
            <w:shd w:val="clear" w:color="auto" w:fill="C7EAF2"/>
          </w:tcPr>
          <w:p>
            <w:pPr>
              <w:spacing w:after="0"/>
              <w:rPr>
                <w:sz w:val="18"/>
                <w:szCs w:val="18"/>
                <w:color w:val="auto"/>
              </w:rPr>
            </w:pPr>
          </w:p>
        </w:tc>
        <w:tc>
          <w:tcPr>
            <w:tcW w:w="260" w:type="dxa"/>
            <w:vAlign w:val="bottom"/>
            <w:shd w:val="clear" w:color="auto" w:fill="C7EAF2"/>
          </w:tcPr>
          <w:p>
            <w:pPr>
              <w:spacing w:after="0"/>
              <w:rPr>
                <w:sz w:val="18"/>
                <w:szCs w:val="18"/>
                <w:color w:val="auto"/>
              </w:rPr>
            </w:pPr>
          </w:p>
        </w:tc>
        <w:tc>
          <w:tcPr>
            <w:tcW w:w="480" w:type="dxa"/>
            <w:vAlign w:val="bottom"/>
            <w:gridSpan w:val="3"/>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14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5,453</w:t>
            </w:r>
          </w:p>
        </w:tc>
        <w:tc>
          <w:tcPr>
            <w:tcW w:w="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26,970</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Mining, Technological and Process Development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5,412</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PMTS</w:t>
            </w:r>
          </w:p>
        </w:tc>
        <w:tc>
          <w:tcPr>
            <w:tcW w:w="5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6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11,568</w:t>
            </w:r>
          </w:p>
        </w:tc>
        <w:tc>
          <w:tcPr>
            <w:tcW w:w="140" w:type="dxa"/>
            <w:vAlign w:val="bottom"/>
            <w:shd w:val="clear" w:color="auto" w:fill="C7EAF2"/>
          </w:tcPr>
          <w:p>
            <w:pPr>
              <w:spacing w:after="0"/>
              <w:rPr>
                <w:sz w:val="18"/>
                <w:szCs w:val="18"/>
                <w:color w:val="auto"/>
              </w:rPr>
            </w:pPr>
          </w:p>
        </w:tc>
        <w:tc>
          <w:tcPr>
            <w:tcW w:w="260" w:type="dxa"/>
            <w:vAlign w:val="bottom"/>
            <w:shd w:val="clear" w:color="auto" w:fill="C7EAF2"/>
          </w:tcPr>
          <w:p>
            <w:pPr>
              <w:spacing w:after="0"/>
              <w:rPr>
                <w:sz w:val="18"/>
                <w:szCs w:val="18"/>
                <w:color w:val="auto"/>
              </w:rPr>
            </w:pPr>
          </w:p>
        </w:tc>
        <w:tc>
          <w:tcPr>
            <w:tcW w:w="480" w:type="dxa"/>
            <w:vAlign w:val="bottom"/>
            <w:gridSpan w:val="3"/>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14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6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1,446</w:t>
            </w:r>
          </w:p>
        </w:tc>
        <w:tc>
          <w:tcPr>
            <w:tcW w:w="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14,460</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Sponsorship, Training and Stakeholder Engagement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shd w:val="clear" w:color="auto" w:fill="C7EAF2"/>
          </w:tcPr>
          <w:p>
            <w:pPr>
              <w:ind w:left="100"/>
              <w:spacing w:after="0"/>
              <w:rPr>
                <w:sz w:val="20"/>
                <w:szCs w:val="20"/>
                <w:color w:val="auto"/>
              </w:rPr>
            </w:pPr>
            <w:r>
              <w:rPr>
                <w:rFonts w:ascii="Times New Roman" w:cs="Times New Roman" w:eastAsia="Times New Roman" w:hAnsi="Times New Roman"/>
                <w:sz w:val="17"/>
                <w:szCs w:val="17"/>
                <w:color w:val="auto"/>
              </w:rPr>
              <w:t>Other</w:t>
            </w:r>
          </w:p>
        </w:tc>
        <w:tc>
          <w:tcPr>
            <w:tcW w:w="5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00" w:type="dxa"/>
            <w:vAlign w:val="bottom"/>
            <w:tcBorders>
              <w:bottom w:val="single" w:sz="8" w:color="auto"/>
            </w:tcBorders>
            <w:shd w:val="clear" w:color="auto" w:fill="C7EAF2"/>
          </w:tcPr>
          <w:p>
            <w:pPr>
              <w:spacing w:after="0"/>
              <w:rPr>
                <w:sz w:val="18"/>
                <w:szCs w:val="18"/>
                <w:color w:val="auto"/>
              </w:rPr>
            </w:pPr>
          </w:p>
        </w:tc>
        <w:tc>
          <w:tcPr>
            <w:tcW w:w="6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40" w:type="dxa"/>
            <w:vAlign w:val="bottom"/>
            <w:shd w:val="clear" w:color="auto" w:fill="C7EAF2"/>
          </w:tcPr>
          <w:p>
            <w:pPr>
              <w:spacing w:after="0"/>
              <w:rPr>
                <w:sz w:val="18"/>
                <w:szCs w:val="18"/>
                <w:color w:val="auto"/>
              </w:rPr>
            </w:pPr>
          </w:p>
        </w:tc>
        <w:tc>
          <w:tcPr>
            <w:tcW w:w="260" w:type="dxa"/>
            <w:vAlign w:val="bottom"/>
            <w:tcBorders>
              <w:bottom w:val="single" w:sz="8" w:color="auto"/>
            </w:tcBorders>
            <w:shd w:val="clear" w:color="auto" w:fill="C7EAF2"/>
          </w:tcPr>
          <w:p>
            <w:pPr>
              <w:spacing w:after="0"/>
              <w:rPr>
                <w:sz w:val="18"/>
                <w:szCs w:val="18"/>
                <w:color w:val="auto"/>
              </w:rPr>
            </w:pPr>
          </w:p>
        </w:tc>
        <w:tc>
          <w:tcPr>
            <w:tcW w:w="480" w:type="dxa"/>
            <w:vAlign w:val="bottom"/>
            <w:tcBorders>
              <w:bottom w:val="single" w:sz="8" w:color="auto"/>
            </w:tcBorders>
            <w:gridSpan w:val="3"/>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40" w:type="dxa"/>
            <w:vAlign w:val="bottom"/>
            <w:shd w:val="clear" w:color="auto" w:fill="C7EAF2"/>
          </w:tcPr>
          <w:p>
            <w:pPr>
              <w:spacing w:after="0"/>
              <w:rPr>
                <w:sz w:val="18"/>
                <w:szCs w:val="18"/>
                <w:color w:val="auto"/>
              </w:rPr>
            </w:pPr>
          </w:p>
        </w:tc>
        <w:tc>
          <w:tcPr>
            <w:tcW w:w="160" w:type="dxa"/>
            <w:vAlign w:val="bottom"/>
            <w:tcBorders>
              <w:bottom w:val="single" w:sz="8" w:color="auto"/>
            </w:tcBorders>
            <w:shd w:val="clear" w:color="auto" w:fill="C7EAF2"/>
          </w:tcPr>
          <w:p>
            <w:pPr>
              <w:spacing w:after="0"/>
              <w:rPr>
                <w:sz w:val="18"/>
                <w:szCs w:val="18"/>
                <w:color w:val="auto"/>
              </w:rPr>
            </w:pPr>
          </w:p>
        </w:tc>
        <w:tc>
          <w:tcPr>
            <w:tcW w:w="6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60" w:type="dxa"/>
            <w:vAlign w:val="bottom"/>
            <w:tcBorders>
              <w:bottom w:val="single" w:sz="8" w:color="auto"/>
            </w:tcBorders>
            <w:shd w:val="clear" w:color="auto" w:fill="C7EAF2"/>
          </w:tcPr>
          <w:p>
            <w:pPr>
              <w:spacing w:after="0"/>
              <w:rPr>
                <w:sz w:val="18"/>
                <w:szCs w:val="18"/>
                <w:color w:val="auto"/>
              </w:rPr>
            </w:pPr>
          </w:p>
        </w:tc>
        <w:tc>
          <w:tcPr>
            <w:tcW w:w="5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78,144</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6,806</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8,056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93,006</w:t>
            </w:r>
          </w:p>
        </w:tc>
        <w:tc>
          <w:tcPr>
            <w:tcW w:w="0" w:type="dxa"/>
            <w:vAlign w:val="bottom"/>
          </w:tcPr>
          <w:p>
            <w:pPr>
              <w:spacing w:after="0"/>
              <w:rPr>
                <w:sz w:val="1"/>
                <w:szCs w:val="1"/>
                <w:color w:val="auto"/>
              </w:rPr>
            </w:pPr>
          </w:p>
        </w:tc>
      </w:tr>
      <w:tr>
        <w:trPr>
          <w:trHeight w:val="425"/>
        </w:trPr>
        <w:tc>
          <w:tcPr>
            <w:tcW w:w="4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11. General and Administrative Expenses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3"/>
              </w:rPr>
              <w:t>December 31,</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2100" w:type="dxa"/>
            <w:vAlign w:val="bottom"/>
            <w:tcBorders>
              <w:bottom w:val="single" w:sz="8" w:color="C7EAF2"/>
            </w:tcBorders>
          </w:tcPr>
          <w:p>
            <w:pPr>
              <w:spacing w:after="0"/>
              <w:rPr>
                <w:sz w:val="14"/>
                <w:szCs w:val="14"/>
                <w:color w:val="auto"/>
              </w:rPr>
            </w:pPr>
          </w:p>
        </w:tc>
        <w:tc>
          <w:tcPr>
            <w:tcW w:w="2560" w:type="dxa"/>
            <w:vAlign w:val="bottom"/>
            <w:tcBorders>
              <w:bottom w:val="single" w:sz="8" w:color="C7EAF2"/>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C7EAF2"/>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660" w:type="dxa"/>
            <w:vAlign w:val="bottom"/>
            <w:gridSpan w:val="2"/>
            <w:shd w:val="clear" w:color="auto" w:fill="C7EAF2"/>
          </w:tcPr>
          <w:p>
            <w:pPr>
              <w:spacing w:after="0" w:line="200" w:lineRule="exact"/>
              <w:rPr>
                <w:sz w:val="20"/>
                <w:szCs w:val="20"/>
                <w:color w:val="auto"/>
              </w:rPr>
            </w:pPr>
            <w:r>
              <w:rPr>
                <w:rFonts w:ascii="Times New Roman" w:cs="Times New Roman" w:eastAsia="Times New Roman" w:hAnsi="Times New Roman"/>
                <w:sz w:val="16"/>
                <w:szCs w:val="16"/>
                <w:color w:val="auto"/>
              </w:rPr>
              <w:t>Professional and consulting fees</w:t>
            </w:r>
            <w:r>
              <w:rPr>
                <w:rFonts w:ascii="Times New Roman" w:cs="Times New Roman" w:eastAsia="Times New Roman" w:hAnsi="Times New Roman"/>
                <w:sz w:val="23"/>
                <w:szCs w:val="23"/>
                <w:color w:val="auto"/>
                <w:vertAlign w:val="superscript"/>
              </w:rPr>
              <w:t>(1)</w:t>
            </w:r>
          </w:p>
        </w:tc>
        <w:tc>
          <w:tcPr>
            <w:tcW w:w="560" w:type="dxa"/>
            <w:vAlign w:val="bottom"/>
            <w:shd w:val="clear" w:color="auto" w:fill="C7EAF2"/>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shd w:val="clear" w:color="auto" w:fill="C7EAF2"/>
          </w:tcPr>
          <w:p>
            <w:pPr>
              <w:spacing w:after="0"/>
              <w:rPr>
                <w:sz w:val="17"/>
                <w:szCs w:val="17"/>
                <w:color w:val="auto"/>
              </w:rPr>
            </w:pPr>
          </w:p>
        </w:tc>
        <w:tc>
          <w:tcPr>
            <w:tcW w:w="100" w:type="dxa"/>
            <w:vAlign w:val="bottom"/>
            <w:shd w:val="clear" w:color="auto" w:fill="C7EAF2"/>
          </w:tcPr>
          <w:p>
            <w:pPr>
              <w:spacing w:after="0"/>
              <w:rPr>
                <w:sz w:val="17"/>
                <w:szCs w:val="17"/>
                <w:color w:val="auto"/>
              </w:rPr>
            </w:pPr>
          </w:p>
        </w:tc>
        <w:tc>
          <w:tcPr>
            <w:tcW w:w="660" w:type="dxa"/>
            <w:vAlign w:val="bottom"/>
            <w:shd w:val="clear" w:color="auto" w:fill="C7EAF2"/>
          </w:tcPr>
          <w:p>
            <w:pPr>
              <w:spacing w:after="0"/>
              <w:rPr>
                <w:sz w:val="17"/>
                <w:szCs w:val="17"/>
                <w:color w:val="auto"/>
              </w:rPr>
            </w:pPr>
          </w:p>
        </w:tc>
        <w:tc>
          <w:tcPr>
            <w:tcW w:w="4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6,795</w:t>
            </w:r>
          </w:p>
        </w:tc>
        <w:tc>
          <w:tcPr>
            <w:tcW w:w="40" w:type="dxa"/>
            <w:vAlign w:val="bottom"/>
            <w:shd w:val="clear" w:color="auto" w:fill="C7EAF2"/>
          </w:tcPr>
          <w:p>
            <w:pPr>
              <w:spacing w:after="0"/>
              <w:rPr>
                <w:sz w:val="17"/>
                <w:szCs w:val="17"/>
                <w:color w:val="auto"/>
              </w:rPr>
            </w:pPr>
          </w:p>
        </w:tc>
        <w:tc>
          <w:tcPr>
            <w:tcW w:w="320" w:type="dxa"/>
            <w:vAlign w:val="bottom"/>
            <w:shd w:val="clear" w:color="auto" w:fill="C7EAF2"/>
          </w:tcPr>
          <w:p>
            <w:pPr>
              <w:spacing w:after="0"/>
              <w:rPr>
                <w:sz w:val="17"/>
                <w:szCs w:val="17"/>
                <w:color w:val="auto"/>
              </w:rPr>
            </w:pPr>
          </w:p>
        </w:tc>
        <w:tc>
          <w:tcPr>
            <w:tcW w:w="1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7EAF2"/>
          </w:tcPr>
          <w:p>
            <w:pPr>
              <w:spacing w:after="0"/>
              <w:rPr>
                <w:sz w:val="17"/>
                <w:szCs w:val="17"/>
                <w:color w:val="auto"/>
              </w:rPr>
            </w:pPr>
          </w:p>
        </w:tc>
        <w:tc>
          <w:tcPr>
            <w:tcW w:w="160" w:type="dxa"/>
            <w:vAlign w:val="bottom"/>
            <w:shd w:val="clear" w:color="auto" w:fill="C7EAF2"/>
          </w:tcPr>
          <w:p>
            <w:pPr>
              <w:spacing w:after="0"/>
              <w:rPr>
                <w:sz w:val="17"/>
                <w:szCs w:val="17"/>
                <w:color w:val="auto"/>
              </w:rPr>
            </w:pPr>
          </w:p>
        </w:tc>
        <w:tc>
          <w:tcPr>
            <w:tcW w:w="620" w:type="dxa"/>
            <w:vAlign w:val="bottom"/>
            <w:shd w:val="clear" w:color="auto" w:fill="C7EAF2"/>
          </w:tcPr>
          <w:p>
            <w:pPr>
              <w:spacing w:after="0"/>
              <w:rPr>
                <w:sz w:val="17"/>
                <w:szCs w:val="17"/>
                <w:color w:val="auto"/>
              </w:rPr>
            </w:pPr>
          </w:p>
        </w:tc>
        <w:tc>
          <w:tcPr>
            <w:tcW w:w="2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17"/>
                <w:szCs w:val="17"/>
                <w:color w:val="auto"/>
              </w:rPr>
            </w:pPr>
          </w:p>
        </w:tc>
        <w:tc>
          <w:tcPr>
            <w:tcW w:w="160" w:type="dxa"/>
            <w:vAlign w:val="bottom"/>
            <w:shd w:val="clear" w:color="auto" w:fill="C7EAF2"/>
          </w:tcPr>
          <w:p>
            <w:pPr>
              <w:spacing w:after="0"/>
              <w:rPr>
                <w:sz w:val="17"/>
                <w:szCs w:val="17"/>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10,697</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 xml:space="preserve">Investor relations </w:t>
            </w:r>
            <w:r>
              <w:rPr>
                <w:rFonts w:ascii="Times New Roman" w:cs="Times New Roman" w:eastAsia="Times New Roman" w:hAnsi="Times New Roman"/>
                <w:sz w:val="24"/>
                <w:szCs w:val="24"/>
                <w:color w:val="auto"/>
                <w:vertAlign w:val="superscript"/>
              </w:rPr>
              <w:t>(2)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1,514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6,204</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Office and sundry</w:t>
            </w:r>
          </w:p>
        </w:tc>
        <w:tc>
          <w:tcPr>
            <w:tcW w:w="5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660" w:type="dxa"/>
            <w:vAlign w:val="bottom"/>
            <w:shd w:val="clear" w:color="auto" w:fill="C7EAF2"/>
          </w:tcPr>
          <w:p>
            <w:pPr>
              <w:spacing w:after="0"/>
              <w:rPr>
                <w:sz w:val="18"/>
                <w:szCs w:val="18"/>
                <w:color w:val="auto"/>
              </w:rPr>
            </w:pPr>
          </w:p>
        </w:tc>
        <w:tc>
          <w:tcPr>
            <w:tcW w:w="4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4,926</w:t>
            </w:r>
          </w:p>
        </w:tc>
        <w:tc>
          <w:tcPr>
            <w:tcW w:w="40" w:type="dxa"/>
            <w:vAlign w:val="bottom"/>
            <w:shd w:val="clear" w:color="auto" w:fill="C7EAF2"/>
          </w:tcPr>
          <w:p>
            <w:pPr>
              <w:spacing w:after="0"/>
              <w:rPr>
                <w:sz w:val="18"/>
                <w:szCs w:val="18"/>
                <w:color w:val="auto"/>
              </w:rPr>
            </w:pPr>
          </w:p>
        </w:tc>
        <w:tc>
          <w:tcPr>
            <w:tcW w:w="3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620" w:type="dxa"/>
            <w:vAlign w:val="bottom"/>
            <w:shd w:val="clear" w:color="auto" w:fill="C7EAF2"/>
          </w:tcPr>
          <w:p>
            <w:pPr>
              <w:spacing w:after="0"/>
              <w:rPr>
                <w:sz w:val="18"/>
                <w:szCs w:val="18"/>
                <w:color w:val="auto"/>
              </w:rPr>
            </w:pPr>
          </w:p>
        </w:tc>
        <w:tc>
          <w:tcPr>
            <w:tcW w:w="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Salaries and wages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5,921</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3,412</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Director fees</w:t>
            </w:r>
          </w:p>
        </w:tc>
        <w:tc>
          <w:tcPr>
            <w:tcW w:w="5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660" w:type="dxa"/>
            <w:vAlign w:val="bottom"/>
            <w:shd w:val="clear" w:color="auto" w:fill="C7EAF2"/>
          </w:tcPr>
          <w:p>
            <w:pPr>
              <w:spacing w:after="0"/>
              <w:rPr>
                <w:sz w:val="18"/>
                <w:szCs w:val="18"/>
                <w:color w:val="auto"/>
              </w:rPr>
            </w:pPr>
          </w:p>
        </w:tc>
        <w:tc>
          <w:tcPr>
            <w:tcW w:w="4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788</w:t>
            </w:r>
          </w:p>
        </w:tc>
        <w:tc>
          <w:tcPr>
            <w:tcW w:w="40" w:type="dxa"/>
            <w:vAlign w:val="bottom"/>
            <w:shd w:val="clear" w:color="auto" w:fill="C7EAF2"/>
          </w:tcPr>
          <w:p>
            <w:pPr>
              <w:spacing w:after="0"/>
              <w:rPr>
                <w:sz w:val="18"/>
                <w:szCs w:val="18"/>
                <w:color w:val="auto"/>
              </w:rPr>
            </w:pPr>
          </w:p>
        </w:tc>
        <w:tc>
          <w:tcPr>
            <w:tcW w:w="3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620" w:type="dxa"/>
            <w:vAlign w:val="bottom"/>
            <w:shd w:val="clear" w:color="auto" w:fill="C7EAF2"/>
          </w:tcPr>
          <w:p>
            <w:pPr>
              <w:spacing w:after="0"/>
              <w:rPr>
                <w:sz w:val="18"/>
                <w:szCs w:val="18"/>
                <w:color w:val="auto"/>
              </w:rPr>
            </w:pPr>
          </w:p>
        </w:tc>
        <w:tc>
          <w:tcPr>
            <w:tcW w:w="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404</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8,596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33,370</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Transfer agent and filing fees</w:t>
            </w:r>
          </w:p>
        </w:tc>
        <w:tc>
          <w:tcPr>
            <w:tcW w:w="5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660" w:type="dxa"/>
            <w:vAlign w:val="bottom"/>
            <w:shd w:val="clear" w:color="auto" w:fill="C7EAF2"/>
          </w:tcPr>
          <w:p>
            <w:pPr>
              <w:spacing w:after="0"/>
              <w:rPr>
                <w:sz w:val="18"/>
                <w:szCs w:val="18"/>
                <w:color w:val="auto"/>
              </w:rPr>
            </w:pPr>
          </w:p>
        </w:tc>
        <w:tc>
          <w:tcPr>
            <w:tcW w:w="4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378</w:t>
            </w:r>
          </w:p>
        </w:tc>
        <w:tc>
          <w:tcPr>
            <w:tcW w:w="40" w:type="dxa"/>
            <w:vAlign w:val="bottom"/>
            <w:shd w:val="clear" w:color="auto" w:fill="C7EAF2"/>
          </w:tcPr>
          <w:p>
            <w:pPr>
              <w:spacing w:after="0"/>
              <w:rPr>
                <w:sz w:val="18"/>
                <w:szCs w:val="18"/>
                <w:color w:val="auto"/>
              </w:rPr>
            </w:pPr>
          </w:p>
        </w:tc>
        <w:tc>
          <w:tcPr>
            <w:tcW w:w="3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620" w:type="dxa"/>
            <w:vAlign w:val="bottom"/>
            <w:shd w:val="clear" w:color="auto" w:fill="C7EAF2"/>
          </w:tcPr>
          <w:p>
            <w:pPr>
              <w:spacing w:after="0"/>
              <w:rPr>
                <w:sz w:val="18"/>
                <w:szCs w:val="18"/>
                <w:color w:val="auto"/>
              </w:rPr>
            </w:pPr>
          </w:p>
        </w:tc>
        <w:tc>
          <w:tcPr>
            <w:tcW w:w="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5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Travel expenses</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600</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46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560" w:type="dxa"/>
            <w:vAlign w:val="bottom"/>
            <w:tcBorders>
              <w:bottom w:val="single" w:sz="8" w:color="auto"/>
            </w:tcBorders>
            <w:shd w:val="clear" w:color="auto" w:fill="C7EAF2"/>
          </w:tcPr>
          <w:p>
            <w:pPr>
              <w:spacing w:after="0"/>
              <w:rPr>
                <w:sz w:val="18"/>
                <w:szCs w:val="18"/>
                <w:color w:val="auto"/>
              </w:rPr>
            </w:pPr>
          </w:p>
        </w:tc>
        <w:tc>
          <w:tcPr>
            <w:tcW w:w="160" w:type="dxa"/>
            <w:vAlign w:val="bottom"/>
            <w:tcBorders>
              <w:bottom w:val="single" w:sz="8" w:color="auto"/>
            </w:tcBorders>
            <w:shd w:val="clear" w:color="auto" w:fill="C7EAF2"/>
          </w:tcPr>
          <w:p>
            <w:pPr>
              <w:spacing w:after="0"/>
              <w:rPr>
                <w:sz w:val="18"/>
                <w:szCs w:val="18"/>
                <w:color w:val="auto"/>
              </w:rPr>
            </w:pPr>
          </w:p>
        </w:tc>
        <w:tc>
          <w:tcPr>
            <w:tcW w:w="100" w:type="dxa"/>
            <w:vAlign w:val="bottom"/>
            <w:tcBorders>
              <w:bottom w:val="single" w:sz="8" w:color="auto"/>
            </w:tcBorders>
            <w:shd w:val="clear" w:color="auto" w:fill="C7EAF2"/>
          </w:tcPr>
          <w:p>
            <w:pPr>
              <w:spacing w:after="0"/>
              <w:rPr>
                <w:sz w:val="18"/>
                <w:szCs w:val="18"/>
                <w:color w:val="auto"/>
              </w:rPr>
            </w:pPr>
          </w:p>
        </w:tc>
        <w:tc>
          <w:tcPr>
            <w:tcW w:w="660" w:type="dxa"/>
            <w:vAlign w:val="bottom"/>
            <w:tcBorders>
              <w:bottom w:val="single" w:sz="8" w:color="auto"/>
            </w:tcBorders>
            <w:shd w:val="clear" w:color="auto" w:fill="C7EAF2"/>
          </w:tcPr>
          <w:p>
            <w:pPr>
              <w:spacing w:after="0"/>
              <w:rPr>
                <w:sz w:val="18"/>
                <w:szCs w:val="18"/>
                <w:color w:val="auto"/>
              </w:rPr>
            </w:pPr>
          </w:p>
        </w:tc>
        <w:tc>
          <w:tcPr>
            <w:tcW w:w="140" w:type="dxa"/>
            <w:vAlign w:val="bottom"/>
            <w:tcBorders>
              <w:bottom w:val="single" w:sz="8" w:color="auto"/>
            </w:tcBorders>
            <w:shd w:val="clear" w:color="auto" w:fill="C7EAF2"/>
          </w:tcPr>
          <w:p>
            <w:pPr>
              <w:spacing w:after="0"/>
              <w:rPr>
                <w:sz w:val="18"/>
                <w:szCs w:val="18"/>
                <w:color w:val="auto"/>
              </w:rPr>
            </w:pPr>
          </w:p>
        </w:tc>
        <w:tc>
          <w:tcPr>
            <w:tcW w:w="2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0" w:type="dxa"/>
            <w:vAlign w:val="bottom"/>
            <w:tcBorders>
              <w:bottom w:val="single" w:sz="8" w:color="auto"/>
            </w:tcBorders>
            <w:shd w:val="clear" w:color="auto" w:fill="C7EAF2"/>
          </w:tcPr>
          <w:p>
            <w:pPr>
              <w:spacing w:after="0"/>
              <w:rPr>
                <w:sz w:val="18"/>
                <w:szCs w:val="18"/>
                <w:color w:val="auto"/>
              </w:rPr>
            </w:pPr>
          </w:p>
        </w:tc>
        <w:tc>
          <w:tcPr>
            <w:tcW w:w="320" w:type="dxa"/>
            <w:vAlign w:val="bottom"/>
            <w:shd w:val="clear" w:color="auto" w:fill="C7EAF2"/>
          </w:tcPr>
          <w:p>
            <w:pPr>
              <w:spacing w:after="0"/>
              <w:rPr>
                <w:sz w:val="18"/>
                <w:szCs w:val="18"/>
                <w:color w:val="auto"/>
              </w:rPr>
            </w:pPr>
          </w:p>
        </w:tc>
        <w:tc>
          <w:tcPr>
            <w:tcW w:w="120" w:type="dxa"/>
            <w:vAlign w:val="bottom"/>
            <w:tcBorders>
              <w:bottom w:val="single" w:sz="8" w:color="auto"/>
            </w:tcBorders>
            <w:shd w:val="clear" w:color="auto" w:fill="C7EAF2"/>
          </w:tcPr>
          <w:p>
            <w:pPr>
              <w:spacing w:after="0"/>
              <w:rPr>
                <w:sz w:val="18"/>
                <w:szCs w:val="18"/>
                <w:color w:val="auto"/>
              </w:rPr>
            </w:pPr>
          </w:p>
        </w:tc>
        <w:tc>
          <w:tcPr>
            <w:tcW w:w="140" w:type="dxa"/>
            <w:vAlign w:val="bottom"/>
            <w:tcBorders>
              <w:bottom w:val="single" w:sz="8" w:color="auto"/>
            </w:tcBorders>
            <w:shd w:val="clear" w:color="auto" w:fill="C7EAF2"/>
          </w:tcPr>
          <w:p>
            <w:pPr>
              <w:spacing w:after="0"/>
              <w:rPr>
                <w:sz w:val="18"/>
                <w:szCs w:val="18"/>
                <w:color w:val="auto"/>
              </w:rPr>
            </w:pPr>
          </w:p>
        </w:tc>
        <w:tc>
          <w:tcPr>
            <w:tcW w:w="160" w:type="dxa"/>
            <w:vAlign w:val="bottom"/>
            <w:tcBorders>
              <w:bottom w:val="single" w:sz="8" w:color="auto"/>
            </w:tcBorders>
            <w:shd w:val="clear" w:color="auto" w:fill="C7EAF2"/>
          </w:tcPr>
          <w:p>
            <w:pPr>
              <w:spacing w:after="0"/>
              <w:rPr>
                <w:sz w:val="18"/>
                <w:szCs w:val="18"/>
                <w:color w:val="auto"/>
              </w:rPr>
            </w:pPr>
          </w:p>
        </w:tc>
        <w:tc>
          <w:tcPr>
            <w:tcW w:w="620" w:type="dxa"/>
            <w:vAlign w:val="bottom"/>
            <w:tcBorders>
              <w:bottom w:val="single" w:sz="8" w:color="auto"/>
            </w:tcBorders>
            <w:shd w:val="clear" w:color="auto" w:fill="C7EAF2"/>
          </w:tcPr>
          <w:p>
            <w:pPr>
              <w:spacing w:after="0"/>
              <w:rPr>
                <w:sz w:val="18"/>
                <w:szCs w:val="18"/>
                <w:color w:val="auto"/>
              </w:rPr>
            </w:pPr>
          </w:p>
        </w:tc>
        <w:tc>
          <w:tcPr>
            <w:tcW w:w="20" w:type="dxa"/>
            <w:vAlign w:val="bottom"/>
            <w:tcBorders>
              <w:bottom w:val="single" w:sz="8" w:color="auto"/>
            </w:tcBorders>
            <w:shd w:val="clear" w:color="auto" w:fill="C7EAF2"/>
          </w:tcPr>
          <w:p>
            <w:pPr>
              <w:spacing w:after="0"/>
              <w:rPr>
                <w:sz w:val="18"/>
                <w:szCs w:val="18"/>
                <w:color w:val="auto"/>
              </w:rPr>
            </w:pPr>
          </w:p>
        </w:tc>
        <w:tc>
          <w:tcPr>
            <w:tcW w:w="120" w:type="dxa"/>
            <w:vAlign w:val="bottom"/>
            <w:tcBorders>
              <w:bottom w:val="single" w:sz="8" w:color="auto"/>
            </w:tcBorders>
            <w:shd w:val="clear" w:color="auto" w:fill="C7EAF2"/>
          </w:tcPr>
          <w:p>
            <w:pPr>
              <w:spacing w:after="0"/>
              <w:rPr>
                <w:sz w:val="18"/>
                <w:szCs w:val="18"/>
                <w:color w:val="auto"/>
              </w:rPr>
            </w:pPr>
          </w:p>
        </w:tc>
        <w:tc>
          <w:tcPr>
            <w:tcW w:w="160" w:type="dxa"/>
            <w:vAlign w:val="bottom"/>
            <w:tcBorders>
              <w:bottom w:val="single" w:sz="8" w:color="auto"/>
            </w:tcBorders>
            <w:shd w:val="clear" w:color="auto" w:fill="C7EAF2"/>
          </w:tcPr>
          <w:p>
            <w:pPr>
              <w:spacing w:after="0"/>
              <w:rPr>
                <w:sz w:val="18"/>
                <w:szCs w:val="18"/>
                <w:color w:val="auto"/>
              </w:rPr>
            </w:pPr>
          </w:p>
        </w:tc>
        <w:tc>
          <w:tcPr>
            <w:tcW w:w="5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tc>
        <w:tc>
          <w:tcPr>
            <w:tcW w:w="5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29,518</w:t>
            </w:r>
          </w:p>
        </w:tc>
        <w:tc>
          <w:tcPr>
            <w:tcW w:w="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56,583</w:t>
            </w:r>
          </w:p>
        </w:tc>
        <w:tc>
          <w:tcPr>
            <w:tcW w:w="0" w:type="dxa"/>
            <w:vAlign w:val="bottom"/>
          </w:tcPr>
          <w:p>
            <w:pPr>
              <w:spacing w:after="0"/>
              <w:rPr>
                <w:sz w:val="1"/>
                <w:szCs w:val="1"/>
                <w:color w:val="auto"/>
              </w:rPr>
            </w:pPr>
          </w:p>
        </w:tc>
      </w:tr>
      <w:tr>
        <w:trPr>
          <w:trHeight w:val="97"/>
        </w:trPr>
        <w:tc>
          <w:tcPr>
            <w:tcW w:w="3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40"/>
        <w:spacing w:after="0"/>
        <w:tabs>
          <w:tab w:leader="none" w:pos="660" w:val="left"/>
        </w:tabs>
        <w:numPr>
          <w:ilvl w:val="1"/>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Professional and consulting fees include $1 million of equity (RSU) settled expenses in 2022 (2021: Nil).</w:t>
      </w:r>
    </w:p>
    <w:p>
      <w:pPr>
        <w:spacing w:after="0" w:line="135" w:lineRule="exact"/>
        <w:rPr>
          <w:rFonts w:ascii="Times New Roman" w:cs="Times New Roman" w:eastAsia="Times New Roman" w:hAnsi="Times New Roman"/>
          <w:sz w:val="26"/>
          <w:szCs w:val="26"/>
          <w:color w:val="auto"/>
          <w:vertAlign w:val="superscript"/>
        </w:rPr>
      </w:pPr>
    </w:p>
    <w:p>
      <w:pPr>
        <w:ind w:left="660" w:hanging="340"/>
        <w:spacing w:after="0" w:line="223" w:lineRule="auto"/>
        <w:tabs>
          <w:tab w:leader="none" w:pos="660" w:val="left"/>
        </w:tabs>
        <w:numPr>
          <w:ilvl w:val="1"/>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Investor relations include $0.3 million of equity (RSU) settled expenses in 2022 (2021: $0.2 million).</w:t>
      </w:r>
    </w:p>
    <w:p>
      <w:pPr>
        <w:spacing w:after="0" w:line="180" w:lineRule="exact"/>
        <w:rPr>
          <w:rFonts w:ascii="Times New Roman" w:cs="Times New Roman" w:eastAsia="Times New Roman" w:hAnsi="Times New Roman"/>
          <w:sz w:val="26"/>
          <w:szCs w:val="26"/>
          <w:color w:val="auto"/>
          <w:vertAlign w:val="superscript"/>
        </w:rPr>
      </w:pPr>
    </w:p>
    <w:p>
      <w:pPr>
        <w:ind w:left="320" w:hanging="311"/>
        <w:spacing w:after="0"/>
        <w:tabs>
          <w:tab w:leader="none" w:pos="32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Debentures</w:t>
      </w:r>
    </w:p>
    <w:p>
      <w:pPr>
        <w:spacing w:after="0" w:line="221" w:lineRule="exact"/>
        <w:rPr>
          <w:rFonts w:ascii="Times New Roman" w:cs="Times New Roman" w:eastAsia="Times New Roman" w:hAnsi="Times New Roman"/>
          <w:sz w:val="17"/>
          <w:szCs w:val="17"/>
          <w:b w:val="1"/>
          <w:bCs w:val="1"/>
          <w:color w:val="auto"/>
        </w:rPr>
      </w:pPr>
    </w:p>
    <w:p>
      <w:pPr>
        <w:ind w:left="32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February 2021, the Company issued a total of $26 million in convertible debentures. The convertible debentures had an interest rate of 7.0% per annum, compounded annually, and had a maturity date of 24 months from the date of issuance.</w:t>
      </w:r>
    </w:p>
    <w:p>
      <w:pPr>
        <w:spacing w:after="0" w:line="136" w:lineRule="exact"/>
        <w:rPr>
          <w:rFonts w:ascii="Times New Roman" w:cs="Times New Roman" w:eastAsia="Times New Roman" w:hAnsi="Times New Roman"/>
          <w:sz w:val="17"/>
          <w:szCs w:val="17"/>
          <w:b w:val="1"/>
          <w:bCs w:val="1"/>
          <w:color w:val="auto"/>
        </w:rPr>
      </w:pPr>
    </w:p>
    <w:p>
      <w:pPr>
        <w:ind w:left="320"/>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September 9, 2021, the outstanding debentures were converted and as a result, the Company issued 3,068,673 common shares consisting of $25.5 million and $1.0 million of principal and accrued interest, respectively.</w:t>
      </w:r>
    </w:p>
    <w:p>
      <w:pPr>
        <w:spacing w:after="0" w:line="146" w:lineRule="exact"/>
        <w:rPr>
          <w:rFonts w:ascii="Times New Roman" w:cs="Times New Roman" w:eastAsia="Times New Roman" w:hAnsi="Times New Roman"/>
          <w:sz w:val="17"/>
          <w:szCs w:val="17"/>
          <w:b w:val="1"/>
          <w:bCs w:val="1"/>
          <w:color w:val="auto"/>
        </w:rPr>
      </w:pPr>
    </w:p>
    <w:p>
      <w:pPr>
        <w:ind w:left="320" w:hanging="311"/>
        <w:spacing w:after="0"/>
        <w:tabs>
          <w:tab w:leader="none" w:pos="32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221" w:lineRule="exact"/>
        <w:rPr>
          <w:rFonts w:ascii="Times New Roman" w:cs="Times New Roman" w:eastAsia="Times New Roman" w:hAnsi="Times New Roman"/>
          <w:sz w:val="17"/>
          <w:szCs w:val="17"/>
          <w:b w:val="1"/>
          <w:bCs w:val="1"/>
          <w:color w:val="auto"/>
        </w:rPr>
      </w:pPr>
    </w:p>
    <w:p>
      <w:pPr>
        <w:ind w:left="320" w:firstLine="1"/>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accounting purposes, the Company was considered to have issued the Public Warrants and Private Warrants as part of the Business Combination (Note 6).</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43" w:name="page144"/>
    <w:bookmarkEnd w:id="143"/>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31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314">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218" w:lineRule="exact"/>
        <w:rPr>
          <w:sz w:val="20"/>
          <w:szCs w:val="20"/>
          <w:color w:val="auto"/>
        </w:rPr>
      </w:pPr>
    </w:p>
    <w:p>
      <w:pPr>
        <w:jc w:val="both"/>
        <w:ind w:left="200" w:firstLine="1"/>
        <w:spacing w:after="0" w:line="263" w:lineRule="auto"/>
        <w:rPr>
          <w:sz w:val="20"/>
          <w:szCs w:val="20"/>
          <w:color w:val="auto"/>
        </w:rPr>
      </w:pPr>
      <w:r>
        <w:rPr>
          <w:rFonts w:ascii="Times New Roman" w:cs="Times New Roman" w:eastAsia="Times New Roman" w:hAnsi="Times New Roman"/>
          <w:sz w:val="17"/>
          <w:szCs w:val="17"/>
          <w:color w:val="auto"/>
        </w:rPr>
        <w:t>Each whole Public Warrant entitles the holder to purchase one TMC common share at a price of $11.50 per share beginning on October 9, 2021, subject to restrictions described below. As at December 31, 2022,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167"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17"/>
          <w:szCs w:val="17"/>
          <w:color w:val="auto"/>
        </w:rPr>
        <w:t>The Company will not be obligated to deliver any common shares pursuant to the exercise of a Public Warrant and will have no obligation to settle such warrant exercise unless a registration statement under the Securities Act of 1933, as amended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On July 1, 2022, the Company filed a post-effective amendment to the Registration Statement on Form S-1 with respect to the common shares underlying the Public Warrants and Private Warrants, which was declared effective by the SEC on July 12, 2022.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Company may call the Public Warrants for redemption:</w:t>
      </w:r>
    </w:p>
    <w:p>
      <w:pPr>
        <w:spacing w:after="0" w:line="219" w:lineRule="exact"/>
        <w:rPr>
          <w:sz w:val="20"/>
          <w:szCs w:val="20"/>
          <w:color w:val="auto"/>
        </w:rPr>
      </w:pPr>
    </w:p>
    <w:p>
      <w:pPr>
        <w:ind w:left="840" w:hanging="304"/>
        <w:spacing w:after="0"/>
        <w:tabs>
          <w:tab w:leader="none" w:pos="8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11" w:lineRule="exact"/>
        <w:rPr>
          <w:rFonts w:ascii="Times New Roman" w:cs="Times New Roman" w:eastAsia="Times New Roman" w:hAnsi="Times New Roman"/>
          <w:sz w:val="17"/>
          <w:szCs w:val="17"/>
          <w:color w:val="auto"/>
        </w:rPr>
      </w:pPr>
    </w:p>
    <w:p>
      <w:pPr>
        <w:ind w:left="840" w:hanging="304"/>
        <w:spacing w:after="0"/>
        <w:tabs>
          <w:tab w:leader="none" w:pos="8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11" w:lineRule="exact"/>
        <w:rPr>
          <w:rFonts w:ascii="Times New Roman" w:cs="Times New Roman" w:eastAsia="Times New Roman" w:hAnsi="Times New Roman"/>
          <w:sz w:val="17"/>
          <w:szCs w:val="17"/>
          <w:color w:val="auto"/>
        </w:rPr>
      </w:pPr>
    </w:p>
    <w:p>
      <w:pPr>
        <w:ind w:left="840" w:hanging="304"/>
        <w:spacing w:after="0"/>
        <w:tabs>
          <w:tab w:leader="none" w:pos="8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minimum of 30 days’ prior written notice of redemption; and</w:t>
      </w:r>
    </w:p>
    <w:p>
      <w:pPr>
        <w:spacing w:after="0" w:line="11" w:lineRule="exact"/>
        <w:rPr>
          <w:rFonts w:ascii="Times New Roman" w:cs="Times New Roman" w:eastAsia="Times New Roman" w:hAnsi="Times New Roman"/>
          <w:sz w:val="17"/>
          <w:szCs w:val="17"/>
          <w:color w:val="auto"/>
        </w:rPr>
      </w:pPr>
    </w:p>
    <w:p>
      <w:pPr>
        <w:jc w:val="both"/>
        <w:ind w:left="840" w:hanging="304"/>
        <w:spacing w:after="0" w:line="273" w:lineRule="auto"/>
        <w:tabs>
          <w:tab w:leader="none" w:pos="84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370"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55" w:lineRule="exact"/>
        <w:rPr>
          <w:sz w:val="20"/>
          <w:szCs w:val="20"/>
          <w:color w:val="auto"/>
        </w:rPr>
      </w:pPr>
    </w:p>
    <w:p>
      <w:pPr>
        <w:jc w:val="both"/>
        <w:ind w:left="840" w:hanging="304"/>
        <w:spacing w:after="0" w:line="254" w:lineRule="auto"/>
        <w:tabs>
          <w:tab w:leader="none" w:pos="8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w:t>
      </w:r>
    </w:p>
    <w:p>
      <w:pPr>
        <w:spacing w:after="0" w:line="1" w:lineRule="exact"/>
        <w:rPr>
          <w:rFonts w:ascii="Times New Roman" w:cs="Times New Roman" w:eastAsia="Times New Roman" w:hAnsi="Times New Roman"/>
          <w:sz w:val="17"/>
          <w:szCs w:val="17"/>
          <w:color w:val="auto"/>
        </w:rPr>
      </w:pPr>
    </w:p>
    <w:p>
      <w:pPr>
        <w:ind w:left="8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 the Fair Market Value, and</w:t>
      </w:r>
    </w:p>
    <w:p>
      <w:pPr>
        <w:spacing w:after="0" w:line="11" w:lineRule="exact"/>
        <w:rPr>
          <w:rFonts w:ascii="Times New Roman" w:cs="Times New Roman" w:eastAsia="Times New Roman" w:hAnsi="Times New Roman"/>
          <w:sz w:val="17"/>
          <w:szCs w:val="17"/>
          <w:color w:val="auto"/>
        </w:rPr>
      </w:pPr>
    </w:p>
    <w:p>
      <w:pPr>
        <w:ind w:left="840" w:hanging="303"/>
        <w:spacing w:after="0"/>
        <w:tabs>
          <w:tab w:leader="none" w:pos="8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0.365.</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As at December 31, 2022, the value of outstanding Public Warrants of $19.5 million was recorded in additional paid in capital.</w:t>
      </w:r>
    </w:p>
    <w:p>
      <w:pPr>
        <w:spacing w:after="0" w:line="200" w:lineRule="exact"/>
        <w:rPr>
          <w:sz w:val="20"/>
          <w:szCs w:val="20"/>
          <w:color w:val="auto"/>
        </w:rPr>
      </w:pPr>
    </w:p>
    <w:p>
      <w:pPr>
        <w:spacing w:after="0" w:line="2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31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316">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218"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As at December 31, 2022,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60" w:lineRule="exact"/>
        <w:rPr>
          <w:sz w:val="20"/>
          <w:szCs w:val="20"/>
          <w:color w:val="auto"/>
        </w:rPr>
      </w:pPr>
    </w:p>
    <w:p>
      <w:pPr>
        <w:ind w:left="960" w:hanging="304"/>
        <w:spacing w:after="0"/>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Private Warrants are exercisable for cash or on a cashless basis, at the holder’s option, and</w:t>
      </w:r>
    </w:p>
    <w:p>
      <w:pPr>
        <w:spacing w:after="0" w:line="11" w:lineRule="exact"/>
        <w:rPr>
          <w:rFonts w:ascii="Times New Roman" w:cs="Times New Roman" w:eastAsia="Times New Roman" w:hAnsi="Times New Roman"/>
          <w:sz w:val="17"/>
          <w:szCs w:val="17"/>
          <w:color w:val="auto"/>
        </w:rPr>
      </w:pPr>
    </w:p>
    <w:p>
      <w:pPr>
        <w:ind w:left="960" w:hanging="304"/>
        <w:spacing w:after="0"/>
        <w:tabs>
          <w:tab w:leader="none" w:pos="9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Private Warrants are not redeemable by the Company.</w:t>
      </w:r>
    </w:p>
    <w:p>
      <w:pPr>
        <w:spacing w:after="0" w:line="219"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60" w:lineRule="exact"/>
        <w:rPr>
          <w:sz w:val="20"/>
          <w:szCs w:val="20"/>
          <w:color w:val="auto"/>
        </w:rPr>
      </w:pPr>
    </w:p>
    <w:p>
      <w:pPr>
        <w:jc w:val="both"/>
        <w:ind w:left="960" w:hanging="304"/>
        <w:spacing w:after="0" w:line="269" w:lineRule="auto"/>
        <w:tabs>
          <w:tab w:leader="none" w:pos="9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61" w:lineRule="exact"/>
        <w:rPr>
          <w:sz w:val="20"/>
          <w:szCs w:val="20"/>
          <w:color w:val="auto"/>
        </w:rPr>
      </w:pPr>
    </w:p>
    <w:p>
      <w:pPr>
        <w:jc w:val="both"/>
        <w:ind w:left="320" w:right="20"/>
        <w:spacing w:after="0" w:line="276" w:lineRule="auto"/>
        <w:rPr>
          <w:sz w:val="20"/>
          <w:szCs w:val="20"/>
          <w:color w:val="auto"/>
        </w:rPr>
      </w:pPr>
      <w:r>
        <w:rPr>
          <w:rFonts w:ascii="Times New Roman" w:cs="Times New Roman" w:eastAsia="Times New Roman" w:hAnsi="Times New Roman"/>
          <w:sz w:val="17"/>
          <w:szCs w:val="17"/>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 In December 2021, the Private Warrants were transferred to permitted transferees.</w:t>
      </w:r>
    </w:p>
    <w:p>
      <w:pPr>
        <w:spacing w:after="0" w:line="155"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The Company evaluated the Private Warrants under ASC 815-40, in conjunction with the SEC Statement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warrants should be classified as a liability.</w:t>
      </w:r>
    </w:p>
    <w:p>
      <w:pPr>
        <w:spacing w:after="0" w:line="165"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30-trading day period.</w:t>
      </w:r>
    </w:p>
    <w:p>
      <w:pPr>
        <w:spacing w:after="0" w:line="165" w:lineRule="exact"/>
        <w:rPr>
          <w:sz w:val="20"/>
          <w:szCs w:val="20"/>
          <w:color w:val="auto"/>
        </w:rPr>
      </w:pPr>
    </w:p>
    <w:p>
      <w:pPr>
        <w:jc w:val="both"/>
        <w:ind w:left="320" w:firstLine="37"/>
        <w:spacing w:after="0" w:line="298" w:lineRule="auto"/>
        <w:rPr>
          <w:sz w:val="20"/>
          <w:szCs w:val="20"/>
          <w:color w:val="auto"/>
        </w:rPr>
      </w:pPr>
      <w:r>
        <w:rPr>
          <w:rFonts w:ascii="Times New Roman" w:cs="Times New Roman" w:eastAsia="Times New Roman" w:hAnsi="Times New Roman"/>
          <w:sz w:val="17"/>
          <w:szCs w:val="17"/>
          <w:color w:val="auto"/>
        </w:rPr>
        <w:t>As at December 31, 2022, the fair value of outstanding Private Warrants of $1 million is recorded as warrants liability. The following table presents the changes in the fair value of warrants liability: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376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Warrants liability as at December 31, 2021</w:t>
            </w:r>
          </w:p>
        </w:tc>
        <w:tc>
          <w:tcPr>
            <w:tcW w:w="4000" w:type="dxa"/>
            <w:vAlign w:val="bottom"/>
            <w:tcBorders>
              <w:top w:val="single" w:sz="8" w:color="C7EAF2"/>
            </w:tcBorders>
            <w:shd w:val="clear" w:color="auto" w:fill="C7EAF2"/>
          </w:tcPr>
          <w:p>
            <w:pPr>
              <w:spacing w:after="0"/>
              <w:rPr>
                <w:sz w:val="17"/>
                <w:szCs w:val="17"/>
                <w:color w:val="auto"/>
              </w:rPr>
            </w:pPr>
          </w:p>
        </w:tc>
        <w:tc>
          <w:tcPr>
            <w:tcW w:w="260" w:type="dxa"/>
            <w:vAlign w:val="bottom"/>
            <w:tcBorders>
              <w:top w:val="single" w:sz="8" w:color="auto"/>
            </w:tcBorders>
            <w:shd w:val="clear" w:color="auto" w:fill="C7EAF2"/>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3,126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3760" w:type="dxa"/>
            <w:vAlign w:val="bottom"/>
            <w:tcBorders>
              <w:bottom w:val="single" w:sz="8" w:color="C7EAF2"/>
            </w:tcBorders>
          </w:tcPr>
          <w:p>
            <w:pPr>
              <w:spacing w:after="0"/>
              <w:rPr>
                <w:sz w:val="20"/>
                <w:szCs w:val="20"/>
                <w:color w:val="auto"/>
              </w:rPr>
            </w:pPr>
            <w:r>
              <w:rPr>
                <w:rFonts w:ascii="Times New Roman" w:cs="Times New Roman" w:eastAsia="Times New Roman" w:hAnsi="Times New Roman"/>
                <w:sz w:val="17"/>
                <w:szCs w:val="17"/>
                <w:color w:val="auto"/>
              </w:rPr>
              <w:t>Reduction in fair value of warrants liability</w:t>
            </w:r>
          </w:p>
        </w:tc>
        <w:tc>
          <w:tcPr>
            <w:tcW w:w="4000" w:type="dxa"/>
            <w:vAlign w:val="bottom"/>
            <w:tcBorders>
              <w:bottom w:val="single" w:sz="8" w:color="C7EAF2"/>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0" w:type="dxa"/>
            <w:vAlign w:val="bottom"/>
          </w:tcPr>
          <w:p>
            <w:pPr>
              <w:spacing w:after="0"/>
              <w:rPr>
                <w:sz w:val="19"/>
                <w:szCs w:val="19"/>
                <w:color w:val="auto"/>
              </w:rPr>
            </w:pPr>
          </w:p>
        </w:tc>
        <w:tc>
          <w:tcPr>
            <w:tcW w:w="3760" w:type="dxa"/>
            <w:vAlign w:val="bottom"/>
            <w:tcBorders>
              <w:bottom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Warrants liability as at December 31, 2022</w:t>
            </w:r>
          </w:p>
        </w:tc>
        <w:tc>
          <w:tcPr>
            <w:tcW w:w="4000" w:type="dxa"/>
            <w:vAlign w:val="bottom"/>
            <w:tcBorders>
              <w:bottom w:val="single" w:sz="8" w:color="C7EAF2"/>
            </w:tcBorders>
            <w:shd w:val="clear" w:color="auto" w:fill="C7EAF2"/>
          </w:tcPr>
          <w:p>
            <w:pPr>
              <w:spacing w:after="0"/>
              <w:rPr>
                <w:sz w:val="19"/>
                <w:szCs w:val="19"/>
                <w:color w:val="auto"/>
              </w:rPr>
            </w:pPr>
          </w:p>
        </w:tc>
        <w:tc>
          <w:tcPr>
            <w:tcW w:w="260" w:type="dxa"/>
            <w:vAlign w:val="bottom"/>
            <w:tcBorders>
              <w:bottom w:val="single" w:sz="8" w:color="auto"/>
            </w:tcBorders>
            <w:shd w:val="clear" w:color="auto" w:fill="C7EAF2"/>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983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4000" w:type="dxa"/>
            <w:vAlign w:val="bottom"/>
            <w:vMerge w:val="restart"/>
          </w:tcPr>
          <w:p>
            <w:pPr>
              <w:jc w:val="right"/>
              <w:ind w:right="3054"/>
              <w:spacing w:after="0"/>
              <w:rPr>
                <w:sz w:val="20"/>
                <w:szCs w:val="20"/>
                <w:color w:val="auto"/>
              </w:rPr>
            </w:pPr>
            <w:r>
              <w:rPr>
                <w:rFonts w:ascii="Times New Roman" w:cs="Times New Roman" w:eastAsia="Times New Roman" w:hAnsi="Times New Roman"/>
                <w:sz w:val="17"/>
                <w:szCs w:val="17"/>
                <w:color w:val="auto"/>
              </w:rPr>
              <w:t>135</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9"/>
        </w:trPr>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3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620"/>
          </w:cols>
          <w:pgMar w:left="1320" w:top="1334" w:right="1300"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31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318">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As at December 31, 2022, the fair value of the Private Warrants was estimated using the following assumptions: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57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0"/>
        </w:trPr>
        <w:tc>
          <w:tcPr>
            <w:tcW w:w="572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2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11.50</w:t>
            </w:r>
          </w:p>
        </w:tc>
        <w:tc>
          <w:tcPr>
            <w:tcW w:w="400" w:type="dxa"/>
            <w:vAlign w:val="bottom"/>
            <w:tcBorders>
              <w:top w:val="single" w:sz="8" w:color="C7EAF2"/>
            </w:tcBorders>
            <w:shd w:val="clear" w:color="auto" w:fill="C7EAF2"/>
          </w:tcPr>
          <w:p>
            <w:pPr>
              <w:spacing w:after="0"/>
              <w:rPr>
                <w:sz w:val="17"/>
                <w:szCs w:val="17"/>
                <w:color w:val="auto"/>
              </w:rPr>
            </w:pPr>
          </w:p>
        </w:tc>
        <w:tc>
          <w:tcPr>
            <w:tcW w:w="420" w:type="dxa"/>
            <w:vAlign w:val="bottom"/>
            <w:tcBorders>
              <w:top w:val="single" w:sz="8" w:color="auto"/>
            </w:tcBorders>
            <w:shd w:val="clear" w:color="auto" w:fill="C7EAF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11.50</w:t>
            </w:r>
          </w:p>
        </w:tc>
        <w:tc>
          <w:tcPr>
            <w:tcW w:w="360" w:type="dxa"/>
            <w:vAlign w:val="bottom"/>
            <w:tcBorders>
              <w:top w:val="single" w:sz="8" w:color="C7EAF2"/>
            </w:tcBorders>
            <w:shd w:val="clear" w:color="auto" w:fill="C7EAF2"/>
          </w:tcPr>
          <w:p>
            <w:pPr>
              <w:spacing w:after="0"/>
              <w:rPr>
                <w:sz w:val="17"/>
                <w:szCs w:val="17"/>
                <w:color w:val="auto"/>
              </w:rPr>
            </w:pPr>
          </w:p>
        </w:tc>
      </w:tr>
      <w:tr>
        <w:trPr>
          <w:trHeight w:val="207"/>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Share price</w:t>
            </w:r>
          </w:p>
        </w:tc>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0.77</w:t>
            </w:r>
          </w:p>
        </w:tc>
        <w:tc>
          <w:tcPr>
            <w:tcW w:w="4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360" w:type="dxa"/>
            <w:vAlign w:val="bottom"/>
          </w:tcPr>
          <w:p>
            <w:pPr>
              <w:spacing w:after="0"/>
              <w:rPr>
                <w:sz w:val="18"/>
                <w:szCs w:val="18"/>
                <w:color w:val="auto"/>
              </w:rPr>
            </w:pPr>
          </w:p>
        </w:tc>
      </w:tr>
      <w:tr>
        <w:trPr>
          <w:trHeight w:val="220"/>
        </w:trPr>
        <w:tc>
          <w:tcPr>
            <w:tcW w:w="57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Volatility</w:t>
            </w:r>
          </w:p>
        </w:tc>
        <w:tc>
          <w:tcPr>
            <w:tcW w:w="420" w:type="dxa"/>
            <w:vAlign w:val="bottom"/>
            <w:shd w:val="clear" w:color="auto" w:fill="C7EAF2"/>
          </w:tcPr>
          <w:p>
            <w:pPr>
              <w:spacing w:after="0"/>
              <w:rPr>
                <w:sz w:val="19"/>
                <w:szCs w:val="19"/>
                <w:color w:val="auto"/>
              </w:rPr>
            </w:pPr>
          </w:p>
        </w:tc>
        <w:tc>
          <w:tcPr>
            <w:tcW w:w="1140" w:type="dxa"/>
            <w:vAlign w:val="bottom"/>
            <w:gridSpan w:val="2"/>
            <w:shd w:val="clear" w:color="auto" w:fill="C7EAF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88.05 %</w:t>
            </w:r>
          </w:p>
        </w:tc>
        <w:tc>
          <w:tcPr>
            <w:tcW w:w="420" w:type="dxa"/>
            <w:vAlign w:val="bottom"/>
            <w:shd w:val="clear" w:color="auto" w:fill="C7EAF2"/>
          </w:tcPr>
          <w:p>
            <w:pPr>
              <w:spacing w:after="0"/>
              <w:rPr>
                <w:sz w:val="19"/>
                <w:szCs w:val="19"/>
                <w:color w:val="auto"/>
              </w:rPr>
            </w:pPr>
          </w:p>
        </w:tc>
        <w:tc>
          <w:tcPr>
            <w:tcW w:w="1120" w:type="dxa"/>
            <w:vAlign w:val="bottom"/>
            <w:gridSpan w:val="2"/>
            <w:shd w:val="clear" w:color="auto" w:fill="C7EAF2"/>
          </w:tcPr>
          <w:p>
            <w:pPr>
              <w:jc w:val="right"/>
              <w:ind w:right="220"/>
              <w:spacing w:after="0"/>
              <w:rPr>
                <w:sz w:val="20"/>
                <w:szCs w:val="20"/>
                <w:color w:val="auto"/>
              </w:rPr>
            </w:pPr>
            <w:r>
              <w:rPr>
                <w:rFonts w:ascii="Times New Roman" w:cs="Times New Roman" w:eastAsia="Times New Roman" w:hAnsi="Times New Roman"/>
                <w:sz w:val="17"/>
                <w:szCs w:val="17"/>
                <w:color w:val="auto"/>
              </w:rPr>
              <w:t>64.6 %</w:t>
            </w:r>
          </w:p>
        </w:tc>
      </w:tr>
      <w:tr>
        <w:trPr>
          <w:trHeight w:val="220"/>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Term</w:t>
            </w:r>
          </w:p>
        </w:tc>
        <w:tc>
          <w:tcPr>
            <w:tcW w:w="4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3.69 years</w:t>
            </w:r>
          </w:p>
        </w:tc>
        <w:tc>
          <w:tcPr>
            <w:tcW w:w="4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4.7 years</w:t>
            </w:r>
          </w:p>
        </w:tc>
      </w:tr>
      <w:tr>
        <w:trPr>
          <w:trHeight w:val="220"/>
        </w:trPr>
        <w:tc>
          <w:tcPr>
            <w:tcW w:w="57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420" w:type="dxa"/>
            <w:vAlign w:val="bottom"/>
            <w:shd w:val="clear" w:color="auto" w:fill="C7EAF2"/>
          </w:tcPr>
          <w:p>
            <w:pPr>
              <w:spacing w:after="0"/>
              <w:rPr>
                <w:sz w:val="19"/>
                <w:szCs w:val="19"/>
                <w:color w:val="auto"/>
              </w:rPr>
            </w:pPr>
          </w:p>
        </w:tc>
        <w:tc>
          <w:tcPr>
            <w:tcW w:w="1140" w:type="dxa"/>
            <w:vAlign w:val="bottom"/>
            <w:gridSpan w:val="2"/>
            <w:shd w:val="clear" w:color="auto" w:fill="C7EAF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4.04 %</w:t>
            </w:r>
          </w:p>
        </w:tc>
        <w:tc>
          <w:tcPr>
            <w:tcW w:w="420" w:type="dxa"/>
            <w:vAlign w:val="bottom"/>
            <w:shd w:val="clear" w:color="auto" w:fill="C7EAF2"/>
          </w:tcPr>
          <w:p>
            <w:pPr>
              <w:spacing w:after="0"/>
              <w:rPr>
                <w:sz w:val="19"/>
                <w:szCs w:val="19"/>
                <w:color w:val="auto"/>
              </w:rPr>
            </w:pPr>
          </w:p>
        </w:tc>
        <w:tc>
          <w:tcPr>
            <w:tcW w:w="1120" w:type="dxa"/>
            <w:vAlign w:val="bottom"/>
            <w:gridSpan w:val="2"/>
            <w:shd w:val="clear" w:color="auto" w:fill="C7EAF2"/>
          </w:tcPr>
          <w:p>
            <w:pPr>
              <w:jc w:val="right"/>
              <w:ind w:right="220"/>
              <w:spacing w:after="0"/>
              <w:rPr>
                <w:sz w:val="20"/>
                <w:szCs w:val="20"/>
                <w:color w:val="auto"/>
              </w:rPr>
            </w:pPr>
            <w:r>
              <w:rPr>
                <w:rFonts w:ascii="Times New Roman" w:cs="Times New Roman" w:eastAsia="Times New Roman" w:hAnsi="Times New Roman"/>
                <w:sz w:val="17"/>
                <w:szCs w:val="17"/>
                <w:color w:val="auto"/>
              </w:rPr>
              <w:t>1.2 %</w:t>
            </w:r>
          </w:p>
        </w:tc>
      </w:tr>
      <w:tr>
        <w:trPr>
          <w:trHeight w:val="238"/>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4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0.0 %</w:t>
            </w:r>
          </w:p>
        </w:tc>
        <w:tc>
          <w:tcPr>
            <w:tcW w:w="4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0.0 %</w:t>
            </w:r>
          </w:p>
        </w:tc>
      </w:tr>
    </w:tbl>
    <w:p>
      <w:pPr>
        <w:spacing w:after="0" w:line="165" w:lineRule="exact"/>
        <w:rPr>
          <w:sz w:val="20"/>
          <w:szCs w:val="20"/>
          <w:color w:val="auto"/>
        </w:rPr>
      </w:pPr>
    </w:p>
    <w:p>
      <w:pPr>
        <w:ind w:left="320" w:right="580"/>
        <w:spacing w:after="0" w:line="509" w:lineRule="auto"/>
        <w:rPr>
          <w:sz w:val="20"/>
          <w:szCs w:val="20"/>
          <w:color w:val="auto"/>
        </w:rPr>
      </w:pPr>
      <w:r>
        <w:rPr>
          <w:rFonts w:ascii="Times New Roman" w:cs="Times New Roman" w:eastAsia="Times New Roman" w:hAnsi="Times New Roman"/>
          <w:sz w:val="17"/>
          <w:szCs w:val="17"/>
          <w:color w:val="auto"/>
        </w:rPr>
        <w:t xml:space="preserve">There were no exercises or redemptions of the Public Warrants or Private Warrants during the year ended December 31, 2022. </w:t>
      </w:r>
      <w:r>
        <w:rPr>
          <w:rFonts w:ascii="Times New Roman" w:cs="Times New Roman" w:eastAsia="Times New Roman" w:hAnsi="Times New Roman"/>
          <w:sz w:val="17"/>
          <w:szCs w:val="17"/>
          <w:b w:val="1"/>
          <w:bCs w:val="1"/>
          <w:i w:val="1"/>
          <w:iCs w:val="1"/>
          <w:color w:val="auto"/>
        </w:rPr>
        <w:t>Allseas Warrant</w:t>
      </w:r>
    </w:p>
    <w:p>
      <w:pPr>
        <w:spacing w:after="0" w:line="1" w:lineRule="exact"/>
        <w:rPr>
          <w:sz w:val="20"/>
          <w:szCs w:val="20"/>
          <w:color w:val="auto"/>
        </w:rPr>
      </w:pPr>
    </w:p>
    <w:p>
      <w:pPr>
        <w:jc w:val="both"/>
        <w:ind w:left="320"/>
        <w:spacing w:after="0" w:line="298" w:lineRule="auto"/>
        <w:rPr>
          <w:sz w:val="20"/>
          <w:szCs w:val="20"/>
          <w:color w:val="auto"/>
        </w:rPr>
      </w:pPr>
      <w:r>
        <w:rPr>
          <w:rFonts w:ascii="Times New Roman" w:cs="Times New Roman" w:eastAsia="Times New Roman" w:hAnsi="Times New Roman"/>
          <w:sz w:val="17"/>
          <w:szCs w:val="17"/>
          <w:color w:val="auto"/>
        </w:rPr>
        <w:t>The Allseas Warrant was granted on March 4, 2021, vested and became exercisable for 11.6 million common shares upon successful completion of the PMTS in November 2022, and will expire on September 30, 2026.</w:t>
      </w:r>
    </w:p>
    <w:p>
      <w:pPr>
        <w:spacing w:after="0" w:line="137"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The Company recognized a charge of $69.9 million in the fourth quarter of 2022 (nil in 2021), representing the fair market value of the Allseas Warrant on the date it was granted. Fair market value was determined using the DeepGreen’s share price on the date the Allseas Warrant was granted to Allseas ($7.00 per share), reduced by the exercise price of $0.01 per share.</w:t>
      </w:r>
    </w:p>
    <w:p>
      <w:pPr>
        <w:spacing w:after="0" w:line="165" w:lineRule="exact"/>
        <w:rPr>
          <w:sz w:val="20"/>
          <w:szCs w:val="20"/>
          <w:color w:val="auto"/>
        </w:rPr>
      </w:pPr>
    </w:p>
    <w:p>
      <w:pPr>
        <w:ind w:left="320" w:right="7640" w:hanging="311"/>
        <w:spacing w:after="0" w:line="510" w:lineRule="auto"/>
        <w:tabs>
          <w:tab w:leader="none" w:pos="32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Common Shares Authorized and Issued</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at December 31, 2022, the authorized, issued and outstanding common shares and Special Shares of the Company are as follows:</w:t>
      </w:r>
    </w:p>
    <w:p>
      <w:pPr>
        <w:spacing w:after="0" w:line="21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Authorized</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0" w:type="dxa"/>
            <w:vAlign w:val="bottom"/>
          </w:tcPr>
          <w:p>
            <w:pPr>
              <w:spacing w:after="0"/>
              <w:rPr>
                <w:sz w:val="1"/>
                <w:szCs w:val="1"/>
                <w:color w:val="auto"/>
              </w:rPr>
            </w:pPr>
          </w:p>
        </w:tc>
      </w:tr>
      <w:tr>
        <w:trPr>
          <w:trHeight w:val="168"/>
        </w:trPr>
        <w:tc>
          <w:tcPr>
            <w:tcW w:w="566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0"/>
        </w:trPr>
        <w:tc>
          <w:tcPr>
            <w:tcW w:w="566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Common shares</w:t>
            </w:r>
          </w:p>
        </w:tc>
        <w:tc>
          <w:tcPr>
            <w:tcW w:w="208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Unlimited, with no par value</w:t>
            </w:r>
          </w:p>
        </w:tc>
        <w:tc>
          <w:tcPr>
            <w:tcW w:w="140" w:type="dxa"/>
            <w:vAlign w:val="bottom"/>
            <w:tcBorders>
              <w:top w:val="single" w:sz="8" w:color="C7EAF2"/>
            </w:tcBorders>
            <w:shd w:val="clear" w:color="auto" w:fill="C7EAF2"/>
          </w:tcPr>
          <w:p>
            <w:pPr>
              <w:spacing w:after="0"/>
              <w:rPr>
                <w:sz w:val="17"/>
                <w:szCs w:val="17"/>
                <w:color w:val="auto"/>
              </w:rPr>
            </w:pPr>
          </w:p>
        </w:tc>
        <w:tc>
          <w:tcPr>
            <w:tcW w:w="9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shd w:val="clear" w:color="auto" w:fill="C7EAF2"/>
              </w:rPr>
              <w:t>266,812,131</w:t>
            </w:r>
          </w:p>
        </w:tc>
        <w:tc>
          <w:tcPr>
            <w:tcW w:w="0" w:type="dxa"/>
            <w:vAlign w:val="bottom"/>
          </w:tcPr>
          <w:p>
            <w:pPr>
              <w:spacing w:after="0"/>
              <w:rPr>
                <w:sz w:val="1"/>
                <w:szCs w:val="1"/>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Class A Special Shares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5,000,000, with no par value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4,448,259</w:t>
            </w:r>
          </w:p>
        </w:tc>
        <w:tc>
          <w:tcPr>
            <w:tcW w:w="0" w:type="dxa"/>
            <w:vAlign w:val="bottom"/>
          </w:tcPr>
          <w:p>
            <w:pPr>
              <w:spacing w:after="0"/>
              <w:rPr>
                <w:sz w:val="1"/>
                <w:szCs w:val="1"/>
                <w:color w:val="auto"/>
              </w:rPr>
            </w:pPr>
          </w:p>
        </w:tc>
      </w:tr>
      <w:tr>
        <w:trPr>
          <w:trHeight w:val="207"/>
        </w:trPr>
        <w:tc>
          <w:tcPr>
            <w:tcW w:w="566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Class B Special Shares</w:t>
            </w:r>
          </w:p>
        </w:tc>
        <w:tc>
          <w:tcPr>
            <w:tcW w:w="2220" w:type="dxa"/>
            <w:vAlign w:val="bottom"/>
            <w:gridSpan w:val="2"/>
            <w:shd w:val="clear" w:color="auto" w:fill="C7EAF2"/>
          </w:tcPr>
          <w:p>
            <w:pPr>
              <w:jc w:val="center"/>
              <w:ind w:right="120"/>
              <w:spacing w:after="0"/>
              <w:rPr>
                <w:sz w:val="20"/>
                <w:szCs w:val="20"/>
                <w:color w:val="auto"/>
              </w:rPr>
            </w:pPr>
            <w:r>
              <w:rPr>
                <w:rFonts w:ascii="Times New Roman" w:cs="Times New Roman" w:eastAsia="Times New Roman" w:hAnsi="Times New Roman"/>
                <w:sz w:val="17"/>
                <w:szCs w:val="17"/>
                <w:color w:val="auto"/>
              </w:rPr>
              <w:t>10,000,000, with no par value</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8,896,399</w:t>
            </w:r>
          </w:p>
        </w:tc>
        <w:tc>
          <w:tcPr>
            <w:tcW w:w="0" w:type="dxa"/>
            <w:vAlign w:val="bottom"/>
          </w:tcPr>
          <w:p>
            <w:pPr>
              <w:spacing w:after="0"/>
              <w:rPr>
                <w:sz w:val="1"/>
                <w:szCs w:val="1"/>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Class C Special Shares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10,000,000, with no par value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8,896,399</w:t>
            </w:r>
          </w:p>
        </w:tc>
        <w:tc>
          <w:tcPr>
            <w:tcW w:w="0" w:type="dxa"/>
            <w:vAlign w:val="bottom"/>
          </w:tcPr>
          <w:p>
            <w:pPr>
              <w:spacing w:after="0"/>
              <w:rPr>
                <w:sz w:val="1"/>
                <w:szCs w:val="1"/>
                <w:color w:val="auto"/>
              </w:rPr>
            </w:pPr>
          </w:p>
        </w:tc>
      </w:tr>
      <w:tr>
        <w:trPr>
          <w:trHeight w:val="207"/>
        </w:trPr>
        <w:tc>
          <w:tcPr>
            <w:tcW w:w="566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Class D Special Shares</w:t>
            </w:r>
          </w:p>
        </w:tc>
        <w:tc>
          <w:tcPr>
            <w:tcW w:w="2220" w:type="dxa"/>
            <w:vAlign w:val="bottom"/>
            <w:gridSpan w:val="2"/>
            <w:shd w:val="clear" w:color="auto" w:fill="C7EAF2"/>
          </w:tcPr>
          <w:p>
            <w:pPr>
              <w:jc w:val="center"/>
              <w:ind w:right="120"/>
              <w:spacing w:after="0"/>
              <w:rPr>
                <w:sz w:val="20"/>
                <w:szCs w:val="20"/>
                <w:color w:val="auto"/>
              </w:rPr>
            </w:pPr>
            <w:r>
              <w:rPr>
                <w:rFonts w:ascii="Times New Roman" w:cs="Times New Roman" w:eastAsia="Times New Roman" w:hAnsi="Times New Roman"/>
                <w:sz w:val="17"/>
                <w:szCs w:val="17"/>
                <w:color w:val="auto"/>
              </w:rPr>
              <w:t>20,000,000, with no par value</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17,792,922</w:t>
            </w:r>
          </w:p>
        </w:tc>
        <w:tc>
          <w:tcPr>
            <w:tcW w:w="0" w:type="dxa"/>
            <w:vAlign w:val="bottom"/>
          </w:tcPr>
          <w:p>
            <w:pPr>
              <w:spacing w:after="0"/>
              <w:rPr>
                <w:sz w:val="1"/>
                <w:szCs w:val="1"/>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Class E Special Shares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20,000,000, with no par value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17,792,922</w:t>
            </w:r>
          </w:p>
        </w:tc>
        <w:tc>
          <w:tcPr>
            <w:tcW w:w="0" w:type="dxa"/>
            <w:vAlign w:val="bottom"/>
          </w:tcPr>
          <w:p>
            <w:pPr>
              <w:spacing w:after="0"/>
              <w:rPr>
                <w:sz w:val="1"/>
                <w:szCs w:val="1"/>
                <w:color w:val="auto"/>
              </w:rPr>
            </w:pPr>
          </w:p>
        </w:tc>
      </w:tr>
      <w:tr>
        <w:trPr>
          <w:trHeight w:val="207"/>
        </w:trPr>
        <w:tc>
          <w:tcPr>
            <w:tcW w:w="566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Class F Special Shares</w:t>
            </w:r>
          </w:p>
        </w:tc>
        <w:tc>
          <w:tcPr>
            <w:tcW w:w="2220" w:type="dxa"/>
            <w:vAlign w:val="bottom"/>
            <w:gridSpan w:val="2"/>
            <w:shd w:val="clear" w:color="auto" w:fill="C7EAF2"/>
          </w:tcPr>
          <w:p>
            <w:pPr>
              <w:jc w:val="center"/>
              <w:ind w:right="120"/>
              <w:spacing w:after="0"/>
              <w:rPr>
                <w:sz w:val="20"/>
                <w:szCs w:val="20"/>
                <w:color w:val="auto"/>
              </w:rPr>
            </w:pPr>
            <w:r>
              <w:rPr>
                <w:rFonts w:ascii="Times New Roman" w:cs="Times New Roman" w:eastAsia="Times New Roman" w:hAnsi="Times New Roman"/>
                <w:sz w:val="17"/>
                <w:szCs w:val="17"/>
                <w:color w:val="auto"/>
              </w:rPr>
              <w:t>20,000,000, with no par value</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17,792,922</w:t>
            </w:r>
          </w:p>
        </w:tc>
        <w:tc>
          <w:tcPr>
            <w:tcW w:w="0" w:type="dxa"/>
            <w:vAlign w:val="bottom"/>
          </w:tcPr>
          <w:p>
            <w:pPr>
              <w:spacing w:after="0"/>
              <w:rPr>
                <w:sz w:val="1"/>
                <w:szCs w:val="1"/>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Class G Special Shares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25,000,000, with no par value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22,241,179</w:t>
            </w:r>
          </w:p>
        </w:tc>
        <w:tc>
          <w:tcPr>
            <w:tcW w:w="0" w:type="dxa"/>
            <w:vAlign w:val="bottom"/>
          </w:tcPr>
          <w:p>
            <w:pPr>
              <w:spacing w:after="0"/>
              <w:rPr>
                <w:sz w:val="1"/>
                <w:szCs w:val="1"/>
                <w:color w:val="auto"/>
              </w:rPr>
            </w:pPr>
          </w:p>
        </w:tc>
      </w:tr>
      <w:tr>
        <w:trPr>
          <w:trHeight w:val="207"/>
        </w:trPr>
        <w:tc>
          <w:tcPr>
            <w:tcW w:w="566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Class H Special Shares</w:t>
            </w:r>
          </w:p>
        </w:tc>
        <w:tc>
          <w:tcPr>
            <w:tcW w:w="2220" w:type="dxa"/>
            <w:vAlign w:val="bottom"/>
            <w:gridSpan w:val="2"/>
            <w:shd w:val="clear" w:color="auto" w:fill="C7EAF2"/>
          </w:tcPr>
          <w:p>
            <w:pPr>
              <w:jc w:val="center"/>
              <w:ind w:right="120"/>
              <w:spacing w:after="0"/>
              <w:rPr>
                <w:sz w:val="20"/>
                <w:szCs w:val="20"/>
                <w:color w:val="auto"/>
              </w:rPr>
            </w:pPr>
            <w:r>
              <w:rPr>
                <w:rFonts w:ascii="Times New Roman" w:cs="Times New Roman" w:eastAsia="Times New Roman" w:hAnsi="Times New Roman"/>
                <w:sz w:val="17"/>
                <w:szCs w:val="17"/>
                <w:color w:val="auto"/>
              </w:rPr>
              <w:t>25,000,000, with no par value</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22,241,179</w:t>
            </w:r>
          </w:p>
        </w:tc>
        <w:tc>
          <w:tcPr>
            <w:tcW w:w="0" w:type="dxa"/>
            <w:vAlign w:val="bottom"/>
          </w:tcPr>
          <w:p>
            <w:pPr>
              <w:spacing w:after="0"/>
              <w:rPr>
                <w:sz w:val="1"/>
                <w:szCs w:val="1"/>
                <w:color w:val="auto"/>
              </w:rPr>
            </w:pPr>
          </w:p>
        </w:tc>
      </w:tr>
      <w:tr>
        <w:trPr>
          <w:trHeight w:val="207"/>
        </w:trPr>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Class I Special Shares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500,000, with no par value</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c>
          <w:tcPr>
            <w:tcW w:w="0" w:type="dxa"/>
            <w:vAlign w:val="bottom"/>
          </w:tcPr>
          <w:p>
            <w:pPr>
              <w:spacing w:after="0"/>
              <w:rPr>
                <w:sz w:val="1"/>
                <w:szCs w:val="1"/>
                <w:color w:val="auto"/>
              </w:rPr>
            </w:pPr>
          </w:p>
        </w:tc>
      </w:tr>
      <w:tr>
        <w:trPr>
          <w:trHeight w:val="207"/>
        </w:trPr>
        <w:tc>
          <w:tcPr>
            <w:tcW w:w="566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Class J Special Shares</w:t>
            </w:r>
          </w:p>
        </w:tc>
        <w:tc>
          <w:tcPr>
            <w:tcW w:w="2220" w:type="dxa"/>
            <w:vAlign w:val="bottom"/>
            <w:gridSpan w:val="2"/>
            <w:shd w:val="clear" w:color="auto" w:fill="C7EAF2"/>
          </w:tcPr>
          <w:p>
            <w:pPr>
              <w:jc w:val="center"/>
              <w:ind w:right="120"/>
              <w:spacing w:after="0"/>
              <w:rPr>
                <w:sz w:val="20"/>
                <w:szCs w:val="20"/>
                <w:color w:val="auto"/>
              </w:rPr>
            </w:pPr>
            <w:r>
              <w:rPr>
                <w:rFonts w:ascii="Times New Roman" w:cs="Times New Roman" w:eastAsia="Times New Roman" w:hAnsi="Times New Roman"/>
                <w:sz w:val="17"/>
                <w:szCs w:val="17"/>
                <w:color w:val="auto"/>
              </w:rPr>
              <w:t>741,000, with no par value</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741,000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holders of the Company’s common shares are entitled to one vote for each common share held.</w:t>
      </w:r>
    </w:p>
    <w:p>
      <w:pPr>
        <w:spacing w:after="0" w:line="219" w:lineRule="exact"/>
        <w:rPr>
          <w:sz w:val="20"/>
          <w:szCs w:val="20"/>
          <w:color w:val="auto"/>
        </w:rPr>
      </w:pPr>
    </w:p>
    <w:p>
      <w:pPr>
        <w:jc w:val="both"/>
        <w:ind w:left="320" w:firstLine="1"/>
        <w:spacing w:after="0" w:line="265" w:lineRule="auto"/>
        <w:rPr>
          <w:sz w:val="20"/>
          <w:szCs w:val="20"/>
          <w:color w:val="auto"/>
        </w:rPr>
      </w:pPr>
      <w:r>
        <w:rPr>
          <w:rFonts w:ascii="Times New Roman" w:cs="Times New Roman" w:eastAsia="Times New Roman" w:hAnsi="Times New Roman"/>
          <w:sz w:val="17"/>
          <w:szCs w:val="17"/>
          <w:color w:val="auto"/>
        </w:rPr>
        <w:t>Each class of Special Shares do not have voting rights and do not participate in earnings. The Special Shares automatically convert to TMC common shares if TMC common shares trade at a price on any 20 trading days within any 30-trading day period that is greater than or equal to the specific trigger price for the respective class of Special Share. The trigger prices range from $15 per share to $200 per share (refer to Note 6 for details). As the Special Shares meet the indexation and equity classification criteria under ASC 815-40, the Special Shares have been classified as equity instruments at issuance.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at December 31, 2021, all 509,459 DeepGreen Class B Preferred Shares were converted to common shares.</w:t>
      </w:r>
    </w:p>
    <w:p>
      <w:pPr>
        <w:sectPr>
          <w:pgSz w:w="12240" w:h="15840" w:orient="portrait"/>
          <w:cols w:equalWidth="0" w:num="1">
            <w:col w:w="9620"/>
          </w:cols>
          <w:pgMar w:left="1320" w:top="1334" w:right="130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83" name="Shape 4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83" o:spid="_x0000_s15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31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320">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Common Share Continuity</w:t>
      </w:r>
    </w:p>
    <w:p>
      <w:pPr>
        <w:spacing w:after="0" w:line="222" w:lineRule="exact"/>
        <w:rPr>
          <w:sz w:val="20"/>
          <w:szCs w:val="20"/>
          <w:color w:val="auto"/>
        </w:rPr>
      </w:pPr>
    </w:p>
    <w:p>
      <w:pPr>
        <w:jc w:val="both"/>
        <w:ind w:left="320"/>
        <w:spacing w:after="0" w:line="265" w:lineRule="auto"/>
        <w:rPr>
          <w:sz w:val="20"/>
          <w:szCs w:val="20"/>
          <w:color w:val="auto"/>
        </w:rPr>
      </w:pPr>
      <w:r>
        <w:rPr>
          <w:rFonts w:ascii="Times New Roman" w:cs="Times New Roman" w:eastAsia="Times New Roman" w:hAnsi="Times New Roman"/>
          <w:sz w:val="17"/>
          <w:szCs w:val="17"/>
          <w:color w:val="auto"/>
        </w:rPr>
        <w:t>In accordance with ASC 805, under a reverse recapitalization, the equity structure reflects the equity structure of SOAC, as the legal acquirer, including the equity interests SOAC issued to affect the Business Combination. Accordingly, the Company has restated its equity structure using the Exchange Ratio of the Business Combination to reflect the number of shares of SOAC issued in the reverse acquisition. The share amounts stated below have been recast from the historical share totals of DeepGreen to reflect the Exchange Ratio.</w:t>
      </w:r>
    </w:p>
    <w:p>
      <w:pPr>
        <w:spacing w:after="0" w:line="173"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6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0"/>
        </w:trPr>
        <w:tc>
          <w:tcPr>
            <w:tcW w:w="64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December 31, 2020</w:t>
            </w:r>
          </w:p>
        </w:tc>
        <w:tc>
          <w:tcPr>
            <w:tcW w:w="200" w:type="dxa"/>
            <w:vAlign w:val="bottom"/>
            <w:tcBorders>
              <w:top w:val="single" w:sz="8" w:color="C7EAF2"/>
            </w:tcBorders>
            <w:shd w:val="clear" w:color="auto" w:fill="C7EAF2"/>
          </w:tcPr>
          <w:p>
            <w:pPr>
              <w:spacing w:after="0"/>
              <w:rPr>
                <w:sz w:val="17"/>
                <w:szCs w:val="17"/>
                <w:color w:val="auto"/>
              </w:rPr>
            </w:pPr>
          </w:p>
        </w:tc>
        <w:tc>
          <w:tcPr>
            <w:tcW w:w="9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189,493,593</w:t>
            </w:r>
          </w:p>
        </w:tc>
        <w:tc>
          <w:tcPr>
            <w:tcW w:w="200" w:type="dxa"/>
            <w:vAlign w:val="bottom"/>
            <w:tcBorders>
              <w:top w:val="single" w:sz="8" w:color="C7EAF2"/>
            </w:tcBorders>
            <w:shd w:val="clear" w:color="auto" w:fill="C7EAF2"/>
          </w:tcPr>
          <w:p>
            <w:pPr>
              <w:spacing w:after="0"/>
              <w:rPr>
                <w:sz w:val="17"/>
                <w:szCs w:val="17"/>
                <w:color w:val="auto"/>
              </w:rPr>
            </w:pPr>
          </w:p>
        </w:tc>
        <w:tc>
          <w:tcPr>
            <w:tcW w:w="280" w:type="dxa"/>
            <w:vAlign w:val="bottom"/>
            <w:tcBorders>
              <w:top w:val="single" w:sz="8" w:color="auto"/>
            </w:tcBorders>
            <w:shd w:val="clear" w:color="auto" w:fill="C7EAF2"/>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154,431</w:t>
            </w:r>
          </w:p>
        </w:tc>
      </w:t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Issued for services </w:t>
            </w:r>
            <w:r>
              <w:rPr>
                <w:rFonts w:ascii="Times New Roman" w:cs="Times New Roman" w:eastAsia="Times New Roman" w:hAnsi="Times New Roman"/>
                <w:sz w:val="17"/>
                <w:szCs w:val="17"/>
                <w:i w:val="1"/>
                <w:iCs w:val="1"/>
                <w:color w:val="auto"/>
              </w:rPr>
              <w:t>(Note 10&amp; 11)</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4,432,606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26,960</w:t>
            </w:r>
          </w:p>
        </w:tc>
      </w:tr>
      <w:tr>
        <w:trPr>
          <w:trHeight w:val="207"/>
        </w:trPr>
        <w:tc>
          <w:tcPr>
            <w:tcW w:w="660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6,312,756</w:t>
            </w:r>
          </w:p>
        </w:tc>
        <w:tc>
          <w:tcPr>
            <w:tcW w:w="200" w:type="dxa"/>
            <w:vAlign w:val="bottom"/>
            <w:shd w:val="clear" w:color="auto" w:fill="C7EAF2"/>
          </w:tcPr>
          <w:p>
            <w:pPr>
              <w:spacing w:after="0"/>
              <w:rPr>
                <w:sz w:val="18"/>
                <w:szCs w:val="18"/>
                <w:color w:val="auto"/>
              </w:rPr>
            </w:pPr>
          </w:p>
        </w:tc>
        <w:tc>
          <w:tcPr>
            <w:tcW w:w="280" w:type="dxa"/>
            <w:vAlign w:val="bottom"/>
            <w:shd w:val="clear" w:color="auto" w:fill="C7EAF2"/>
          </w:tcPr>
          <w:p>
            <w:pPr>
              <w:spacing w:after="0"/>
              <w:rPr>
                <w:sz w:val="18"/>
                <w:szCs w:val="18"/>
                <w:color w:val="auto"/>
              </w:rPr>
            </w:pP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14,297</w:t>
            </w:r>
          </w:p>
        </w:tc>
      </w:t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Conversion of restricted share units </w:t>
            </w:r>
            <w:r>
              <w:rPr>
                <w:rFonts w:ascii="Times New Roman" w:cs="Times New Roman" w:eastAsia="Times New Roman" w:hAnsi="Times New Roman"/>
                <w:sz w:val="17"/>
                <w:szCs w:val="17"/>
                <w:i w:val="1"/>
                <w:iCs w:val="1"/>
                <w:color w:val="auto"/>
              </w:rPr>
              <w:t>(Note 15)</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173,216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w:t>
            </w:r>
          </w:p>
        </w:tc>
      </w:tr>
      <w:tr>
        <w:trPr>
          <w:trHeight w:val="207"/>
        </w:trPr>
        <w:tc>
          <w:tcPr>
            <w:tcW w:w="660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Conversion of preferred shares to common shares</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509,459</w:t>
            </w:r>
          </w:p>
        </w:tc>
        <w:tc>
          <w:tcPr>
            <w:tcW w:w="200" w:type="dxa"/>
            <w:vAlign w:val="bottom"/>
            <w:shd w:val="clear" w:color="auto" w:fill="C7EAF2"/>
          </w:tcPr>
          <w:p>
            <w:pPr>
              <w:spacing w:after="0"/>
              <w:rPr>
                <w:sz w:val="18"/>
                <w:szCs w:val="18"/>
                <w:color w:val="auto"/>
              </w:rPr>
            </w:pPr>
          </w:p>
        </w:tc>
        <w:tc>
          <w:tcPr>
            <w:tcW w:w="280" w:type="dxa"/>
            <w:vAlign w:val="bottom"/>
            <w:shd w:val="clear" w:color="auto" w:fill="C7EAF2"/>
          </w:tcPr>
          <w:p>
            <w:pPr>
              <w:spacing w:after="0"/>
              <w:rPr>
                <w:sz w:val="18"/>
                <w:szCs w:val="18"/>
                <w:color w:val="auto"/>
              </w:rPr>
            </w:pP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Issued in Business Combination </w:t>
            </w:r>
            <w:r>
              <w:rPr>
                <w:rFonts w:ascii="Times New Roman" w:cs="Times New Roman" w:eastAsia="Times New Roman" w:hAnsi="Times New Roman"/>
                <w:sz w:val="17"/>
                <w:szCs w:val="17"/>
                <w:i w:val="1"/>
                <w:iCs w:val="1"/>
                <w:color w:val="auto"/>
              </w:rPr>
              <w:t>(Note 6)</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21,384,296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72,411</w:t>
            </w:r>
          </w:p>
        </w:tc>
      </w:tr>
      <w:tr>
        <w:trPr>
          <w:trHeight w:val="227"/>
        </w:trPr>
        <w:tc>
          <w:tcPr>
            <w:tcW w:w="6600" w:type="dxa"/>
            <w:vAlign w:val="bottom"/>
            <w:tcBorders>
              <w:bottom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 xml:space="preserve">Conversion of debentures </w:t>
            </w:r>
            <w:r>
              <w:rPr>
                <w:rFonts w:ascii="Times New Roman" w:cs="Times New Roman" w:eastAsia="Times New Roman" w:hAnsi="Times New Roman"/>
                <w:sz w:val="17"/>
                <w:szCs w:val="17"/>
                <w:i w:val="1"/>
                <w:iCs w:val="1"/>
                <w:color w:val="auto"/>
              </w:rPr>
              <w:t>(Note 12)</w:t>
            </w:r>
          </w:p>
        </w:tc>
        <w:tc>
          <w:tcPr>
            <w:tcW w:w="9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3,126,567</w:t>
            </w:r>
          </w:p>
        </w:tc>
        <w:tc>
          <w:tcPr>
            <w:tcW w:w="200" w:type="dxa"/>
            <w:vAlign w:val="bottom"/>
            <w:tcBorders>
              <w:bottom w:val="single" w:sz="8" w:color="C7EAF2"/>
            </w:tcBorders>
            <w:shd w:val="clear" w:color="auto" w:fill="C7EAF2"/>
          </w:tcPr>
          <w:p>
            <w:pPr>
              <w:spacing w:after="0"/>
              <w:rPr>
                <w:sz w:val="19"/>
                <w:szCs w:val="19"/>
                <w:color w:val="auto"/>
              </w:rPr>
            </w:pPr>
          </w:p>
        </w:tc>
        <w:tc>
          <w:tcPr>
            <w:tcW w:w="280" w:type="dxa"/>
            <w:vAlign w:val="bottom"/>
            <w:tcBorders>
              <w:bottom w:val="single" w:sz="8" w:color="auto"/>
            </w:tcBorders>
            <w:shd w:val="clear" w:color="auto" w:fill="C7EAF2"/>
          </w:tcPr>
          <w:p>
            <w:pPr>
              <w:spacing w:after="0"/>
              <w:rPr>
                <w:sz w:val="19"/>
                <w:szCs w:val="19"/>
                <w:color w:val="auto"/>
              </w:rPr>
            </w:pPr>
          </w:p>
        </w:tc>
        <w:tc>
          <w:tcPr>
            <w:tcW w:w="8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27,003</w:t>
            </w:r>
          </w:p>
        </w:tc>
      </w:tr>
      <w:tr>
        <w:trPr>
          <w:trHeight w:val="180"/>
        </w:trPr>
        <w:tc>
          <w:tcPr>
            <w:tcW w:w="660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December 31, 2021</w:t>
            </w: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225,432,493</w:t>
            </w:r>
          </w:p>
        </w:tc>
        <w:tc>
          <w:tcPr>
            <w:tcW w:w="200" w:type="dxa"/>
            <w:vAlign w:val="bottom"/>
          </w:tcPr>
          <w:p>
            <w:pPr>
              <w:spacing w:after="0"/>
              <w:rPr>
                <w:sz w:val="15"/>
                <w:szCs w:val="15"/>
                <w:color w:val="auto"/>
              </w:rPr>
            </w:pPr>
          </w:p>
        </w:tc>
        <w:tc>
          <w:tcPr>
            <w:tcW w:w="280" w:type="dxa"/>
            <w:vAlign w:val="bottom"/>
          </w:tcPr>
          <w:p>
            <w:pPr>
              <w:jc w:val="right"/>
              <w:ind w:right="94"/>
              <w:spacing w:after="0" w:line="18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296,051</w:t>
            </w:r>
          </w:p>
        </w:tc>
      </w:tr>
      <w:tr>
        <w:trPr>
          <w:trHeight w:val="207"/>
        </w:trPr>
        <w:tc>
          <w:tcPr>
            <w:tcW w:w="660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 xml:space="preserve">Issuance of shares under PIPE financing </w:t>
            </w:r>
            <w:r>
              <w:rPr>
                <w:rFonts w:ascii="Times New Roman" w:cs="Times New Roman" w:eastAsia="Times New Roman" w:hAnsi="Times New Roman"/>
                <w:sz w:val="17"/>
                <w:szCs w:val="17"/>
                <w:i w:val="1"/>
                <w:iCs w:val="1"/>
                <w:color w:val="auto"/>
              </w:rPr>
              <w:t>(Note 19)</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38,266,180</w:t>
            </w:r>
          </w:p>
        </w:tc>
        <w:tc>
          <w:tcPr>
            <w:tcW w:w="200" w:type="dxa"/>
            <w:vAlign w:val="bottom"/>
            <w:shd w:val="clear" w:color="auto" w:fill="C7EAF2"/>
          </w:tcPr>
          <w:p>
            <w:pPr>
              <w:spacing w:after="0"/>
              <w:rPr>
                <w:sz w:val="18"/>
                <w:szCs w:val="18"/>
                <w:color w:val="auto"/>
              </w:rPr>
            </w:pPr>
          </w:p>
        </w:tc>
        <w:tc>
          <w:tcPr>
            <w:tcW w:w="280" w:type="dxa"/>
            <w:vAlign w:val="bottom"/>
            <w:shd w:val="clear" w:color="auto" w:fill="C7EAF2"/>
          </w:tcPr>
          <w:p>
            <w:pPr>
              <w:spacing w:after="0"/>
              <w:rPr>
                <w:sz w:val="18"/>
                <w:szCs w:val="18"/>
                <w:color w:val="auto"/>
              </w:rPr>
            </w:pP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29,621</w:t>
            </w:r>
          </w:p>
        </w:tc>
      </w:tr>
      <w:tr>
        <w:trPr>
          <w:trHeight w:val="20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stock options</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118,461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142</w:t>
            </w:r>
          </w:p>
        </w:tc>
      </w:tr>
      <w:tr>
        <w:trPr>
          <w:trHeight w:val="207"/>
        </w:trPr>
        <w:tc>
          <w:tcPr>
            <w:tcW w:w="660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 xml:space="preserve">Conversion of restricted share units </w:t>
            </w:r>
            <w:r>
              <w:rPr>
                <w:rFonts w:ascii="Times New Roman" w:cs="Times New Roman" w:eastAsia="Times New Roman" w:hAnsi="Times New Roman"/>
                <w:sz w:val="17"/>
                <w:szCs w:val="17"/>
                <w:i w:val="1"/>
                <w:iCs w:val="1"/>
                <w:color w:val="auto"/>
              </w:rPr>
              <w:t>(Note 15)</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2,877,068</w:t>
            </w:r>
          </w:p>
        </w:tc>
        <w:tc>
          <w:tcPr>
            <w:tcW w:w="200" w:type="dxa"/>
            <w:vAlign w:val="bottom"/>
            <w:shd w:val="clear" w:color="auto" w:fill="C7EAF2"/>
          </w:tcPr>
          <w:p>
            <w:pPr>
              <w:spacing w:after="0"/>
              <w:rPr>
                <w:sz w:val="18"/>
                <w:szCs w:val="18"/>
                <w:color w:val="auto"/>
              </w:rPr>
            </w:pPr>
          </w:p>
        </w:tc>
        <w:tc>
          <w:tcPr>
            <w:tcW w:w="280" w:type="dxa"/>
            <w:vAlign w:val="bottom"/>
            <w:shd w:val="clear" w:color="auto" w:fill="C7EAF2"/>
          </w:tcPr>
          <w:p>
            <w:pPr>
              <w:spacing w:after="0"/>
              <w:rPr>
                <w:sz w:val="18"/>
                <w:szCs w:val="18"/>
                <w:color w:val="auto"/>
              </w:rPr>
            </w:pP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6,875</w:t>
            </w:r>
          </w:p>
        </w:tc>
      </w:tr>
      <w:tr>
        <w:trPr>
          <w:trHeight w:val="207"/>
        </w:trPr>
        <w:tc>
          <w:tcPr>
            <w:tcW w:w="6600" w:type="dxa"/>
            <w:vAlign w:val="bottom"/>
            <w:tcBorders>
              <w:bottom w:val="single" w:sz="8" w:color="C7EAF2"/>
            </w:tcBorders>
            <w:gridSpan w:val="2"/>
          </w:tcPr>
          <w:p>
            <w:pPr>
              <w:spacing w:after="0"/>
              <w:rPr>
                <w:sz w:val="20"/>
                <w:szCs w:val="20"/>
                <w:color w:val="auto"/>
              </w:rPr>
            </w:pPr>
            <w:r>
              <w:rPr>
                <w:rFonts w:ascii="Times New Roman" w:cs="Times New Roman" w:eastAsia="Times New Roman" w:hAnsi="Times New Roman"/>
                <w:sz w:val="17"/>
                <w:szCs w:val="17"/>
                <w:color w:val="auto"/>
              </w:rPr>
              <w:t>Share purchase under Employee Stock Purchase Plan (Note 15)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117,929</w:t>
            </w:r>
          </w:p>
        </w:tc>
        <w:tc>
          <w:tcPr>
            <w:tcW w:w="200" w:type="dxa"/>
            <w:vAlign w:val="bottom"/>
            <w:tcBorders>
              <w:bottom w:val="single" w:sz="8" w:color="C7EAF2"/>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w:t>
            </w:r>
          </w:p>
        </w:tc>
      </w:tr>
      <w:tr>
        <w:trPr>
          <w:trHeight w:val="200"/>
        </w:trPr>
        <w:tc>
          <w:tcPr>
            <w:tcW w:w="6600" w:type="dxa"/>
            <w:vAlign w:val="bottom"/>
            <w:tcBorders>
              <w:bottom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December 31, 2022</w:t>
            </w:r>
          </w:p>
        </w:tc>
        <w:tc>
          <w:tcPr>
            <w:tcW w:w="9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266,812,131</w:t>
            </w:r>
          </w:p>
        </w:tc>
        <w:tc>
          <w:tcPr>
            <w:tcW w:w="200" w:type="dxa"/>
            <w:vAlign w:val="bottom"/>
            <w:tcBorders>
              <w:bottom w:val="single" w:sz="8" w:color="C7EAF2"/>
            </w:tcBorders>
            <w:shd w:val="clear" w:color="auto" w:fill="C7EAF2"/>
          </w:tcPr>
          <w:p>
            <w:pPr>
              <w:spacing w:after="0"/>
              <w:rPr>
                <w:sz w:val="17"/>
                <w:szCs w:val="17"/>
                <w:color w:val="auto"/>
              </w:rPr>
            </w:pPr>
          </w:p>
        </w:tc>
        <w:tc>
          <w:tcPr>
            <w:tcW w:w="280" w:type="dxa"/>
            <w:vAlign w:val="bottom"/>
            <w:tcBorders>
              <w:bottom w:val="single" w:sz="8" w:color="auto"/>
            </w:tcBorders>
            <w:shd w:val="clear" w:color="auto" w:fill="C7EAF2"/>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332,882</w:t>
            </w: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20" w:hanging="311"/>
        <w:spacing w:after="0"/>
        <w:tabs>
          <w:tab w:leader="none" w:pos="32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w:t>
      </w:r>
    </w:p>
    <w:p>
      <w:pPr>
        <w:spacing w:after="0" w:line="222" w:lineRule="exact"/>
        <w:rPr>
          <w:rFonts w:ascii="Times New Roman" w:cs="Times New Roman" w:eastAsia="Times New Roman" w:hAnsi="Times New Roman"/>
          <w:sz w:val="17"/>
          <w:szCs w:val="17"/>
          <w:b w:val="1"/>
          <w:bCs w:val="1"/>
          <w:color w:val="auto"/>
        </w:rPr>
      </w:pPr>
    </w:p>
    <w:p>
      <w:pPr>
        <w:jc w:val="both"/>
        <w:ind w:left="3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2021 Incentive Equity Plan (the “Plan”) provides that the aggregate number of common shares reserved for future issuance under the Plan as of December 31, 2022 is 33,699,685 common shares,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67"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Stock options</w:t>
      </w:r>
    </w:p>
    <w:p>
      <w:pPr>
        <w:spacing w:after="0" w:line="217" w:lineRule="exact"/>
        <w:rPr>
          <w:rFonts w:ascii="Times New Roman" w:cs="Times New Roman" w:eastAsia="Times New Roman" w:hAnsi="Times New Roman"/>
          <w:sz w:val="17"/>
          <w:szCs w:val="17"/>
          <w:b w:val="1"/>
          <w:bCs w:val="1"/>
          <w:color w:val="auto"/>
        </w:rPr>
      </w:pPr>
    </w:p>
    <w:p>
      <w:pPr>
        <w:jc w:val="both"/>
        <w:ind w:left="320" w:firstLine="1"/>
        <w:spacing w:after="0" w:line="26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exercise prices determined at its sole discretion. As described in Note 6, existing DeepGreen options were automatically adopted by TMC after application of the Exchange Ratio to both the underlying number of common shares and the exercise price and provided for additional Special Shares to be issued to option holders on a pro-rata basis, if exercised. The Rollover Options did not change in value as a result of the Business Combination. Comparative information below has been restated by adjusting for the number of options and exercise prices for the Exchange Ratio.</w:t>
      </w:r>
    </w:p>
    <w:p>
      <w:pPr>
        <w:spacing w:after="0" w:line="165" w:lineRule="exact"/>
        <w:rPr>
          <w:rFonts w:ascii="Times New Roman" w:cs="Times New Roman" w:eastAsia="Times New Roman" w:hAnsi="Times New Roman"/>
          <w:sz w:val="17"/>
          <w:szCs w:val="17"/>
          <w:b w:val="1"/>
          <w:bCs w:val="1"/>
          <w:color w:val="auto"/>
        </w:rPr>
      </w:pPr>
    </w:p>
    <w:p>
      <w:pPr>
        <w:jc w:val="both"/>
        <w:ind w:left="320"/>
        <w:spacing w:after="0" w:line="27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at December 31, 2022, there were 15,356,340 stock options outstanding under the Company’s Short-Term Incentive Plan (“STIP”) and 9,783,922 stock options outstanding under the Company’s Long-Term Incentive Plan (“LTIP”). The Company makes awards under the STIP and LTIP under its equity incentive plans in effect at the time of the award, which is currently the Plan.</w:t>
      </w:r>
    </w:p>
    <w:p>
      <w:pPr>
        <w:spacing w:after="0" w:line="155"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new stock options were granted by the Company under the STIP or LTIP plans during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86" name="Shape 4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86" o:spid="_x0000_s15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47" w:name="page148"/>
    <w:bookmarkEnd w:id="147"/>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32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322">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u w:val="single" w:color="auto"/>
          <w:color w:val="auto"/>
        </w:rPr>
        <w:t>Outstanding under STIP plan</w:t>
      </w:r>
      <w:r>
        <w:rPr>
          <w:rFonts w:ascii="Times New Roman" w:cs="Times New Roman" w:eastAsia="Times New Roman" w:hAnsi="Times New Roman"/>
          <w:sz w:val="17"/>
          <w:szCs w:val="17"/>
          <w:u w:val="single" w:color="auto"/>
          <w:color w:val="auto"/>
        </w:rPr>
        <w:t>:</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 continuity schedule summarizing the movements in the Company’s stock options under the STIP plan is as follows: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54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3"/>
        </w:trPr>
        <w:tc>
          <w:tcPr>
            <w:tcW w:w="54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0" w:type="dxa"/>
            <w:vAlign w:val="bottom"/>
          </w:tcPr>
          <w:p>
            <w:pPr>
              <w:spacing w:after="0"/>
              <w:rPr>
                <w:sz w:val="1"/>
                <w:szCs w:val="1"/>
                <w:color w:val="auto"/>
              </w:rPr>
            </w:pPr>
          </w:p>
        </w:tc>
      </w:tr>
      <w:tr>
        <w:trPr>
          <w:trHeight w:val="143"/>
        </w:trPr>
        <w:tc>
          <w:tcPr>
            <w:tcW w:w="5400" w:type="dxa"/>
            <w:vAlign w:val="bottom"/>
          </w:tcPr>
          <w:p>
            <w:pPr>
              <w:spacing w:after="0"/>
              <w:rPr>
                <w:sz w:val="12"/>
                <w:szCs w:val="12"/>
                <w:color w:val="auto"/>
              </w:rPr>
            </w:pPr>
          </w:p>
        </w:tc>
        <w:tc>
          <w:tcPr>
            <w:tcW w:w="100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74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price per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life</w:t>
            </w:r>
          </w:p>
        </w:tc>
        <w:tc>
          <w:tcPr>
            <w:tcW w:w="0" w:type="dxa"/>
            <w:vAlign w:val="bottom"/>
          </w:tcPr>
          <w:p>
            <w:pPr>
              <w:spacing w:after="0"/>
              <w:rPr>
                <w:sz w:val="1"/>
                <w:szCs w:val="1"/>
                <w:color w:val="auto"/>
              </w:rPr>
            </w:pPr>
          </w:p>
        </w:tc>
      </w:tr>
      <w:tr>
        <w:trPr>
          <w:trHeight w:val="168"/>
        </w:trPr>
        <w:tc>
          <w:tcPr>
            <w:tcW w:w="54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0"/>
        </w:trPr>
        <w:tc>
          <w:tcPr>
            <w:tcW w:w="540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Outstanding – December 31, 2020</w:t>
            </w:r>
          </w:p>
        </w:tc>
        <w:tc>
          <w:tcPr>
            <w:tcW w:w="8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15,549,977</w:t>
            </w:r>
          </w:p>
        </w:tc>
        <w:tc>
          <w:tcPr>
            <w:tcW w:w="140" w:type="dxa"/>
            <w:vAlign w:val="bottom"/>
            <w:tcBorders>
              <w:top w:val="single" w:sz="8" w:color="C7EAF2"/>
            </w:tcBorders>
            <w:shd w:val="clear" w:color="auto" w:fill="C7EAF2"/>
          </w:tcPr>
          <w:p>
            <w:pPr>
              <w:spacing w:after="0"/>
              <w:rPr>
                <w:sz w:val="17"/>
                <w:szCs w:val="17"/>
                <w:color w:val="auto"/>
              </w:rPr>
            </w:pPr>
          </w:p>
        </w:tc>
        <w:tc>
          <w:tcPr>
            <w:tcW w:w="1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0.80</w:t>
            </w:r>
          </w:p>
        </w:tc>
        <w:tc>
          <w:tcPr>
            <w:tcW w:w="140" w:type="dxa"/>
            <w:vAlign w:val="bottom"/>
            <w:tcBorders>
              <w:top w:val="single" w:sz="8" w:color="C7EAF2"/>
            </w:tcBorders>
            <w:shd w:val="clear" w:color="auto" w:fill="C7EAF2"/>
          </w:tcPr>
          <w:p>
            <w:pPr>
              <w:spacing w:after="0"/>
              <w:rPr>
                <w:sz w:val="17"/>
                <w:szCs w:val="17"/>
                <w:color w:val="auto"/>
              </w:rPr>
            </w:pPr>
          </w:p>
        </w:tc>
        <w:tc>
          <w:tcPr>
            <w:tcW w:w="1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tcBorders>
              <w:top w:val="single" w:sz="8" w:color="auto"/>
            </w:tcBorders>
            <w:shd w:val="clear" w:color="auto" w:fill="C7EAF2"/>
          </w:tcPr>
          <w:p>
            <w:pPr>
              <w:spacing w:after="0"/>
              <w:rPr>
                <w:sz w:val="17"/>
                <w:szCs w:val="17"/>
                <w:color w:val="auto"/>
              </w:rPr>
            </w:pPr>
          </w:p>
        </w:tc>
        <w:tc>
          <w:tcPr>
            <w:tcW w:w="5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36,126</w:t>
            </w:r>
          </w:p>
        </w:tc>
        <w:tc>
          <w:tcPr>
            <w:tcW w:w="140" w:type="dxa"/>
            <w:vAlign w:val="bottom"/>
            <w:tcBorders>
              <w:top w:val="single" w:sz="8" w:color="C7EAF2"/>
            </w:tcBorders>
            <w:shd w:val="clear" w:color="auto" w:fill="C7EAF2"/>
          </w:tcPr>
          <w:p>
            <w:pPr>
              <w:spacing w:after="0"/>
              <w:rPr>
                <w:sz w:val="17"/>
                <w:szCs w:val="17"/>
                <w:color w:val="auto"/>
              </w:rPr>
            </w:pPr>
          </w:p>
        </w:tc>
        <w:tc>
          <w:tcPr>
            <w:tcW w:w="7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6,373,203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54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Expired</w:t>
            </w:r>
          </w:p>
        </w:tc>
        <w:tc>
          <w:tcPr>
            <w:tcW w:w="1000" w:type="dxa"/>
            <w:vAlign w:val="bottom"/>
            <w:gridSpan w:val="2"/>
            <w:shd w:val="clear" w:color="auto" w:fill="C7EAF2"/>
          </w:tcPr>
          <w:p>
            <w:pPr>
              <w:jc w:val="right"/>
              <w:ind w:right="140"/>
              <w:spacing w:after="0"/>
              <w:rPr>
                <w:sz w:val="20"/>
                <w:szCs w:val="20"/>
                <w:color w:val="auto"/>
              </w:rPr>
            </w:pPr>
            <w:r>
              <w:rPr>
                <w:rFonts w:ascii="Times New Roman" w:cs="Times New Roman" w:eastAsia="Times New Roman" w:hAnsi="Times New Roman"/>
                <w:sz w:val="17"/>
                <w:szCs w:val="17"/>
                <w:color w:val="auto"/>
              </w:rPr>
              <w:t>(50,946)</w:t>
            </w:r>
          </w:p>
        </w:tc>
        <w:tc>
          <w:tcPr>
            <w:tcW w:w="10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0.39</w:t>
            </w:r>
          </w:p>
        </w:tc>
        <w:tc>
          <w:tcPr>
            <w:tcW w:w="14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40" w:type="dxa"/>
            <w:vAlign w:val="bottom"/>
            <w:shd w:val="clear" w:color="auto" w:fill="C7EAF2"/>
          </w:tcPr>
          <w:p>
            <w:pPr>
              <w:spacing w:after="0"/>
              <w:rPr>
                <w:sz w:val="18"/>
                <w:szCs w:val="18"/>
                <w:color w:val="auto"/>
              </w:rPr>
            </w:pPr>
          </w:p>
        </w:tc>
        <w:tc>
          <w:tcPr>
            <w:tcW w:w="700" w:type="dxa"/>
            <w:vAlign w:val="bottom"/>
            <w:gridSpan w:val="2"/>
            <w:shd w:val="clear" w:color="auto" w:fill="C7EAF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Cancelled/Forfeited</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(57,893)</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54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Exercised</w:t>
            </w:r>
          </w:p>
        </w:tc>
        <w:tc>
          <w:tcPr>
            <w:tcW w:w="1000" w:type="dxa"/>
            <w:vAlign w:val="bottom"/>
            <w:gridSpan w:val="2"/>
            <w:shd w:val="clear" w:color="auto" w:fill="C7EAF2"/>
          </w:tcPr>
          <w:p>
            <w:pPr>
              <w:jc w:val="right"/>
              <w:ind w:right="140"/>
              <w:spacing w:after="0"/>
              <w:rPr>
                <w:sz w:val="20"/>
                <w:szCs w:val="20"/>
                <w:color w:val="auto"/>
              </w:rPr>
            </w:pPr>
            <w:r>
              <w:rPr>
                <w:rFonts w:ascii="Times New Roman" w:cs="Times New Roman" w:eastAsia="Times New Roman" w:hAnsi="Times New Roman"/>
                <w:sz w:val="17"/>
                <w:szCs w:val="17"/>
                <w:color w:val="auto"/>
              </w:rPr>
              <w:t>(6,310,593)</w:t>
            </w:r>
          </w:p>
        </w:tc>
        <w:tc>
          <w:tcPr>
            <w:tcW w:w="100" w:type="dxa"/>
            <w:vAlign w:val="bottom"/>
            <w:shd w:val="clear" w:color="auto" w:fill="C7EAF2"/>
          </w:tcPr>
          <w:p>
            <w:pPr>
              <w:spacing w:after="0"/>
              <w:rPr>
                <w:sz w:val="21"/>
                <w:szCs w:val="21"/>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40" w:type="dxa"/>
            <w:vAlign w:val="bottom"/>
            <w:shd w:val="clear" w:color="auto" w:fill="C7EAF2"/>
          </w:tcPr>
          <w:p>
            <w:pPr>
              <w:spacing w:after="0"/>
              <w:rPr>
                <w:sz w:val="21"/>
                <w:szCs w:val="21"/>
                <w:color w:val="auto"/>
              </w:rPr>
            </w:pPr>
          </w:p>
        </w:tc>
        <w:tc>
          <w:tcPr>
            <w:tcW w:w="100" w:type="dxa"/>
            <w:vAlign w:val="bottom"/>
            <w:shd w:val="clear" w:color="auto" w:fill="C7EAF2"/>
          </w:tcPr>
          <w:p>
            <w:pPr>
              <w:spacing w:after="0"/>
              <w:rPr>
                <w:sz w:val="21"/>
                <w:szCs w:val="21"/>
                <w:color w:val="auto"/>
              </w:rPr>
            </w:pPr>
          </w:p>
        </w:tc>
        <w:tc>
          <w:tcPr>
            <w:tcW w:w="40" w:type="dxa"/>
            <w:vAlign w:val="bottom"/>
            <w:shd w:val="clear" w:color="auto" w:fill="C7EAF2"/>
          </w:tcPr>
          <w:p>
            <w:pPr>
              <w:spacing w:after="0"/>
              <w:rPr>
                <w:sz w:val="21"/>
                <w:szCs w:val="21"/>
                <w:color w:val="auto"/>
              </w:rPr>
            </w:pPr>
          </w:p>
        </w:tc>
        <w:tc>
          <w:tcPr>
            <w:tcW w:w="700" w:type="dxa"/>
            <w:vAlign w:val="bottom"/>
            <w:gridSpan w:val="2"/>
            <w:shd w:val="clear" w:color="auto" w:fill="C7EAF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0"/>
        </w:trPr>
        <w:tc>
          <w:tcPr>
            <w:tcW w:w="5400" w:type="dxa"/>
            <w:vAlign w:val="bottom"/>
            <w:tcBorders>
              <w:top w:val="single" w:sz="8" w:color="C7EAF2"/>
            </w:tcBorders>
          </w:tcPr>
          <w:p>
            <w:pPr>
              <w:spacing w:after="0" w:line="160" w:lineRule="exact"/>
              <w:rPr>
                <w:sz w:val="20"/>
                <w:szCs w:val="20"/>
                <w:color w:val="auto"/>
              </w:rPr>
            </w:pPr>
            <w:r>
              <w:rPr>
                <w:rFonts w:ascii="Times New Roman" w:cs="Times New Roman" w:eastAsia="Times New Roman" w:hAnsi="Times New Roman"/>
                <w:sz w:val="17"/>
                <w:szCs w:val="17"/>
                <w:b w:val="1"/>
                <w:bCs w:val="1"/>
                <w:color w:val="auto"/>
              </w:rPr>
              <w:t>Outstanding – December 31, 2021</w:t>
            </w:r>
          </w:p>
        </w:tc>
        <w:tc>
          <w:tcPr>
            <w:tcW w:w="8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7"/>
                <w:szCs w:val="17"/>
                <w:b w:val="1"/>
                <w:bCs w:val="1"/>
                <w:color w:val="auto"/>
              </w:rPr>
              <w:t>15,503,748</w:t>
            </w:r>
          </w:p>
        </w:tc>
        <w:tc>
          <w:tcPr>
            <w:tcW w:w="140" w:type="dxa"/>
            <w:vAlign w:val="bottom"/>
            <w:tcBorders>
              <w:top w:val="single" w:sz="8" w:color="C7EAF2"/>
            </w:tcBorders>
          </w:tcPr>
          <w:p>
            <w:pPr>
              <w:spacing w:after="0"/>
              <w:rPr>
                <w:sz w:val="13"/>
                <w:szCs w:val="13"/>
                <w:color w:val="auto"/>
              </w:rPr>
            </w:pPr>
          </w:p>
        </w:tc>
        <w:tc>
          <w:tcPr>
            <w:tcW w:w="1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7"/>
                <w:szCs w:val="17"/>
                <w:b w:val="1"/>
                <w:bCs w:val="1"/>
                <w:color w:val="auto"/>
              </w:rPr>
              <w:t>1.40</w:t>
            </w:r>
          </w:p>
        </w:tc>
        <w:tc>
          <w:tcPr>
            <w:tcW w:w="140" w:type="dxa"/>
            <w:vAlign w:val="bottom"/>
            <w:tcBorders>
              <w:top w:val="single" w:sz="8" w:color="C7EAF2"/>
            </w:tcBorders>
          </w:tcPr>
          <w:p>
            <w:pPr>
              <w:spacing w:after="0"/>
              <w:rPr>
                <w:sz w:val="13"/>
                <w:szCs w:val="13"/>
                <w:color w:val="auto"/>
              </w:rPr>
            </w:pPr>
          </w:p>
        </w:tc>
        <w:tc>
          <w:tcPr>
            <w:tcW w:w="10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7"/>
                <w:szCs w:val="17"/>
                <w:b w:val="1"/>
                <w:bCs w:val="1"/>
                <w:color w:val="auto"/>
              </w:rPr>
              <w:t>17,415</w:t>
            </w:r>
          </w:p>
        </w:tc>
        <w:tc>
          <w:tcPr>
            <w:tcW w:w="140" w:type="dxa"/>
            <w:vAlign w:val="bottom"/>
            <w:tcBorders>
              <w:top w:val="single" w:sz="8" w:color="C7EAF2"/>
            </w:tcBorders>
          </w:tcPr>
          <w:p>
            <w:pPr>
              <w:spacing w:after="0"/>
              <w:rPr>
                <w:sz w:val="13"/>
                <w:szCs w:val="13"/>
                <w:color w:val="auto"/>
              </w:rPr>
            </w:pPr>
          </w:p>
        </w:tc>
        <w:tc>
          <w:tcPr>
            <w:tcW w:w="7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7"/>
                <w:szCs w:val="17"/>
                <w:b w:val="1"/>
                <w:bCs w:val="1"/>
                <w:color w:val="auto"/>
              </w:rPr>
              <w:t>6.33</w:t>
            </w:r>
          </w:p>
        </w:tc>
        <w:tc>
          <w:tcPr>
            <w:tcW w:w="0" w:type="dxa"/>
            <w:vAlign w:val="bottom"/>
          </w:tcPr>
          <w:p>
            <w:pPr>
              <w:spacing w:after="0"/>
              <w:rPr>
                <w:sz w:val="1"/>
                <w:szCs w:val="1"/>
                <w:color w:val="auto"/>
              </w:rPr>
            </w:pPr>
          </w:p>
        </w:tc>
      </w:tr>
      <w:tr>
        <w:trPr>
          <w:trHeight w:val="207"/>
        </w:trPr>
        <w:tc>
          <w:tcPr>
            <w:tcW w:w="54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Granted</w:t>
            </w:r>
          </w:p>
        </w:tc>
        <w:tc>
          <w:tcPr>
            <w:tcW w:w="1000" w:type="dxa"/>
            <w:vAlign w:val="bottom"/>
            <w:gridSpan w:val="2"/>
            <w:shd w:val="clear" w:color="auto" w:fill="C7EAF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7EAF2"/>
          </w:tcPr>
          <w:p>
            <w:pPr>
              <w:spacing w:after="0"/>
              <w:rPr>
                <w:sz w:val="18"/>
                <w:szCs w:val="18"/>
                <w:color w:val="auto"/>
              </w:rPr>
            </w:pPr>
          </w:p>
        </w:tc>
        <w:tc>
          <w:tcPr>
            <w:tcW w:w="740" w:type="dxa"/>
            <w:vAlign w:val="bottom"/>
            <w:gridSpan w:val="2"/>
            <w:shd w:val="clear" w:color="auto" w:fill="C7EAF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7EAF2"/>
          </w:tcPr>
          <w:p>
            <w:pPr>
              <w:spacing w:after="0"/>
              <w:rPr>
                <w:sz w:val="18"/>
                <w:szCs w:val="18"/>
                <w:color w:val="auto"/>
              </w:rPr>
            </w:pPr>
          </w:p>
        </w:tc>
        <w:tc>
          <w:tcPr>
            <w:tcW w:w="40" w:type="dxa"/>
            <w:vAlign w:val="bottom"/>
            <w:shd w:val="clear" w:color="auto" w:fill="C7EAF2"/>
          </w:tcPr>
          <w:p>
            <w:pPr>
              <w:spacing w:after="0"/>
              <w:rPr>
                <w:sz w:val="18"/>
                <w:szCs w:val="18"/>
                <w:color w:val="auto"/>
              </w:rPr>
            </w:pPr>
          </w:p>
        </w:tc>
        <w:tc>
          <w:tcPr>
            <w:tcW w:w="700" w:type="dxa"/>
            <w:vAlign w:val="bottom"/>
            <w:gridSpan w:val="2"/>
            <w:shd w:val="clear" w:color="auto" w:fill="C7EAF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Expired</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54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Cancelled/Forfeited</w:t>
            </w:r>
          </w:p>
        </w:tc>
        <w:tc>
          <w:tcPr>
            <w:tcW w:w="1000" w:type="dxa"/>
            <w:vAlign w:val="bottom"/>
            <w:gridSpan w:val="2"/>
            <w:shd w:val="clear" w:color="auto" w:fill="C7EAF2"/>
          </w:tcPr>
          <w:p>
            <w:pPr>
              <w:jc w:val="right"/>
              <w:ind w:right="140"/>
              <w:spacing w:after="0"/>
              <w:rPr>
                <w:sz w:val="20"/>
                <w:szCs w:val="20"/>
                <w:color w:val="auto"/>
              </w:rPr>
            </w:pPr>
            <w:r>
              <w:rPr>
                <w:rFonts w:ascii="Times New Roman" w:cs="Times New Roman" w:eastAsia="Times New Roman" w:hAnsi="Times New Roman"/>
                <w:sz w:val="17"/>
                <w:szCs w:val="17"/>
                <w:color w:val="auto"/>
              </w:rPr>
              <w:t>(28,947)</w:t>
            </w:r>
          </w:p>
        </w:tc>
        <w:tc>
          <w:tcPr>
            <w:tcW w:w="100" w:type="dxa"/>
            <w:vAlign w:val="bottom"/>
            <w:shd w:val="clear" w:color="auto" w:fill="C7EAF2"/>
          </w:tcPr>
          <w:p>
            <w:pPr>
              <w:spacing w:after="0"/>
              <w:rPr>
                <w:sz w:val="18"/>
                <w:szCs w:val="18"/>
                <w:color w:val="auto"/>
              </w:rPr>
            </w:pPr>
          </w:p>
        </w:tc>
        <w:tc>
          <w:tcPr>
            <w:tcW w:w="6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4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40" w:type="dxa"/>
            <w:vAlign w:val="bottom"/>
            <w:shd w:val="clear" w:color="auto" w:fill="C7EAF2"/>
          </w:tcPr>
          <w:p>
            <w:pPr>
              <w:spacing w:after="0"/>
              <w:rPr>
                <w:sz w:val="18"/>
                <w:szCs w:val="18"/>
                <w:color w:val="auto"/>
              </w:rPr>
            </w:pPr>
          </w:p>
        </w:tc>
        <w:tc>
          <w:tcPr>
            <w:tcW w:w="700" w:type="dxa"/>
            <w:vAlign w:val="bottom"/>
            <w:gridSpan w:val="2"/>
            <w:shd w:val="clear" w:color="auto" w:fill="C7EAF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(118,461)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540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Outstanding – December 31, 2022</w:t>
            </w:r>
          </w:p>
        </w:tc>
        <w:tc>
          <w:tcPr>
            <w:tcW w:w="8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15,356,340</w:t>
            </w:r>
          </w:p>
        </w:tc>
        <w:tc>
          <w:tcPr>
            <w:tcW w:w="140" w:type="dxa"/>
            <w:vAlign w:val="bottom"/>
            <w:tcBorders>
              <w:top w:val="single" w:sz="8" w:color="C7EAF2"/>
            </w:tcBorders>
            <w:shd w:val="clear" w:color="auto" w:fill="C7EAF2"/>
          </w:tcPr>
          <w:p>
            <w:pPr>
              <w:spacing w:after="0"/>
              <w:rPr>
                <w:sz w:val="17"/>
                <w:szCs w:val="17"/>
                <w:color w:val="auto"/>
              </w:rPr>
            </w:pPr>
          </w:p>
        </w:tc>
        <w:tc>
          <w:tcPr>
            <w:tcW w:w="10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1.40</w:t>
            </w:r>
          </w:p>
        </w:tc>
        <w:tc>
          <w:tcPr>
            <w:tcW w:w="140" w:type="dxa"/>
            <w:vAlign w:val="bottom"/>
            <w:tcBorders>
              <w:top w:val="single" w:sz="8" w:color="C7EAF2"/>
            </w:tcBorders>
            <w:shd w:val="clear" w:color="auto" w:fill="C7EAF2"/>
          </w:tcPr>
          <w:p>
            <w:pPr>
              <w:spacing w:after="0"/>
              <w:rPr>
                <w:sz w:val="17"/>
                <w:szCs w:val="17"/>
                <w:color w:val="auto"/>
              </w:rPr>
            </w:pPr>
          </w:p>
        </w:tc>
        <w:tc>
          <w:tcPr>
            <w:tcW w:w="10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bottom w:val="single" w:sz="8" w:color="auto"/>
            </w:tcBorders>
            <w:shd w:val="clear" w:color="auto" w:fill="C7EAF2"/>
          </w:tcPr>
          <w:p>
            <w:pPr>
              <w:spacing w:after="0"/>
              <w:rPr>
                <w:sz w:val="17"/>
                <w:szCs w:val="17"/>
                <w:color w:val="auto"/>
              </w:rPr>
            </w:pPr>
          </w:p>
        </w:tc>
        <w:tc>
          <w:tcPr>
            <w:tcW w:w="5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1,582</w:t>
            </w:r>
          </w:p>
        </w:tc>
        <w:tc>
          <w:tcPr>
            <w:tcW w:w="140" w:type="dxa"/>
            <w:vAlign w:val="bottom"/>
            <w:tcBorders>
              <w:top w:val="single" w:sz="8" w:color="C7EAF2"/>
            </w:tcBorders>
            <w:shd w:val="clear" w:color="auto" w:fill="C7EAF2"/>
          </w:tcPr>
          <w:p>
            <w:pPr>
              <w:spacing w:after="0"/>
              <w:rPr>
                <w:sz w:val="17"/>
                <w:szCs w:val="17"/>
                <w:color w:val="auto"/>
              </w:rPr>
            </w:pPr>
          </w:p>
        </w:tc>
        <w:tc>
          <w:tcPr>
            <w:tcW w:w="74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5.11</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C7EAF2"/>
            </w:tcBorders>
          </w:tcPr>
          <w:p>
            <w:pPr>
              <w:spacing w:after="0"/>
              <w:rPr>
                <w:sz w:val="20"/>
                <w:szCs w:val="20"/>
                <w:color w:val="auto"/>
              </w:rPr>
            </w:pPr>
            <w:r>
              <w:rPr>
                <w:rFonts w:ascii="Times New Roman" w:cs="Times New Roman" w:eastAsia="Times New Roman" w:hAnsi="Times New Roman"/>
                <w:sz w:val="17"/>
                <w:szCs w:val="17"/>
                <w:b w:val="1"/>
                <w:bCs w:val="1"/>
                <w:color w:val="auto"/>
              </w:rPr>
              <w:t>Vested and expected to vest – December 31, 2022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15,356,340</w:t>
            </w:r>
          </w:p>
        </w:tc>
        <w:tc>
          <w:tcPr>
            <w:tcW w:w="140" w:type="dxa"/>
            <w:vAlign w:val="bottom"/>
            <w:tcBorders>
              <w:bottom w:val="single" w:sz="8" w:color="C7EAF2"/>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1.40</w:t>
            </w:r>
          </w:p>
        </w:tc>
        <w:tc>
          <w:tcPr>
            <w:tcW w:w="140" w:type="dxa"/>
            <w:vAlign w:val="bottom"/>
            <w:tcBorders>
              <w:bottom w:val="single" w:sz="8" w:color="C7EAF2"/>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1,582</w:t>
            </w:r>
          </w:p>
        </w:tc>
        <w:tc>
          <w:tcPr>
            <w:tcW w:w="140" w:type="dxa"/>
            <w:vAlign w:val="bottom"/>
            <w:tcBorders>
              <w:bottom w:val="single" w:sz="8" w:color="C7EAF2"/>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5.11</w:t>
            </w:r>
          </w:p>
        </w:tc>
        <w:tc>
          <w:tcPr>
            <w:tcW w:w="0" w:type="dxa"/>
            <w:vAlign w:val="bottom"/>
          </w:tcPr>
          <w:p>
            <w:pPr>
              <w:spacing w:after="0"/>
              <w:rPr>
                <w:sz w:val="1"/>
                <w:szCs w:val="1"/>
                <w:color w:val="auto"/>
              </w:rPr>
            </w:pPr>
          </w:p>
        </w:tc>
      </w:tr>
      <w:tr>
        <w:trPr>
          <w:trHeight w:val="180"/>
        </w:trPr>
        <w:tc>
          <w:tcPr>
            <w:tcW w:w="5400" w:type="dxa"/>
            <w:vAlign w:val="bottom"/>
            <w:tcBorders>
              <w:top w:val="single" w:sz="8" w:color="C7EAF2"/>
            </w:tcBorders>
            <w:shd w:val="clear" w:color="auto" w:fill="C7EAF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Vested and exercisable – December 31, 2022</w:t>
            </w:r>
          </w:p>
        </w:tc>
        <w:tc>
          <w:tcPr>
            <w:tcW w:w="860" w:type="dxa"/>
            <w:vAlign w:val="bottom"/>
            <w:tcBorders>
              <w:top w:val="single" w:sz="8" w:color="C7EAF2"/>
              <w:bottom w:val="single" w:sz="8" w:color="auto"/>
            </w:tcBorders>
            <w:shd w:val="clear" w:color="auto" w:fill="C7EAF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14,738,815</w:t>
            </w:r>
          </w:p>
        </w:tc>
        <w:tc>
          <w:tcPr>
            <w:tcW w:w="140" w:type="dxa"/>
            <w:vAlign w:val="bottom"/>
            <w:tcBorders>
              <w:top w:val="single" w:sz="8" w:color="C7EAF2"/>
            </w:tcBorders>
            <w:shd w:val="clear" w:color="auto" w:fill="C7EAF2"/>
          </w:tcPr>
          <w:p>
            <w:pPr>
              <w:spacing w:after="0"/>
              <w:rPr>
                <w:sz w:val="15"/>
                <w:szCs w:val="15"/>
                <w:color w:val="auto"/>
              </w:rPr>
            </w:pPr>
          </w:p>
        </w:tc>
        <w:tc>
          <w:tcPr>
            <w:tcW w:w="100" w:type="dxa"/>
            <w:vAlign w:val="bottom"/>
            <w:tcBorders>
              <w:top w:val="single" w:sz="8" w:color="auto"/>
              <w:bottom w:val="single" w:sz="8" w:color="auto"/>
            </w:tcBorders>
            <w:shd w:val="clear" w:color="auto" w:fill="C7EAF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top w:val="single" w:sz="8" w:color="auto"/>
              <w:bottom w:val="single" w:sz="8" w:color="auto"/>
            </w:tcBorders>
            <w:shd w:val="clear" w:color="auto" w:fill="C7EAF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1.13</w:t>
            </w:r>
          </w:p>
        </w:tc>
        <w:tc>
          <w:tcPr>
            <w:tcW w:w="140" w:type="dxa"/>
            <w:vAlign w:val="bottom"/>
            <w:tcBorders>
              <w:top w:val="single" w:sz="8" w:color="C7EAF2"/>
            </w:tcBorders>
            <w:shd w:val="clear" w:color="auto" w:fill="C7EAF2"/>
          </w:tcPr>
          <w:p>
            <w:pPr>
              <w:spacing w:after="0"/>
              <w:rPr>
                <w:sz w:val="15"/>
                <w:szCs w:val="15"/>
                <w:color w:val="auto"/>
              </w:rPr>
            </w:pPr>
          </w:p>
        </w:tc>
        <w:tc>
          <w:tcPr>
            <w:tcW w:w="100" w:type="dxa"/>
            <w:vAlign w:val="bottom"/>
            <w:tcBorders>
              <w:top w:val="single" w:sz="8" w:color="auto"/>
              <w:bottom w:val="single" w:sz="8" w:color="auto"/>
            </w:tcBorders>
            <w:shd w:val="clear" w:color="auto" w:fill="C7EAF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40" w:type="dxa"/>
            <w:vAlign w:val="bottom"/>
            <w:tcBorders>
              <w:top w:val="single" w:sz="8" w:color="auto"/>
              <w:bottom w:val="single" w:sz="8" w:color="auto"/>
            </w:tcBorders>
            <w:shd w:val="clear" w:color="auto" w:fill="C7EAF2"/>
          </w:tcPr>
          <w:p>
            <w:pPr>
              <w:spacing w:after="0"/>
              <w:rPr>
                <w:sz w:val="15"/>
                <w:szCs w:val="15"/>
                <w:color w:val="auto"/>
              </w:rPr>
            </w:pPr>
          </w:p>
        </w:tc>
        <w:tc>
          <w:tcPr>
            <w:tcW w:w="560" w:type="dxa"/>
            <w:vAlign w:val="bottom"/>
            <w:tcBorders>
              <w:top w:val="single" w:sz="8" w:color="auto"/>
              <w:bottom w:val="single" w:sz="8" w:color="auto"/>
            </w:tcBorders>
            <w:shd w:val="clear" w:color="auto" w:fill="C7EAF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1,582</w:t>
            </w:r>
          </w:p>
        </w:tc>
        <w:tc>
          <w:tcPr>
            <w:tcW w:w="140" w:type="dxa"/>
            <w:vAlign w:val="bottom"/>
            <w:tcBorders>
              <w:top w:val="single" w:sz="8" w:color="C7EAF2"/>
            </w:tcBorders>
            <w:shd w:val="clear" w:color="auto" w:fill="C7EAF2"/>
          </w:tcPr>
          <w:p>
            <w:pPr>
              <w:spacing w:after="0"/>
              <w:rPr>
                <w:sz w:val="15"/>
                <w:szCs w:val="15"/>
                <w:color w:val="auto"/>
              </w:rPr>
            </w:pPr>
          </w:p>
        </w:tc>
        <w:tc>
          <w:tcPr>
            <w:tcW w:w="740" w:type="dxa"/>
            <w:vAlign w:val="bottom"/>
            <w:tcBorders>
              <w:top w:val="single" w:sz="8" w:color="C7EAF2"/>
              <w:bottom w:val="single" w:sz="8" w:color="auto"/>
            </w:tcBorders>
            <w:shd w:val="clear" w:color="auto" w:fill="C7EAF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5.10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200"/>
        <w:spacing w:after="0" w:line="269" w:lineRule="auto"/>
        <w:rPr>
          <w:sz w:val="20"/>
          <w:szCs w:val="20"/>
          <w:color w:val="auto"/>
        </w:rPr>
      </w:pPr>
      <w:r>
        <w:rPr>
          <w:rFonts w:ascii="Times New Roman" w:cs="Times New Roman" w:eastAsia="Times New Roman" w:hAnsi="Times New Roman"/>
          <w:sz w:val="17"/>
          <w:szCs w:val="17"/>
          <w:color w:val="auto"/>
        </w:rPr>
        <w:t>A summary of the Company’s stock options granted and outstanding under the Company’s STIP as at December 31, 2022 is as follows:</w:t>
      </w:r>
    </w:p>
    <w:p>
      <w:pPr>
        <w:spacing w:after="0" w:line="39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3"/>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Expiry Date</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life to expiry</w:t>
            </w:r>
          </w:p>
        </w:tc>
        <w:tc>
          <w:tcPr>
            <w:tcW w:w="1020" w:type="dxa"/>
            <w:vAlign w:val="bottom"/>
            <w:gridSpan w:val="2"/>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68"/>
        </w:trPr>
        <w:tc>
          <w:tcPr>
            <w:tcW w:w="466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200"/>
        </w:trPr>
        <w:tc>
          <w:tcPr>
            <w:tcW w:w="452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June 30, 2023</w:t>
            </w:r>
          </w:p>
        </w:tc>
        <w:tc>
          <w:tcPr>
            <w:tcW w:w="140" w:type="dxa"/>
            <w:vAlign w:val="bottom"/>
            <w:tcBorders>
              <w:top w:val="single" w:sz="8" w:color="C7EAF2"/>
            </w:tcBorders>
            <w:shd w:val="clear" w:color="auto" w:fill="C7EAF2"/>
          </w:tcPr>
          <w:p>
            <w:pPr>
              <w:spacing w:after="0"/>
              <w:rPr>
                <w:sz w:val="17"/>
                <w:szCs w:val="17"/>
                <w:color w:val="auto"/>
              </w:rPr>
            </w:pPr>
          </w:p>
        </w:tc>
        <w:tc>
          <w:tcPr>
            <w:tcW w:w="1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0.87</w:t>
            </w:r>
          </w:p>
        </w:tc>
        <w:tc>
          <w:tcPr>
            <w:tcW w:w="140" w:type="dxa"/>
            <w:vAlign w:val="bottom"/>
            <w:tcBorders>
              <w:top w:val="single" w:sz="8" w:color="C7EAF2"/>
            </w:tcBorders>
            <w:shd w:val="clear" w:color="auto" w:fill="C7EAF2"/>
          </w:tcPr>
          <w:p>
            <w:pPr>
              <w:spacing w:after="0"/>
              <w:rPr>
                <w:sz w:val="17"/>
                <w:szCs w:val="17"/>
                <w:color w:val="auto"/>
              </w:rPr>
            </w:pPr>
          </w:p>
        </w:tc>
        <w:tc>
          <w:tcPr>
            <w:tcW w:w="106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w w:val="93"/>
              </w:rPr>
              <w:t>0.5</w:t>
            </w:r>
          </w:p>
        </w:tc>
        <w:tc>
          <w:tcPr>
            <w:tcW w:w="140" w:type="dxa"/>
            <w:vAlign w:val="bottom"/>
            <w:tcBorders>
              <w:top w:val="single" w:sz="8" w:color="C7EAF2"/>
            </w:tcBorders>
            <w:shd w:val="clear" w:color="auto" w:fill="C7EAF2"/>
          </w:tcPr>
          <w:p>
            <w:pPr>
              <w:spacing w:after="0"/>
              <w:rPr>
                <w:sz w:val="17"/>
                <w:szCs w:val="17"/>
                <w:color w:val="auto"/>
              </w:rPr>
            </w:pPr>
          </w:p>
        </w:tc>
        <w:tc>
          <w:tcPr>
            <w:tcW w:w="8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162,100</w:t>
            </w:r>
          </w:p>
        </w:tc>
        <w:tc>
          <w:tcPr>
            <w:tcW w:w="140" w:type="dxa"/>
            <w:vAlign w:val="bottom"/>
            <w:tcBorders>
              <w:top w:val="single" w:sz="8" w:color="C7EAF2"/>
            </w:tcBorders>
            <w:shd w:val="clear" w:color="auto" w:fill="C7EAF2"/>
          </w:tcPr>
          <w:p>
            <w:pPr>
              <w:spacing w:after="0"/>
              <w:rPr>
                <w:sz w:val="17"/>
                <w:szCs w:val="17"/>
                <w:color w:val="auto"/>
              </w:rPr>
            </w:pPr>
          </w:p>
        </w:tc>
        <w:tc>
          <w:tcPr>
            <w:tcW w:w="8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162,100</w:t>
            </w:r>
          </w:p>
        </w:tc>
        <w:tc>
          <w:tcPr>
            <w:tcW w:w="0" w:type="dxa"/>
            <w:vAlign w:val="bottom"/>
          </w:tcPr>
          <w:p>
            <w:pPr>
              <w:spacing w:after="0"/>
              <w:rPr>
                <w:sz w:val="1"/>
                <w:szCs w:val="1"/>
                <w:color w:val="auto"/>
              </w:rPr>
            </w:pPr>
          </w:p>
        </w:tc>
      </w:tr>
      <w:tr>
        <w:trPr>
          <w:trHeight w:val="207"/>
        </w:trPr>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March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73,811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73,811</w:t>
            </w:r>
          </w:p>
        </w:tc>
        <w:tc>
          <w:tcPr>
            <w:tcW w:w="0" w:type="dxa"/>
            <w:vAlign w:val="bottom"/>
          </w:tcPr>
          <w:p>
            <w:pPr>
              <w:spacing w:after="0"/>
              <w:rPr>
                <w:sz w:val="1"/>
                <w:szCs w:val="1"/>
                <w:color w:val="auto"/>
              </w:rPr>
            </w:pPr>
          </w:p>
        </w:tc>
      </w:tr>
      <w:tr>
        <w:trPr>
          <w:trHeight w:val="207"/>
        </w:trPr>
        <w:tc>
          <w:tcPr>
            <w:tcW w:w="46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December 31, 2025</w:t>
            </w:r>
          </w:p>
        </w:tc>
        <w:tc>
          <w:tcPr>
            <w:tcW w:w="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shd w:val="clear" w:color="auto" w:fill="C7EAF2"/>
          </w:tcPr>
          <w:p>
            <w:pPr>
              <w:spacing w:after="0"/>
              <w:rPr>
                <w:sz w:val="18"/>
                <w:szCs w:val="18"/>
                <w:color w:val="auto"/>
              </w:rPr>
            </w:pPr>
          </w:p>
        </w:tc>
        <w:tc>
          <w:tcPr>
            <w:tcW w:w="10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3.00</w:t>
            </w:r>
          </w:p>
        </w:tc>
        <w:tc>
          <w:tcPr>
            <w:tcW w:w="140" w:type="dxa"/>
            <w:vAlign w:val="bottom"/>
            <w:shd w:val="clear" w:color="auto" w:fill="C7EAF2"/>
          </w:tcPr>
          <w:p>
            <w:pPr>
              <w:spacing w:after="0"/>
              <w:rPr>
                <w:sz w:val="18"/>
                <w:szCs w:val="18"/>
                <w:color w:val="auto"/>
              </w:rPr>
            </w:pPr>
          </w:p>
        </w:tc>
        <w:tc>
          <w:tcPr>
            <w:tcW w:w="8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11,578</w:t>
            </w:r>
          </w:p>
        </w:tc>
        <w:tc>
          <w:tcPr>
            <w:tcW w:w="140" w:type="dxa"/>
            <w:vAlign w:val="bottom"/>
            <w:shd w:val="clear" w:color="auto" w:fill="C7EAF2"/>
          </w:tcPr>
          <w:p>
            <w:pPr>
              <w:spacing w:after="0"/>
              <w:rPr>
                <w:sz w:val="18"/>
                <w:szCs w:val="18"/>
                <w:color w:val="auto"/>
              </w:rPr>
            </w:pP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11,578</w:t>
            </w:r>
          </w:p>
        </w:tc>
        <w:tc>
          <w:tcPr>
            <w:tcW w:w="0" w:type="dxa"/>
            <w:vAlign w:val="bottom"/>
          </w:tcPr>
          <w:p>
            <w:pPr>
              <w:spacing w:after="0"/>
              <w:rPr>
                <w:sz w:val="1"/>
                <w:szCs w:val="1"/>
                <w:color w:val="auto"/>
              </w:rPr>
            </w:pPr>
          </w:p>
        </w:tc>
      </w:tr>
      <w:tr>
        <w:trPr>
          <w:trHeight w:val="207"/>
        </w:trPr>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January 27,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0.52 - $2.59</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1,075,229</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1,075,229</w:t>
            </w:r>
          </w:p>
        </w:tc>
        <w:tc>
          <w:tcPr>
            <w:tcW w:w="0" w:type="dxa"/>
            <w:vAlign w:val="bottom"/>
          </w:tcPr>
          <w:p>
            <w:pPr>
              <w:spacing w:after="0"/>
              <w:rPr>
                <w:sz w:val="1"/>
                <w:szCs w:val="1"/>
                <w:color w:val="auto"/>
              </w:rPr>
            </w:pPr>
          </w:p>
        </w:tc>
      </w:tr>
      <w:tr>
        <w:trPr>
          <w:trHeight w:val="207"/>
        </w:trPr>
        <w:tc>
          <w:tcPr>
            <w:tcW w:w="46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February 2, 2026</w:t>
            </w:r>
          </w:p>
        </w:tc>
        <w:tc>
          <w:tcPr>
            <w:tcW w:w="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shd w:val="clear" w:color="auto" w:fill="C7EAF2"/>
          </w:tcPr>
          <w:p>
            <w:pPr>
              <w:spacing w:after="0"/>
              <w:rPr>
                <w:sz w:val="18"/>
                <w:szCs w:val="18"/>
                <w:color w:val="auto"/>
              </w:rPr>
            </w:pPr>
          </w:p>
        </w:tc>
        <w:tc>
          <w:tcPr>
            <w:tcW w:w="10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3.09</w:t>
            </w:r>
          </w:p>
        </w:tc>
        <w:tc>
          <w:tcPr>
            <w:tcW w:w="140" w:type="dxa"/>
            <w:vAlign w:val="bottom"/>
            <w:shd w:val="clear" w:color="auto" w:fill="C7EAF2"/>
          </w:tcPr>
          <w:p>
            <w:pPr>
              <w:spacing w:after="0"/>
              <w:rPr>
                <w:sz w:val="18"/>
                <w:szCs w:val="18"/>
                <w:color w:val="auto"/>
              </w:rPr>
            </w:pPr>
          </w:p>
        </w:tc>
        <w:tc>
          <w:tcPr>
            <w:tcW w:w="8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57,893</w:t>
            </w:r>
          </w:p>
        </w:tc>
        <w:tc>
          <w:tcPr>
            <w:tcW w:w="140" w:type="dxa"/>
            <w:vAlign w:val="bottom"/>
            <w:shd w:val="clear" w:color="auto" w:fill="C7EAF2"/>
          </w:tcPr>
          <w:p>
            <w:pPr>
              <w:spacing w:after="0"/>
              <w:rPr>
                <w:sz w:val="18"/>
                <w:szCs w:val="18"/>
                <w:color w:val="auto"/>
              </w:rPr>
            </w:pP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57,893</w:t>
            </w:r>
          </w:p>
        </w:tc>
        <w:tc>
          <w:tcPr>
            <w:tcW w:w="0" w:type="dxa"/>
            <w:vAlign w:val="bottom"/>
          </w:tcPr>
          <w:p>
            <w:pPr>
              <w:spacing w:after="0"/>
              <w:rPr>
                <w:sz w:val="1"/>
                <w:szCs w:val="1"/>
                <w:color w:val="auto"/>
              </w:rPr>
            </w:pPr>
          </w:p>
        </w:tc>
      </w:tr>
      <w:tr>
        <w:trPr>
          <w:trHeight w:val="207"/>
        </w:trPr>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17,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0.22 - $0.52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3.13</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431,494</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431,494</w:t>
            </w:r>
          </w:p>
        </w:tc>
        <w:tc>
          <w:tcPr>
            <w:tcW w:w="0" w:type="dxa"/>
            <w:vAlign w:val="bottom"/>
          </w:tcPr>
          <w:p>
            <w:pPr>
              <w:spacing w:after="0"/>
              <w:rPr>
                <w:sz w:val="1"/>
                <w:szCs w:val="1"/>
                <w:color w:val="auto"/>
              </w:rPr>
            </w:pPr>
          </w:p>
        </w:tc>
      </w:tr>
      <w:tr>
        <w:trPr>
          <w:trHeight w:val="207"/>
        </w:trPr>
        <w:tc>
          <w:tcPr>
            <w:tcW w:w="46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June 1, 2028</w:t>
            </w:r>
          </w:p>
        </w:tc>
        <w:tc>
          <w:tcPr>
            <w:tcW w:w="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7EAF2"/>
          </w:tcPr>
          <w:p>
            <w:pPr>
              <w:jc w:val="center"/>
              <w:ind w:right="140"/>
              <w:spacing w:after="0"/>
              <w:rPr>
                <w:sz w:val="20"/>
                <w:szCs w:val="20"/>
                <w:color w:val="auto"/>
              </w:rPr>
            </w:pPr>
            <w:r>
              <w:rPr>
                <w:rFonts w:ascii="Times New Roman" w:cs="Times New Roman" w:eastAsia="Times New Roman" w:hAnsi="Times New Roman"/>
                <w:sz w:val="17"/>
                <w:szCs w:val="17"/>
                <w:color w:val="auto"/>
              </w:rPr>
              <w:t>0.65 - $8.64</w:t>
            </w:r>
          </w:p>
        </w:tc>
        <w:tc>
          <w:tcPr>
            <w:tcW w:w="10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5.42</w:t>
            </w:r>
          </w:p>
        </w:tc>
        <w:tc>
          <w:tcPr>
            <w:tcW w:w="140" w:type="dxa"/>
            <w:vAlign w:val="bottom"/>
            <w:shd w:val="clear" w:color="auto" w:fill="C7EAF2"/>
          </w:tcPr>
          <w:p>
            <w:pPr>
              <w:spacing w:after="0"/>
              <w:rPr>
                <w:sz w:val="18"/>
                <w:szCs w:val="18"/>
                <w:color w:val="auto"/>
              </w:rPr>
            </w:pPr>
          </w:p>
        </w:tc>
        <w:tc>
          <w:tcPr>
            <w:tcW w:w="8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12,849,518</w:t>
            </w:r>
          </w:p>
        </w:tc>
        <w:tc>
          <w:tcPr>
            <w:tcW w:w="140" w:type="dxa"/>
            <w:vAlign w:val="bottom"/>
            <w:shd w:val="clear" w:color="auto" w:fill="C7EAF2"/>
          </w:tcPr>
          <w:p>
            <w:pPr>
              <w:spacing w:after="0"/>
              <w:rPr>
                <w:sz w:val="18"/>
                <w:szCs w:val="18"/>
                <w:color w:val="auto"/>
              </w:rPr>
            </w:pP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shd w:val="clear" w:color="auto" w:fill="C7EAF2"/>
              </w:rPr>
              <w:t>12,231,993</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7EAF2"/>
            </w:tcBorders>
            <w:gridSpan w:val="2"/>
          </w:tcPr>
          <w:p>
            <w:pPr>
              <w:spacing w:after="0"/>
              <w:rPr>
                <w:sz w:val="20"/>
                <w:szCs w:val="20"/>
                <w:color w:val="auto"/>
              </w:rPr>
            </w:pPr>
            <w:r>
              <w:rPr>
                <w:rFonts w:ascii="Times New Roman" w:cs="Times New Roman" w:eastAsia="Times New Roman" w:hAnsi="Times New Roman"/>
                <w:sz w:val="17"/>
                <w:szCs w:val="17"/>
                <w:color w:val="auto"/>
              </w:rPr>
              <w:t>June 30, 2028</w:t>
            </w:r>
          </w:p>
        </w:tc>
        <w:tc>
          <w:tcPr>
            <w:tcW w:w="100" w:type="dxa"/>
            <w:vAlign w:val="bottom"/>
            <w:tcBorders>
              <w:bottom w:val="single" w:sz="8" w:color="C7EAF2"/>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C7EAF2"/>
            </w:tcBorders>
          </w:tcPr>
          <w:p>
            <w:pPr>
              <w:jc w:val="center"/>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Borders>
              <w:bottom w:val="single" w:sz="8" w:color="C7EAF2"/>
            </w:tcBorders>
          </w:tcPr>
          <w:p>
            <w:pPr>
              <w:spacing w:after="0"/>
              <w:rPr>
                <w:sz w:val="18"/>
                <w:szCs w:val="18"/>
                <w:color w:val="auto"/>
              </w:rPr>
            </w:pPr>
          </w:p>
        </w:tc>
        <w:tc>
          <w:tcPr>
            <w:tcW w:w="1060" w:type="dxa"/>
            <w:vAlign w:val="bottom"/>
            <w:tcBorders>
              <w:bottom w:val="single" w:sz="8" w:color="C7EAF2"/>
            </w:tcBorders>
          </w:tcPr>
          <w:p>
            <w:pPr>
              <w:jc w:val="center"/>
              <w:spacing w:after="0"/>
              <w:rPr>
                <w:sz w:val="20"/>
                <w:szCs w:val="20"/>
                <w:color w:val="auto"/>
              </w:rPr>
            </w:pPr>
            <w:r>
              <w:rPr>
                <w:rFonts w:ascii="Times New Roman" w:cs="Times New Roman" w:eastAsia="Times New Roman" w:hAnsi="Times New Roman"/>
                <w:sz w:val="17"/>
                <w:szCs w:val="17"/>
                <w:color w:val="auto"/>
              </w:rPr>
              <w:t>5.50</w:t>
            </w:r>
          </w:p>
        </w:tc>
        <w:tc>
          <w:tcPr>
            <w:tcW w:w="140" w:type="dxa"/>
            <w:vAlign w:val="bottom"/>
            <w:tcBorders>
              <w:bottom w:val="single" w:sz="8" w:color="C7EAF2"/>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694,717</w:t>
            </w:r>
          </w:p>
        </w:tc>
        <w:tc>
          <w:tcPr>
            <w:tcW w:w="140" w:type="dxa"/>
            <w:vAlign w:val="bottom"/>
            <w:tcBorders>
              <w:bottom w:val="single" w:sz="8" w:color="C7EAF2"/>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694,717</w:t>
            </w:r>
          </w:p>
        </w:tc>
        <w:tc>
          <w:tcPr>
            <w:tcW w:w="0" w:type="dxa"/>
            <w:vAlign w:val="bottom"/>
          </w:tcPr>
          <w:p>
            <w:pPr>
              <w:spacing w:after="0"/>
              <w:rPr>
                <w:sz w:val="1"/>
                <w:szCs w:val="1"/>
                <w:color w:val="auto"/>
              </w:rPr>
            </w:pPr>
          </w:p>
        </w:tc>
      </w:tr>
      <w:tr>
        <w:trPr>
          <w:trHeight w:val="200"/>
        </w:trPr>
        <w:tc>
          <w:tcPr>
            <w:tcW w:w="4520" w:type="dxa"/>
            <w:vAlign w:val="bottom"/>
            <w:tcBorders>
              <w:bottom w:val="single" w:sz="8" w:color="C7EAF2"/>
            </w:tcBorders>
            <w:shd w:val="clear" w:color="auto" w:fill="C7EAF2"/>
          </w:tcPr>
          <w:p>
            <w:pPr>
              <w:spacing w:after="0"/>
              <w:rPr>
                <w:sz w:val="17"/>
                <w:szCs w:val="17"/>
                <w:color w:val="auto"/>
              </w:rPr>
            </w:pPr>
          </w:p>
        </w:tc>
        <w:tc>
          <w:tcPr>
            <w:tcW w:w="140" w:type="dxa"/>
            <w:vAlign w:val="bottom"/>
            <w:tcBorders>
              <w:bottom w:val="single" w:sz="8" w:color="C7EAF2"/>
            </w:tcBorders>
            <w:shd w:val="clear" w:color="auto" w:fill="C7EAF2"/>
          </w:tcPr>
          <w:p>
            <w:pPr>
              <w:spacing w:after="0"/>
              <w:rPr>
                <w:sz w:val="17"/>
                <w:szCs w:val="17"/>
                <w:color w:val="auto"/>
              </w:rPr>
            </w:pPr>
          </w:p>
        </w:tc>
        <w:tc>
          <w:tcPr>
            <w:tcW w:w="100" w:type="dxa"/>
            <w:vAlign w:val="bottom"/>
            <w:tcBorders>
              <w:bottom w:val="single" w:sz="8" w:color="C7EAF2"/>
            </w:tcBorders>
            <w:shd w:val="clear" w:color="auto" w:fill="C7EAF2"/>
          </w:tcPr>
          <w:p>
            <w:pPr>
              <w:spacing w:after="0"/>
              <w:rPr>
                <w:sz w:val="17"/>
                <w:szCs w:val="17"/>
                <w:color w:val="auto"/>
              </w:rPr>
            </w:pPr>
          </w:p>
        </w:tc>
        <w:tc>
          <w:tcPr>
            <w:tcW w:w="840" w:type="dxa"/>
            <w:vAlign w:val="bottom"/>
            <w:tcBorders>
              <w:bottom w:val="single" w:sz="8" w:color="C7EAF2"/>
            </w:tcBorders>
            <w:shd w:val="clear" w:color="auto" w:fill="C7EAF2"/>
          </w:tcPr>
          <w:p>
            <w:pPr>
              <w:spacing w:after="0"/>
              <w:rPr>
                <w:sz w:val="17"/>
                <w:szCs w:val="17"/>
                <w:color w:val="auto"/>
              </w:rPr>
            </w:pPr>
          </w:p>
        </w:tc>
        <w:tc>
          <w:tcPr>
            <w:tcW w:w="140" w:type="dxa"/>
            <w:vAlign w:val="bottom"/>
            <w:tcBorders>
              <w:bottom w:val="single" w:sz="8" w:color="C7EAF2"/>
            </w:tcBorders>
            <w:shd w:val="clear" w:color="auto" w:fill="C7EAF2"/>
          </w:tcPr>
          <w:p>
            <w:pPr>
              <w:spacing w:after="0"/>
              <w:rPr>
                <w:sz w:val="17"/>
                <w:szCs w:val="17"/>
                <w:color w:val="auto"/>
              </w:rPr>
            </w:pPr>
          </w:p>
        </w:tc>
        <w:tc>
          <w:tcPr>
            <w:tcW w:w="1060" w:type="dxa"/>
            <w:vAlign w:val="bottom"/>
            <w:tcBorders>
              <w:bottom w:val="single" w:sz="8" w:color="C7EAF2"/>
            </w:tcBorders>
            <w:shd w:val="clear" w:color="auto" w:fill="C7EAF2"/>
          </w:tcPr>
          <w:p>
            <w:pPr>
              <w:spacing w:after="0"/>
              <w:rPr>
                <w:sz w:val="17"/>
                <w:szCs w:val="17"/>
                <w:color w:val="auto"/>
              </w:rPr>
            </w:pPr>
          </w:p>
        </w:tc>
        <w:tc>
          <w:tcPr>
            <w:tcW w:w="140" w:type="dxa"/>
            <w:vAlign w:val="bottom"/>
            <w:tcBorders>
              <w:bottom w:val="single" w:sz="8" w:color="C7EAF2"/>
            </w:tcBorders>
            <w:shd w:val="clear" w:color="auto" w:fill="C7EAF2"/>
          </w:tcPr>
          <w:p>
            <w:pPr>
              <w:spacing w:after="0"/>
              <w:rPr>
                <w:sz w:val="17"/>
                <w:szCs w:val="17"/>
                <w:color w:val="auto"/>
              </w:rPr>
            </w:pPr>
          </w:p>
        </w:tc>
        <w:tc>
          <w:tcPr>
            <w:tcW w:w="88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15,356,340</w:t>
            </w:r>
          </w:p>
        </w:tc>
        <w:tc>
          <w:tcPr>
            <w:tcW w:w="140" w:type="dxa"/>
            <w:vAlign w:val="bottom"/>
            <w:tcBorders>
              <w:bottom w:val="single" w:sz="8" w:color="C7EAF2"/>
            </w:tcBorders>
            <w:shd w:val="clear" w:color="auto" w:fill="C7EAF2"/>
          </w:tcPr>
          <w:p>
            <w:pPr>
              <w:spacing w:after="0"/>
              <w:rPr>
                <w:sz w:val="17"/>
                <w:szCs w:val="17"/>
                <w:color w:val="auto"/>
              </w:rPr>
            </w:pPr>
          </w:p>
        </w:tc>
        <w:tc>
          <w:tcPr>
            <w:tcW w:w="8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shd w:val="clear" w:color="auto" w:fill="C7EAF2"/>
              </w:rPr>
              <w:t>14,738,815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The total grant date fair value of STIP stock options that vested during the year ended December 31, 2022, was $2.4 million. As at December 31, 2022, total unrecognized share-based compensation expense of $0.6 million is expected to be recognized over a weighted-average recognition period of approximately one year.</w:t>
      </w:r>
    </w:p>
    <w:p>
      <w:pPr>
        <w:spacing w:after="0" w:line="155"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On March 4, 2021, the Company granted 9,783,922 stock options under its LTIP. These stock options have an exercise price of $0.65 per option and expire on June 1, 2028. The aggregate intrinsic value of LTIP stock options as at December 31, 2022 was $1.2 million. None of the LTIP stock options were exercisable on December 31, 2022. The Company expects LTIP options to vest as and when the market and performance milestones described below are achieved. As at December 31, 2022, total unrecognized share-based compensation expense for the LTIP stock options was $23 million.</w:t>
      </w:r>
    </w:p>
    <w:p>
      <w:pPr>
        <w:spacing w:after="0" w:line="165" w:lineRule="exact"/>
        <w:rPr>
          <w:sz w:val="20"/>
          <w:szCs w:val="20"/>
          <w:color w:val="auto"/>
        </w:rPr>
      </w:pPr>
    </w:p>
    <w:p>
      <w:pPr>
        <w:jc w:val="both"/>
        <w:ind w:left="200" w:right="20"/>
        <w:spacing w:after="0" w:line="298" w:lineRule="auto"/>
        <w:rPr>
          <w:sz w:val="20"/>
          <w:szCs w:val="20"/>
          <w:color w:val="auto"/>
        </w:rPr>
      </w:pPr>
      <w:r>
        <w:rPr>
          <w:rFonts w:ascii="Times New Roman" w:cs="Times New Roman" w:eastAsia="Times New Roman" w:hAnsi="Times New Roman"/>
          <w:sz w:val="17"/>
          <w:szCs w:val="17"/>
          <w:color w:val="auto"/>
        </w:rPr>
        <w:t>As at December 31, 2022, the fair value of the Company’s common shares was $0.77 per share. As at December 31, 2022, the Company used the closing market price of its common shares to determine the intrinsic value of outstanding stock options.</w:t>
      </w:r>
    </w:p>
    <w:p>
      <w:pPr>
        <w:sectPr>
          <w:pgSz w:w="12240" w:h="15840" w:orient="portrait"/>
          <w:cols w:equalWidth="0" w:num="1">
            <w:col w:w="9500"/>
          </w:cols>
          <w:pgMar w:left="1440" w:top="1334" w:right="1300" w:bottom="1440" w:gutter="0" w:footer="0" w:header="0"/>
        </w:sectPr>
      </w:pPr>
    </w:p>
    <w:p>
      <w:pPr>
        <w:spacing w:after="0" w:line="3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89" name="Shape 4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535">
                          <a:solidFill>
                            <a:srgbClr val="000000"/>
                          </a:solidFill>
                          <a:miter lim="800000"/>
                          <a:headEnd/>
                          <a:tailEnd/>
                        </a:ln>
                      </wps:spPr>
                      <wps:bodyPr/>
                    </wps:wsp>
                  </a:graphicData>
                </a:graphic>
              </wp:anchor>
            </w:drawing>
          </mc:Choice>
          <mc:Fallback>
            <w:pict>
              <v:line id="Shape 489" o:spid="_x0000_s15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302pt"/>
            </w:pict>
          </mc:Fallback>
        </mc:AlternateContent>
      </w:r>
    </w:p>
    <w:p>
      <w:pPr>
        <w:sectPr>
          <w:pgSz w:w="12240" w:h="15840" w:orient="portrait"/>
          <w:cols w:equalWidth="0" w:num="1">
            <w:col w:w="9500"/>
          </w:cols>
          <w:pgMar w:left="1440" w:top="1334" w:right="1300" w:bottom="1440" w:gutter="0" w:footer="0" w:header="0"/>
          <w:type w:val="continuous"/>
        </w:sectPr>
      </w:pPr>
    </w:p>
    <w:bookmarkStart w:id="148" w:name="page149"/>
    <w:bookmarkEnd w:id="148"/>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32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324">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200" w:right="1180"/>
        <w:spacing w:after="0" w:line="509" w:lineRule="auto"/>
        <w:rPr>
          <w:sz w:val="20"/>
          <w:szCs w:val="20"/>
          <w:color w:val="auto"/>
        </w:rPr>
      </w:pPr>
      <w:r>
        <w:rPr>
          <w:rFonts w:ascii="Times New Roman" w:cs="Times New Roman" w:eastAsia="Times New Roman" w:hAnsi="Times New Roman"/>
          <w:sz w:val="17"/>
          <w:szCs w:val="17"/>
          <w:color w:val="auto"/>
        </w:rPr>
        <w:t xml:space="preserve">The aggregate intrinsic value of stock options exercised during the year ended December 31, 2022 was $62 thousand. </w:t>
      </w:r>
      <w:r>
        <w:rPr>
          <w:rFonts w:ascii="Times New Roman" w:cs="Times New Roman" w:eastAsia="Times New Roman" w:hAnsi="Times New Roman"/>
          <w:sz w:val="17"/>
          <w:szCs w:val="17"/>
          <w:b w:val="1"/>
          <w:bCs w:val="1"/>
          <w:color w:val="auto"/>
        </w:rPr>
        <w:t>Activity and Valuation</w:t>
      </w:r>
    </w:p>
    <w:p>
      <w:pPr>
        <w:ind w:left="200" w:right="20" w:firstLine="1"/>
        <w:spacing w:after="0" w:line="298" w:lineRule="auto"/>
        <w:rPr>
          <w:sz w:val="20"/>
          <w:szCs w:val="20"/>
          <w:color w:val="auto"/>
        </w:rPr>
      </w:pPr>
      <w:r>
        <w:rPr>
          <w:rFonts w:ascii="Times New Roman" w:cs="Times New Roman" w:eastAsia="Times New Roman" w:hAnsi="Times New Roman"/>
          <w:sz w:val="17"/>
          <w:szCs w:val="17"/>
          <w:color w:val="auto"/>
        </w:rPr>
        <w:t>During 2022, the board of directors approved the extension of the expiry dates of certain stock option grants to reflect the extension of various consulting contracts, resulting in share-based compensation expense of $0.4 million.</w:t>
      </w:r>
    </w:p>
    <w:p>
      <w:pPr>
        <w:spacing w:after="0" w:line="1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fair value of these modifications was calculated using Black-Scholes option pricing models.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u w:val="single" w:color="auto"/>
          <w:color w:val="auto"/>
        </w:rPr>
        <w:t>Outstanding under LTIP plan:</w:t>
      </w:r>
    </w:p>
    <w:p>
      <w:pPr>
        <w:spacing w:after="0" w:line="222" w:lineRule="exact"/>
        <w:rPr>
          <w:sz w:val="20"/>
          <w:szCs w:val="20"/>
          <w:color w:val="auto"/>
        </w:rPr>
      </w:pPr>
    </w:p>
    <w:p>
      <w:pPr>
        <w:ind w:left="200" w:right="20"/>
        <w:spacing w:after="0" w:line="298" w:lineRule="auto"/>
        <w:rPr>
          <w:sz w:val="20"/>
          <w:szCs w:val="20"/>
          <w:color w:val="auto"/>
        </w:rPr>
      </w:pPr>
      <w:r>
        <w:rPr>
          <w:rFonts w:ascii="Times New Roman" w:cs="Times New Roman" w:eastAsia="Times New Roman" w:hAnsi="Times New Roman"/>
          <w:sz w:val="17"/>
          <w:szCs w:val="17"/>
          <w:color w:val="auto"/>
        </w:rPr>
        <w:t>The stock options granted under the Company’s LTIP plan have an exercise price of $0.65 per share and expire on June 1, 2028. The LTIP awards vest as follows:</w:t>
      </w:r>
    </w:p>
    <w:p>
      <w:pPr>
        <w:spacing w:after="0" w:line="137" w:lineRule="exact"/>
        <w:rPr>
          <w:sz w:val="20"/>
          <w:szCs w:val="20"/>
          <w:color w:val="auto"/>
        </w:rPr>
      </w:pPr>
    </w:p>
    <w:p>
      <w:pPr>
        <w:ind w:left="840" w:hanging="304"/>
        <w:spacing w:after="0"/>
        <w:tabs>
          <w:tab w:leader="none" w:pos="8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1 - 25% when the Company’s market capitalization equals $3 billion;</w:t>
      </w:r>
    </w:p>
    <w:p>
      <w:pPr>
        <w:spacing w:after="0" w:line="11" w:lineRule="exact"/>
        <w:rPr>
          <w:rFonts w:ascii="Times New Roman" w:cs="Times New Roman" w:eastAsia="Times New Roman" w:hAnsi="Times New Roman"/>
          <w:sz w:val="17"/>
          <w:szCs w:val="17"/>
          <w:color w:val="auto"/>
        </w:rPr>
      </w:pPr>
    </w:p>
    <w:p>
      <w:pPr>
        <w:ind w:left="840" w:hanging="304"/>
        <w:spacing w:after="0"/>
        <w:tabs>
          <w:tab w:leader="none" w:pos="8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2 - 35% when the Company’s market capitalization equals $6 billion;</w:t>
      </w:r>
    </w:p>
    <w:p>
      <w:pPr>
        <w:spacing w:after="0" w:line="11" w:lineRule="exact"/>
        <w:rPr>
          <w:rFonts w:ascii="Times New Roman" w:cs="Times New Roman" w:eastAsia="Times New Roman" w:hAnsi="Times New Roman"/>
          <w:sz w:val="17"/>
          <w:szCs w:val="17"/>
          <w:color w:val="auto"/>
        </w:rPr>
      </w:pPr>
    </w:p>
    <w:p>
      <w:pPr>
        <w:ind w:left="840" w:hanging="304"/>
        <w:spacing w:after="0"/>
        <w:tabs>
          <w:tab w:leader="none" w:pos="8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3 - 20% upon the date that the ISA grants an exploitation contract to the Company; and</w:t>
      </w:r>
    </w:p>
    <w:p>
      <w:pPr>
        <w:spacing w:after="0" w:line="11" w:lineRule="exact"/>
        <w:rPr>
          <w:rFonts w:ascii="Times New Roman" w:cs="Times New Roman" w:eastAsia="Times New Roman" w:hAnsi="Times New Roman"/>
          <w:sz w:val="17"/>
          <w:szCs w:val="17"/>
          <w:color w:val="auto"/>
        </w:rPr>
      </w:pPr>
    </w:p>
    <w:p>
      <w:pPr>
        <w:ind w:left="840" w:hanging="304"/>
        <w:spacing w:after="0" w:line="269" w:lineRule="auto"/>
        <w:tabs>
          <w:tab w:leader="none" w:pos="8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4 - 20% upon the commencement of the first commercial production following the grant of the exploitation contract.</w:t>
      </w:r>
    </w:p>
    <w:p>
      <w:pPr>
        <w:spacing w:after="0" w:line="200" w:lineRule="exact"/>
        <w:rPr>
          <w:sz w:val="20"/>
          <w:szCs w:val="20"/>
          <w:color w:val="auto"/>
        </w:rPr>
      </w:pPr>
    </w:p>
    <w:p>
      <w:pPr>
        <w:spacing w:after="0" w:line="203" w:lineRule="exact"/>
        <w:rPr>
          <w:sz w:val="20"/>
          <w:szCs w:val="20"/>
          <w:color w:val="auto"/>
        </w:rPr>
      </w:pPr>
    </w:p>
    <w:p>
      <w:pPr>
        <w:jc w:val="both"/>
        <w:ind w:left="200"/>
        <w:spacing w:after="0" w:line="265" w:lineRule="auto"/>
        <w:rPr>
          <w:sz w:val="20"/>
          <w:szCs w:val="20"/>
          <w:color w:val="auto"/>
        </w:rPr>
      </w:pPr>
      <w:r>
        <w:rPr>
          <w:rFonts w:ascii="Times New Roman" w:cs="Times New Roman" w:eastAsia="Times New Roman" w:hAnsi="Times New Roman"/>
          <w:sz w:val="17"/>
          <w:szCs w:val="17"/>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165" w:lineRule="exact"/>
        <w:rPr>
          <w:sz w:val="20"/>
          <w:szCs w:val="20"/>
          <w:color w:val="auto"/>
        </w:rPr>
      </w:pPr>
    </w:p>
    <w:p>
      <w:pPr>
        <w:jc w:val="both"/>
        <w:ind w:left="200"/>
        <w:spacing w:after="0" w:line="262" w:lineRule="auto"/>
        <w:rPr>
          <w:sz w:val="20"/>
          <w:szCs w:val="20"/>
          <w:color w:val="auto"/>
        </w:rPr>
      </w:pPr>
      <w:r>
        <w:rPr>
          <w:rFonts w:ascii="Times New Roman" w:cs="Times New Roman" w:eastAsia="Times New Roman" w:hAnsi="Times New Roman"/>
          <w:sz w:val="17"/>
          <w:szCs w:val="17"/>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December 31, 2022,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379" w:lineRule="exact"/>
        <w:rPr>
          <w:sz w:val="20"/>
          <w:szCs w:val="20"/>
          <w:color w:val="auto"/>
        </w:rPr>
      </w:pPr>
    </w:p>
    <w:p>
      <w:pPr>
        <w:jc w:val="both"/>
        <w:ind w:left="200" w:firstLine="1"/>
        <w:spacing w:after="0" w:line="269" w:lineRule="auto"/>
        <w:rPr>
          <w:sz w:val="20"/>
          <w:szCs w:val="20"/>
          <w:color w:val="auto"/>
        </w:rPr>
      </w:pPr>
      <w:r>
        <w:rPr>
          <w:rFonts w:ascii="Times New Roman" w:cs="Times New Roman" w:eastAsia="Times New Roman" w:hAnsi="Times New Roman"/>
          <w:sz w:val="17"/>
          <w:szCs w:val="17"/>
          <w:color w:val="auto"/>
        </w:rPr>
        <w:t>The fair value of awards granted under the LTIP was estimated on the date of grant using the following weighted average assumptions:</w:t>
      </w:r>
    </w:p>
    <w:p>
      <w:pPr>
        <w:spacing w:after="0" w:line="39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8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6"/>
              </w:rPr>
              <w:t>Tranche 1 and</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Tranche 3</w:t>
            </w:r>
            <w:r>
              <w:rPr>
                <w:rFonts w:ascii="Times New Roman" w:cs="Times New Roman" w:eastAsia="Times New Roman" w:hAnsi="Times New Roman"/>
                <w:sz w:val="20"/>
                <w:szCs w:val="20"/>
                <w:b w:val="1"/>
                <w:bCs w:val="1"/>
                <w:color w:val="auto"/>
                <w:vertAlign w:val="superscript"/>
              </w:rPr>
              <w:t>2</w:t>
            </w:r>
          </w:p>
        </w:tc>
        <w:tc>
          <w:tcPr>
            <w:tcW w:w="1060" w:type="dxa"/>
            <w:vAlign w:val="bottom"/>
            <w:gridSpan w:val="2"/>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1"/>
              </w:rPr>
              <w:t>Tranche 4</w:t>
            </w:r>
            <w:r>
              <w:rPr>
                <w:rFonts w:ascii="Times New Roman" w:cs="Times New Roman" w:eastAsia="Times New Roman" w:hAnsi="Times New Roman"/>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334"/>
              <w:spacing w:after="0" w:line="168" w:lineRule="exact"/>
              <w:rPr>
                <w:sz w:val="20"/>
                <w:szCs w:val="20"/>
                <w:color w:val="auto"/>
              </w:rPr>
            </w:pPr>
            <w:r>
              <w:rPr>
                <w:rFonts w:ascii="Times New Roman" w:cs="Times New Roman" w:eastAsia="Times New Roman" w:hAnsi="Times New Roman"/>
                <w:sz w:val="13"/>
                <w:szCs w:val="13"/>
                <w:b w:val="1"/>
                <w:bCs w:val="1"/>
                <w:color w:val="auto"/>
              </w:rPr>
              <w:t>Tranche 2</w:t>
            </w:r>
            <w:r>
              <w:rPr>
                <w:rFonts w:ascii="Times New Roman" w:cs="Times New Roman" w:eastAsia="Times New Roman" w:hAnsi="Times New Roman"/>
                <w:sz w:val="19"/>
                <w:szCs w:val="19"/>
                <w:b w:val="1"/>
                <w:bCs w:val="1"/>
                <w:color w:val="auto"/>
                <w:vertAlign w:val="superscript"/>
              </w:rPr>
              <w:t>1</w:t>
            </w:r>
          </w:p>
        </w:tc>
        <w:tc>
          <w:tcPr>
            <w:tcW w:w="108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400" w:type="dxa"/>
            <w:vAlign w:val="bottom"/>
            <w:tcBorders>
              <w:top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Expected stock price volatility</w:t>
            </w:r>
          </w:p>
        </w:tc>
        <w:tc>
          <w:tcPr>
            <w:tcW w:w="160" w:type="dxa"/>
            <w:vAlign w:val="bottom"/>
            <w:tcBorders>
              <w:top w:val="single" w:sz="8" w:color="auto"/>
            </w:tcBorders>
            <w:shd w:val="clear" w:color="auto" w:fill="C7EAF2"/>
          </w:tcPr>
          <w:p>
            <w:pPr>
              <w:spacing w:after="0"/>
              <w:rPr>
                <w:sz w:val="17"/>
                <w:szCs w:val="17"/>
                <w:color w:val="auto"/>
              </w:rPr>
            </w:pPr>
          </w:p>
        </w:tc>
        <w:tc>
          <w:tcPr>
            <w:tcW w:w="7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380" w:type="dxa"/>
            <w:vAlign w:val="bottom"/>
            <w:tcBorders>
              <w:top w:val="single" w:sz="8" w:color="C7EAF2"/>
            </w:tcBorders>
            <w:shd w:val="clear" w:color="auto" w:fill="C7EAF2"/>
          </w:tcPr>
          <w:p>
            <w:pPr>
              <w:jc w:val="right"/>
              <w:ind w:right="134"/>
              <w:spacing w:after="0"/>
              <w:rPr>
                <w:sz w:val="20"/>
                <w:szCs w:val="20"/>
                <w:color w:val="auto"/>
              </w:rPr>
            </w:pPr>
            <w:r>
              <w:rPr>
                <w:rFonts w:ascii="Times New Roman" w:cs="Times New Roman" w:eastAsia="Times New Roman" w:hAnsi="Times New Roman"/>
                <w:sz w:val="17"/>
                <w:szCs w:val="17"/>
                <w:color w:val="auto"/>
                <w:w w:val="98"/>
              </w:rPr>
              <w:t>%</w:t>
            </w:r>
          </w:p>
        </w:tc>
        <w:tc>
          <w:tcPr>
            <w:tcW w:w="220" w:type="dxa"/>
            <w:vAlign w:val="bottom"/>
            <w:tcBorders>
              <w:top w:val="single" w:sz="8" w:color="auto"/>
            </w:tcBorders>
            <w:shd w:val="clear" w:color="auto" w:fill="C7EAF2"/>
          </w:tcPr>
          <w:p>
            <w:pPr>
              <w:spacing w:after="0"/>
              <w:rPr>
                <w:sz w:val="17"/>
                <w:szCs w:val="17"/>
                <w:color w:val="auto"/>
              </w:rPr>
            </w:pPr>
          </w:p>
        </w:tc>
        <w:tc>
          <w:tcPr>
            <w:tcW w:w="4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380" w:type="dxa"/>
            <w:vAlign w:val="bottom"/>
            <w:tcBorders>
              <w:top w:val="single" w:sz="8" w:color="C7EAF2"/>
            </w:tcBorders>
            <w:shd w:val="clear" w:color="auto" w:fill="C7EAF2"/>
          </w:tcPr>
          <w:p>
            <w:pPr>
              <w:jc w:val="right"/>
              <w:ind w:right="154"/>
              <w:spacing w:after="0"/>
              <w:rPr>
                <w:sz w:val="20"/>
                <w:szCs w:val="20"/>
                <w:color w:val="auto"/>
              </w:rPr>
            </w:pPr>
            <w:r>
              <w:rPr>
                <w:rFonts w:ascii="Times New Roman" w:cs="Times New Roman" w:eastAsia="Times New Roman" w:hAnsi="Times New Roman"/>
                <w:sz w:val="17"/>
                <w:szCs w:val="17"/>
                <w:color w:val="auto"/>
                <w:w w:val="84"/>
              </w:rPr>
              <w:t>%</w:t>
            </w:r>
          </w:p>
        </w:tc>
        <w:tc>
          <w:tcPr>
            <w:tcW w:w="7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91.2</w:t>
            </w:r>
          </w:p>
        </w:tc>
        <w:tc>
          <w:tcPr>
            <w:tcW w:w="360" w:type="dxa"/>
            <w:vAlign w:val="bottom"/>
            <w:tcBorders>
              <w:top w:val="single" w:sz="8" w:color="C7EAF2"/>
            </w:tcBorders>
            <w:shd w:val="clear" w:color="auto" w:fill="C7EAF2"/>
          </w:tcPr>
          <w:p>
            <w:pPr>
              <w:jc w:val="right"/>
              <w:ind w:right="134"/>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7"/>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life of options (years)</w:t>
            </w:r>
          </w:p>
        </w:tc>
        <w:tc>
          <w:tcPr>
            <w:tcW w:w="1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 years</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 years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 years</w:t>
            </w:r>
          </w:p>
        </w:tc>
        <w:tc>
          <w:tcPr>
            <w:tcW w:w="0" w:type="dxa"/>
            <w:vAlign w:val="bottom"/>
          </w:tcPr>
          <w:p>
            <w:pPr>
              <w:spacing w:after="0"/>
              <w:rPr>
                <w:sz w:val="1"/>
                <w:szCs w:val="1"/>
                <w:color w:val="auto"/>
              </w:rPr>
            </w:pPr>
          </w:p>
        </w:tc>
      </w:tr>
      <w:tr>
        <w:trPr>
          <w:trHeight w:val="207"/>
        </w:trPr>
        <w:tc>
          <w:tcPr>
            <w:tcW w:w="540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60" w:type="dxa"/>
            <w:vAlign w:val="bottom"/>
            <w:shd w:val="clear" w:color="auto" w:fill="C7EAF2"/>
          </w:tcPr>
          <w:p>
            <w:pPr>
              <w:spacing w:after="0"/>
              <w:rPr>
                <w:sz w:val="18"/>
                <w:szCs w:val="18"/>
                <w:color w:val="auto"/>
              </w:rPr>
            </w:pPr>
          </w:p>
        </w:tc>
        <w:tc>
          <w:tcPr>
            <w:tcW w:w="1120" w:type="dxa"/>
            <w:vAlign w:val="bottom"/>
            <w:gridSpan w:val="2"/>
            <w:shd w:val="clear" w:color="auto" w:fill="C7EAF2"/>
          </w:tcPr>
          <w:p>
            <w:pPr>
              <w:jc w:val="right"/>
              <w:ind w:right="134"/>
              <w:spacing w:after="0"/>
              <w:rPr>
                <w:sz w:val="20"/>
                <w:szCs w:val="20"/>
                <w:color w:val="auto"/>
              </w:rPr>
            </w:pPr>
            <w:r>
              <w:rPr>
                <w:rFonts w:ascii="Times New Roman" w:cs="Times New Roman" w:eastAsia="Times New Roman" w:hAnsi="Times New Roman"/>
                <w:sz w:val="17"/>
                <w:szCs w:val="17"/>
                <w:color w:val="auto"/>
              </w:rPr>
              <w:t>1.3 %</w:t>
            </w:r>
          </w:p>
        </w:tc>
        <w:tc>
          <w:tcPr>
            <w:tcW w:w="220" w:type="dxa"/>
            <w:vAlign w:val="bottom"/>
            <w:shd w:val="clear" w:color="auto" w:fill="C7EAF2"/>
          </w:tcPr>
          <w:p>
            <w:pPr>
              <w:spacing w:after="0"/>
              <w:rPr>
                <w:sz w:val="18"/>
                <w:szCs w:val="18"/>
                <w:color w:val="auto"/>
              </w:rPr>
            </w:pPr>
          </w:p>
        </w:tc>
        <w:tc>
          <w:tcPr>
            <w:tcW w:w="860" w:type="dxa"/>
            <w:vAlign w:val="bottom"/>
            <w:gridSpan w:val="2"/>
            <w:shd w:val="clear" w:color="auto" w:fill="C7EAF2"/>
          </w:tcPr>
          <w:p>
            <w:pPr>
              <w:jc w:val="right"/>
              <w:ind w:right="154"/>
              <w:spacing w:after="0"/>
              <w:rPr>
                <w:sz w:val="20"/>
                <w:szCs w:val="20"/>
                <w:color w:val="auto"/>
              </w:rPr>
            </w:pPr>
            <w:r>
              <w:rPr>
                <w:rFonts w:ascii="Times New Roman" w:cs="Times New Roman" w:eastAsia="Times New Roman" w:hAnsi="Times New Roman"/>
                <w:sz w:val="17"/>
                <w:szCs w:val="17"/>
                <w:color w:val="auto"/>
              </w:rPr>
              <w:t>0.8 %</w:t>
            </w:r>
          </w:p>
        </w:tc>
        <w:tc>
          <w:tcPr>
            <w:tcW w:w="1060" w:type="dxa"/>
            <w:vAlign w:val="bottom"/>
            <w:gridSpan w:val="2"/>
            <w:shd w:val="clear" w:color="auto" w:fill="C7EAF2"/>
          </w:tcPr>
          <w:p>
            <w:pPr>
              <w:jc w:val="right"/>
              <w:ind w:right="134"/>
              <w:spacing w:after="0"/>
              <w:rPr>
                <w:sz w:val="20"/>
                <w:szCs w:val="20"/>
                <w:color w:val="auto"/>
              </w:rPr>
            </w:pPr>
            <w:r>
              <w:rPr>
                <w:rFonts w:ascii="Times New Roman" w:cs="Times New Roman" w:eastAsia="Times New Roman" w:hAnsi="Times New Roman"/>
                <w:sz w:val="17"/>
                <w:szCs w:val="17"/>
                <w:color w:val="auto"/>
              </w:rPr>
              <w:t>0.9 %</w:t>
            </w:r>
          </w:p>
        </w:tc>
        <w:tc>
          <w:tcPr>
            <w:tcW w:w="0" w:type="dxa"/>
            <w:vAlign w:val="bottom"/>
          </w:tcPr>
          <w:p>
            <w:pPr>
              <w:spacing w:after="0"/>
              <w:rPr>
                <w:sz w:val="1"/>
                <w:szCs w:val="1"/>
                <w:color w:val="auto"/>
              </w:rPr>
            </w:pPr>
          </w:p>
        </w:tc>
      </w:tr>
      <w:tr>
        <w:trPr>
          <w:trHeight w:val="207"/>
        </w:trPr>
        <w:tc>
          <w:tcPr>
            <w:tcW w:w="5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60" w:type="dxa"/>
            <w:vAlign w:val="bottom"/>
          </w:tcPr>
          <w:p>
            <w:pPr>
              <w:spacing w:after="0"/>
              <w:rPr>
                <w:sz w:val="18"/>
                <w:szCs w:val="18"/>
                <w:color w:val="auto"/>
              </w:rPr>
            </w:pPr>
          </w:p>
        </w:tc>
        <w:tc>
          <w:tcPr>
            <w:tcW w:w="11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0.0 %</w:t>
            </w:r>
          </w:p>
        </w:tc>
        <w:tc>
          <w:tcPr>
            <w:tcW w:w="220" w:type="dxa"/>
            <w:vAlign w:val="bottom"/>
          </w:tcPr>
          <w:p>
            <w:pPr>
              <w:spacing w:after="0"/>
              <w:rPr>
                <w:sz w:val="18"/>
                <w:szCs w:val="18"/>
                <w:color w:val="auto"/>
              </w:rPr>
            </w:pPr>
          </w:p>
        </w:tc>
        <w:tc>
          <w:tcPr>
            <w:tcW w:w="86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0.0 %</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0.0 %</w:t>
            </w:r>
          </w:p>
        </w:tc>
        <w:tc>
          <w:tcPr>
            <w:tcW w:w="0" w:type="dxa"/>
            <w:vAlign w:val="bottom"/>
          </w:tcPr>
          <w:p>
            <w:pPr>
              <w:spacing w:after="0"/>
              <w:rPr>
                <w:sz w:val="1"/>
                <w:szCs w:val="1"/>
                <w:color w:val="auto"/>
              </w:rPr>
            </w:pPr>
          </w:p>
        </w:tc>
      </w:tr>
      <w:tr>
        <w:trPr>
          <w:trHeight w:val="207"/>
        </w:trPr>
        <w:tc>
          <w:tcPr>
            <w:tcW w:w="540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Estimated per share fair value of the Company’s common shares</w:t>
            </w:r>
          </w:p>
        </w:tc>
        <w:tc>
          <w:tcPr>
            <w:tcW w:w="160" w:type="dxa"/>
            <w:vAlign w:val="bottom"/>
            <w:shd w:val="clear" w:color="auto" w:fill="C7EAF2"/>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38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380" w:type="dxa"/>
            <w:vAlign w:val="bottom"/>
            <w:shd w:val="clear" w:color="auto" w:fill="C7EAF2"/>
          </w:tcPr>
          <w:p>
            <w:pPr>
              <w:spacing w:after="0"/>
              <w:rPr>
                <w:sz w:val="18"/>
                <w:szCs w:val="18"/>
                <w:color w:val="auto"/>
              </w:rPr>
            </w:pPr>
          </w:p>
        </w:tc>
        <w:tc>
          <w:tcPr>
            <w:tcW w:w="7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   6.05</w:t>
            </w:r>
          </w:p>
        </w:tc>
        <w:tc>
          <w:tcPr>
            <w:tcW w:w="3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40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40" w:hanging="315"/>
        <w:spacing w:after="0" w:line="212" w:lineRule="auto"/>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market-based awards granted under the LTIP was estimated on the date of grant using a Monte-Carlo model to simulate a distribution of future share prices.</w:t>
      </w:r>
    </w:p>
    <w:p>
      <w:pPr>
        <w:ind w:left="540" w:hanging="314"/>
        <w:spacing w:after="0"/>
        <w:tabs>
          <w:tab w:leader="none" w:pos="5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performance-based awards granted under the LTIP was estimated on the date of grant using the Black-Scholes option pricing model.</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Changes in these assumptions could have a material impact on the Company’s loss and comprehensive loss.</w:t>
      </w:r>
    </w:p>
    <w:p>
      <w:pPr>
        <w:sectPr>
          <w:pgSz w:w="12240" w:h="15840" w:orient="portrait"/>
          <w:cols w:equalWidth="0" w:num="1">
            <w:col w:w="9500"/>
          </w:cols>
          <w:pgMar w:left="1440" w:top="1334" w:right="130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92" name="Shape 4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492" o:spid="_x0000_s15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5pt"/>
            </w:pict>
          </mc:Fallback>
        </mc:AlternateContent>
      </w:r>
    </w:p>
    <w:p>
      <w:pPr>
        <w:sectPr>
          <w:pgSz w:w="12240" w:h="15840" w:orient="portrait"/>
          <w:cols w:equalWidth="0" w:num="1">
            <w:col w:w="9500"/>
          </w:cols>
          <w:pgMar w:left="1440" w:top="1334" w:right="1300" w:bottom="1440" w:gutter="0" w:footer="0" w:header="0"/>
          <w:type w:val="continuous"/>
        </w:sectPr>
      </w:pPr>
    </w:p>
    <w:bookmarkStart w:id="149" w:name="page150"/>
    <w:bookmarkEnd w:id="149"/>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32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326">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200"/>
        <w:spacing w:after="0" w:line="298" w:lineRule="auto"/>
        <w:rPr>
          <w:sz w:val="20"/>
          <w:szCs w:val="20"/>
          <w:color w:val="auto"/>
        </w:rPr>
      </w:pPr>
      <w:r>
        <w:rPr>
          <w:rFonts w:ascii="Times New Roman" w:cs="Times New Roman" w:eastAsia="Times New Roman" w:hAnsi="Times New Roman"/>
          <w:sz w:val="17"/>
          <w:szCs w:val="17"/>
          <w:color w:val="auto"/>
        </w:rPr>
        <w:t>During the year ended December 31, 2022, the Company recognized $9.5 million of share-based compensation expense for stock options (originally issued under STIP and LTIP plans) in the statement of loss and comprehensive loss (2021: $59.3 million).</w:t>
      </w:r>
    </w:p>
    <w:p>
      <w:pPr>
        <w:spacing w:after="0" w:line="137" w:lineRule="exact"/>
        <w:rPr>
          <w:sz w:val="20"/>
          <w:szCs w:val="20"/>
          <w:color w:val="auto"/>
        </w:rPr>
      </w:pPr>
    </w:p>
    <w:p>
      <w:pPr>
        <w:jc w:val="both"/>
        <w:ind w:left="200" w:firstLine="1"/>
        <w:spacing w:after="0" w:line="269" w:lineRule="auto"/>
        <w:rPr>
          <w:sz w:val="20"/>
          <w:szCs w:val="20"/>
          <w:color w:val="auto"/>
        </w:rPr>
      </w:pPr>
      <w:r>
        <w:rPr>
          <w:rFonts w:ascii="Times New Roman" w:cs="Times New Roman" w:eastAsia="Times New Roman" w:hAnsi="Times New Roman"/>
          <w:sz w:val="17"/>
          <w:szCs w:val="17"/>
          <w:color w:val="auto"/>
        </w:rPr>
        <w:t>Share-based compensation expense for stock options totaling $4.8 million related to general and administration matters were charged to the statement of loss and comprehensive loss for the year ended December 31, 2022 (2021: $32.7 million). The Company recorded a total of $4.7 million of share -based compensation expense for stock options related to exploration and evaluation activities for the year ended December 31, 2022 (2021: $26.6 million).</w:t>
      </w:r>
    </w:p>
    <w:p>
      <w:pPr>
        <w:spacing w:after="0" w:line="1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Restricted Share Units</w:t>
      </w:r>
    </w:p>
    <w:p>
      <w:pPr>
        <w:spacing w:after="0" w:line="218" w:lineRule="exact"/>
        <w:rPr>
          <w:sz w:val="20"/>
          <w:szCs w:val="20"/>
          <w:color w:val="auto"/>
        </w:rPr>
      </w:pPr>
    </w:p>
    <w:p>
      <w:pPr>
        <w:jc w:val="both"/>
        <w:ind w:left="200"/>
        <w:spacing w:after="0" w:line="263" w:lineRule="auto"/>
        <w:rPr>
          <w:sz w:val="20"/>
          <w:szCs w:val="20"/>
          <w:color w:val="auto"/>
        </w:rPr>
      </w:pPr>
      <w:r>
        <w:rPr>
          <w:rFonts w:ascii="Times New Roman" w:cs="Times New Roman" w:eastAsia="Times New Roman" w:hAnsi="Times New Roman"/>
          <w:sz w:val="17"/>
          <w:szCs w:val="17"/>
          <w:color w:val="auto"/>
        </w:rPr>
        <w:t>The Company may, from time to time, grant RSUs to directors, officers, employees, and consultants of the Company and its subsidiaries under the Plan, whether to the STIP, the LTIP or otherwise. During the year ended December 31, 2022, the Company granted 464,632 RSUs vesting in thirds on each anniversary of the grant date, 527,800 RSUs vesting in fourths on each anniversary of the grant date, 476,189 RSUs vesting in full one year from grant date and 1,721,729 RSUs vesting immediately on grant date. On each vesting date, RSU holders are entitled to receive common shares equivalent to the number of RSUs held provided the holder is providing service to the Company on such vesting date.</w:t>
      </w:r>
    </w:p>
    <w:p>
      <w:pPr>
        <w:spacing w:after="0" w:line="1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details of RSUs granted by the Company during the year are as follows: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Vesting Period</w:t>
            </w: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0"/>
        </w:trPr>
        <w:tc>
          <w:tcPr>
            <w:tcW w:w="676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Vesting Immediately</w:t>
            </w:r>
          </w:p>
        </w:tc>
        <w:tc>
          <w:tcPr>
            <w:tcW w:w="200" w:type="dxa"/>
            <w:vAlign w:val="bottom"/>
            <w:tcBorders>
              <w:top w:val="single" w:sz="8" w:color="C7EAF2"/>
            </w:tcBorders>
            <w:shd w:val="clear" w:color="auto" w:fill="C7EAF2"/>
          </w:tcPr>
          <w:p>
            <w:pPr>
              <w:spacing w:after="0"/>
              <w:rPr>
                <w:sz w:val="17"/>
                <w:szCs w:val="17"/>
                <w:color w:val="auto"/>
              </w:rPr>
            </w:pPr>
          </w:p>
        </w:tc>
        <w:tc>
          <w:tcPr>
            <w:tcW w:w="8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1,721,729</w:t>
            </w:r>
          </w:p>
        </w:tc>
        <w:tc>
          <w:tcPr>
            <w:tcW w:w="200" w:type="dxa"/>
            <w:vAlign w:val="bottom"/>
            <w:tcBorders>
              <w:top w:val="single" w:sz="8" w:color="C7EAF2"/>
            </w:tcBorders>
            <w:shd w:val="clear" w:color="auto" w:fill="C7EAF2"/>
          </w:tcPr>
          <w:p>
            <w:pPr>
              <w:spacing w:after="0"/>
              <w:rPr>
                <w:sz w:val="17"/>
                <w:szCs w:val="17"/>
                <w:color w:val="auto"/>
              </w:rPr>
            </w:pPr>
          </w:p>
        </w:tc>
        <w:tc>
          <w:tcPr>
            <w:tcW w:w="8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173,216</w:t>
            </w:r>
          </w:p>
        </w:tc>
      </w:tr>
      <w:tr>
        <w:trPr>
          <w:trHeight w:val="207"/>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Vesting fully on the anniversary of the grant date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476,189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69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Vesting in halves on each anniversary of the grant date</w:t>
            </w:r>
          </w:p>
        </w:tc>
        <w:tc>
          <w:tcPr>
            <w:tcW w:w="1040" w:type="dxa"/>
            <w:vAlign w:val="bottom"/>
            <w:gridSpan w:val="2"/>
            <w:shd w:val="clear" w:color="auto" w:fill="C7EAF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54,687</w:t>
            </w:r>
          </w:p>
        </w:tc>
      </w:tr>
      <w:tr>
        <w:trPr>
          <w:trHeight w:val="207"/>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Vesting in thirds on each anniversary of the grant date</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464,632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3,556,225</w:t>
            </w:r>
          </w:p>
        </w:tc>
      </w:tr>
      <w:tr>
        <w:trPr>
          <w:trHeight w:val="207"/>
        </w:trPr>
        <w:tc>
          <w:tcPr>
            <w:tcW w:w="69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Vesting in fourths on each anniversary of the grant date</w:t>
            </w:r>
          </w:p>
        </w:tc>
        <w:tc>
          <w:tcPr>
            <w:tcW w:w="8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527,800</w:t>
            </w:r>
          </w:p>
        </w:tc>
        <w:tc>
          <w:tcPr>
            <w:tcW w:w="200" w:type="dxa"/>
            <w:vAlign w:val="bottom"/>
            <w:shd w:val="clear" w:color="auto" w:fill="C7EAF2"/>
          </w:tcPr>
          <w:p>
            <w:pPr>
              <w:spacing w:after="0"/>
              <w:rPr>
                <w:sz w:val="18"/>
                <w:szCs w:val="18"/>
                <w:color w:val="auto"/>
              </w:rPr>
            </w:pPr>
          </w:p>
        </w:tc>
        <w:tc>
          <w:tcPr>
            <w:tcW w:w="82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343,750</w:t>
            </w:r>
          </w:p>
        </w:tc>
      </w:tr>
      <w:tr>
        <w:trPr>
          <w:trHeight w:val="200"/>
        </w:trPr>
        <w:tc>
          <w:tcPr>
            <w:tcW w:w="6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Units Granted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3,190,350</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4,127,878</w:t>
            </w:r>
          </w:p>
        </w:tc>
      </w:tr>
    </w:tbl>
    <w:p>
      <w:pPr>
        <w:spacing w:after="0" w:line="183" w:lineRule="exact"/>
        <w:rPr>
          <w:sz w:val="20"/>
          <w:szCs w:val="20"/>
          <w:color w:val="auto"/>
        </w:rPr>
      </w:pPr>
    </w:p>
    <w:p>
      <w:pPr>
        <w:ind w:left="200" w:right="240"/>
        <w:spacing w:after="0" w:line="299" w:lineRule="auto"/>
        <w:rPr>
          <w:sz w:val="20"/>
          <w:szCs w:val="20"/>
          <w:color w:val="auto"/>
        </w:rPr>
      </w:pPr>
      <w:r>
        <w:rPr>
          <w:rFonts w:ascii="Times New Roman" w:cs="Times New Roman" w:eastAsia="Times New Roman" w:hAnsi="Times New Roman"/>
          <w:sz w:val="17"/>
          <w:szCs w:val="17"/>
          <w:color w:val="auto"/>
        </w:rPr>
        <w:t>Of the 1,721,729 units vesting immediately on grant date, 1,072,572 units were issued to settle liabilities with a carrying amount of $1.8 million, at a weighted average grant date fair value of $1.64 per RSU.</w:t>
      </w:r>
    </w:p>
    <w:p>
      <w:pPr>
        <w:spacing w:after="0" w:line="135" w:lineRule="exact"/>
        <w:rPr>
          <w:sz w:val="20"/>
          <w:szCs w:val="20"/>
          <w:color w:val="auto"/>
        </w:rPr>
      </w:pPr>
    </w:p>
    <w:p>
      <w:pPr>
        <w:ind w:left="200" w:right="200"/>
        <w:spacing w:after="0" w:line="276" w:lineRule="auto"/>
        <w:rPr>
          <w:sz w:val="20"/>
          <w:szCs w:val="20"/>
          <w:color w:val="auto"/>
        </w:rPr>
      </w:pPr>
      <w:r>
        <w:rPr>
          <w:rFonts w:ascii="Times New Roman" w:cs="Times New Roman" w:eastAsia="Times New Roman" w:hAnsi="Times New Roman"/>
          <w:sz w:val="17"/>
          <w:szCs w:val="17"/>
          <w:color w:val="auto"/>
        </w:rPr>
        <w:t>During 2022 476,189 units (2021: nil) were granted to the Company’s non-employee directors under the Company’s Non-employee Director Compensation Policy, which vest upon the Company’s 2023 annual shareholders meeting. The total fair value of units granted as annual grants to the non-employee directors in 2022 amounted to $700,000 ($nil in 2021).</w:t>
      </w:r>
    </w:p>
    <w:p>
      <w:pPr>
        <w:spacing w:after="0" w:line="1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A summary of the RSU activity in 2022 is presented in the table below:</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0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3"/>
        </w:trPr>
        <w:tc>
          <w:tcPr>
            <w:tcW w:w="2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3"/>
        </w:trPr>
        <w:tc>
          <w:tcPr>
            <w:tcW w:w="24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60" w:type="dxa"/>
            <w:vAlign w:val="bottom"/>
            <w:gridSpan w:val="2"/>
          </w:tcPr>
          <w:p>
            <w:pPr>
              <w:jc w:val="right"/>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RSUs</w:t>
            </w:r>
          </w:p>
        </w:tc>
        <w:tc>
          <w:tcPr>
            <w:tcW w:w="100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RSU</w:t>
            </w:r>
          </w:p>
        </w:tc>
        <w:tc>
          <w:tcPr>
            <w:tcW w:w="0" w:type="dxa"/>
            <w:vAlign w:val="bottom"/>
          </w:tcPr>
          <w:p>
            <w:pPr>
              <w:spacing w:after="0"/>
              <w:rPr>
                <w:sz w:val="1"/>
                <w:szCs w:val="1"/>
                <w:color w:val="auto"/>
              </w:rPr>
            </w:pPr>
          </w:p>
        </w:tc>
      </w:tr>
      <w:tr>
        <w:trPr>
          <w:trHeight w:val="200"/>
        </w:trPr>
        <w:tc>
          <w:tcPr>
            <w:tcW w:w="6760" w:type="dxa"/>
            <w:vAlign w:val="bottom"/>
            <w:tcBorders>
              <w:top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Outstanding – December 31, 2021</w:t>
            </w:r>
          </w:p>
        </w:tc>
        <w:tc>
          <w:tcPr>
            <w:tcW w:w="8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3,946,630</w:t>
            </w:r>
          </w:p>
        </w:tc>
        <w:tc>
          <w:tcPr>
            <w:tcW w:w="200" w:type="dxa"/>
            <w:vAlign w:val="bottom"/>
            <w:tcBorders>
              <w:top w:val="single" w:sz="8" w:color="C7EAF2"/>
            </w:tcBorders>
            <w:shd w:val="clear" w:color="auto" w:fill="C7EAF2"/>
          </w:tcPr>
          <w:p>
            <w:pPr>
              <w:spacing w:after="0"/>
              <w:rPr>
                <w:sz w:val="17"/>
                <w:szCs w:val="17"/>
                <w:color w:val="auto"/>
              </w:rPr>
            </w:pPr>
          </w:p>
        </w:tc>
        <w:tc>
          <w:tcPr>
            <w:tcW w:w="1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0" w:type="dxa"/>
            <w:vAlign w:val="bottom"/>
          </w:tcPr>
          <w:p>
            <w:pPr>
              <w:spacing w:after="0"/>
              <w:rPr>
                <w:sz w:val="1"/>
                <w:szCs w:val="1"/>
                <w:color w:val="auto"/>
              </w:rPr>
            </w:pPr>
          </w:p>
        </w:tc>
      </w:tr>
      <w:tr>
        <w:trPr>
          <w:trHeight w:val="207"/>
        </w:trPr>
        <w:tc>
          <w:tcPr>
            <w:tcW w:w="676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24"/>
                <w:szCs w:val="24"/>
                <w:color w:val="auto"/>
                <w:vertAlign w:val="superscript"/>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3,190,350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07"/>
        </w:trPr>
        <w:tc>
          <w:tcPr>
            <w:tcW w:w="676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Forfeited</w:t>
            </w:r>
          </w:p>
        </w:tc>
        <w:tc>
          <w:tcPr>
            <w:tcW w:w="10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(396,691)</w:t>
            </w:r>
          </w:p>
        </w:tc>
        <w:tc>
          <w:tcPr>
            <w:tcW w:w="140" w:type="dxa"/>
            <w:vAlign w:val="bottom"/>
            <w:shd w:val="clear" w:color="auto" w:fill="C7EAF2"/>
          </w:tcPr>
          <w:p>
            <w:pPr>
              <w:spacing w:after="0"/>
              <w:rPr>
                <w:sz w:val="18"/>
                <w:szCs w:val="18"/>
                <w:color w:val="auto"/>
              </w:rPr>
            </w:pP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0" w:type="dxa"/>
            <w:vAlign w:val="bottom"/>
          </w:tcPr>
          <w:p>
            <w:pPr>
              <w:spacing w:after="0"/>
              <w:rPr>
                <w:sz w:val="1"/>
                <w:szCs w:val="1"/>
                <w:color w:val="auto"/>
              </w:rPr>
            </w:pPr>
          </w:p>
        </w:tc>
      </w:tr>
      <w:tr>
        <w:trPr>
          <w:trHeight w:val="207"/>
        </w:trPr>
        <w:tc>
          <w:tcPr>
            <w:tcW w:w="6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Exercised</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(2,925,146)</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220"/>
        </w:trPr>
        <w:tc>
          <w:tcPr>
            <w:tcW w:w="6760" w:type="dxa"/>
            <w:vAlign w:val="bottom"/>
            <w:tcBorders>
              <w:top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Outstanding – December 31, 2022</w:t>
            </w:r>
          </w:p>
        </w:tc>
        <w:tc>
          <w:tcPr>
            <w:tcW w:w="8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3,815,143</w:t>
            </w:r>
          </w:p>
        </w:tc>
        <w:tc>
          <w:tcPr>
            <w:tcW w:w="200" w:type="dxa"/>
            <w:vAlign w:val="bottom"/>
            <w:tcBorders>
              <w:top w:val="single" w:sz="8" w:color="C7EAF2"/>
            </w:tcBorders>
            <w:shd w:val="clear" w:color="auto" w:fill="C7EAF2"/>
          </w:tcPr>
          <w:p>
            <w:pPr>
              <w:spacing w:after="0"/>
              <w:rPr>
                <w:sz w:val="19"/>
                <w:szCs w:val="19"/>
                <w:color w:val="auto"/>
              </w:rPr>
            </w:pPr>
          </w:p>
        </w:tc>
        <w:tc>
          <w:tcPr>
            <w:tcW w:w="14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2.75</w:t>
            </w:r>
          </w:p>
        </w:tc>
        <w:tc>
          <w:tcPr>
            <w:tcW w:w="0" w:type="dxa"/>
            <w:vAlign w:val="bottom"/>
          </w:tcPr>
          <w:p>
            <w:pPr>
              <w:spacing w:after="0"/>
              <w:rPr>
                <w:sz w:val="1"/>
                <w:szCs w:val="1"/>
                <w:color w:val="auto"/>
              </w:rPr>
            </w:pPr>
          </w:p>
        </w:tc>
      </w:tr>
      <w:tr>
        <w:trPr>
          <w:trHeight w:val="77"/>
        </w:trPr>
        <w:tc>
          <w:tcPr>
            <w:tcW w:w="2400" w:type="dxa"/>
            <w:vAlign w:val="bottom"/>
            <w:tcBorders>
              <w:bottom w:val="single" w:sz="8" w:color="auto"/>
            </w:tcBorders>
          </w:tcPr>
          <w:p>
            <w:pPr>
              <w:spacing w:after="0"/>
              <w:rPr>
                <w:sz w:val="6"/>
                <w:szCs w:val="6"/>
                <w:color w:val="auto"/>
              </w:rPr>
            </w:pPr>
          </w:p>
        </w:tc>
        <w:tc>
          <w:tcPr>
            <w:tcW w:w="4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200"/>
        <w:spacing w:after="0" w:line="224" w:lineRule="auto"/>
        <w:tabs>
          <w:tab w:leader="none" w:pos="531" w:val="left"/>
        </w:tabs>
        <w:numPr>
          <w:ilvl w:val="0"/>
          <w:numId w:val="8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Granted units issued to consultants and which vest immediately include 477,740 and 171,417 units (2021: Nil and 118,528 units), resulting with $1 million and $0.3 million (2021: Nil and $0.2 million) charged to professional and consulting fees expense and to investor relations expense, respectively.</w:t>
      </w:r>
    </w:p>
    <w:p>
      <w:pPr>
        <w:sectPr>
          <w:pgSz w:w="12240" w:h="15840" w:orient="portrait"/>
          <w:cols w:equalWidth="0" w:num="1">
            <w:col w:w="9500"/>
          </w:cols>
          <w:pgMar w:left="1440" w:top="1334" w:right="1300" w:bottom="1440" w:gutter="0" w:footer="0" w:header="0"/>
        </w:sectPr>
      </w:pPr>
    </w:p>
    <w:p>
      <w:pPr>
        <w:spacing w:after="0" w:line="3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495" name="Shape 4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95" o:spid="_x0000_s15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32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328">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7"/>
          <w:szCs w:val="17"/>
          <w:color w:val="auto"/>
        </w:rPr>
        <w:t>The grant date fair value of RSUs is equivalent to the closing share price of the Company’s common shares on the date of grant. During the year, a total of $7.5 million was charged to the statement of loss and comprehensive loss as share-based compensation expense for RSUs (2021: $1.0 million). Share-based compensation expense for RSUs totaling $3.8 million related to general and administration matters was charged to the statement of loss and comprehensive loss for the year ended December 31, 2022 (2021: $0.6 million). The Company recorded a total of $3.7 million of share-based compensation expense for RSUs related to exploration and evaluation activities for the year ended December 31, 2022 (2021: $0.4 million). As at December 31, 2022, total unrecognized share-based compensation expense for RSUs was $6.1 million (December 31, 2021 - $12.3 million).</w:t>
      </w:r>
    </w:p>
    <w:p>
      <w:pPr>
        <w:spacing w:after="0" w:line="171" w:lineRule="exact"/>
        <w:rPr>
          <w:sz w:val="20"/>
          <w:szCs w:val="20"/>
          <w:color w:val="auto"/>
        </w:rPr>
      </w:pPr>
    </w:p>
    <w:p>
      <w:pPr>
        <w:ind w:left="320" w:right="700"/>
        <w:spacing w:after="0" w:line="509" w:lineRule="auto"/>
        <w:rPr>
          <w:sz w:val="20"/>
          <w:szCs w:val="20"/>
          <w:color w:val="auto"/>
        </w:rPr>
      </w:pPr>
      <w:r>
        <w:rPr>
          <w:rFonts w:ascii="Times New Roman" w:cs="Times New Roman" w:eastAsia="Times New Roman" w:hAnsi="Times New Roman"/>
          <w:sz w:val="17"/>
          <w:szCs w:val="17"/>
          <w:color w:val="auto"/>
        </w:rPr>
        <w:t xml:space="preserve">As at December 31, 2022, an aggregate of 5,354 vested units were outstanding and due to be converted into common shares. </w:t>
      </w:r>
      <w:r>
        <w:rPr>
          <w:rFonts w:ascii="Times New Roman" w:cs="Times New Roman" w:eastAsia="Times New Roman" w:hAnsi="Times New Roman"/>
          <w:sz w:val="17"/>
          <w:szCs w:val="17"/>
          <w:b w:val="1"/>
          <w:bCs w:val="1"/>
          <w:i w:val="1"/>
          <w:iCs w:val="1"/>
          <w:color w:val="auto"/>
        </w:rPr>
        <w:t>Employee Stock Purchase Plan</w:t>
      </w:r>
    </w:p>
    <w:p>
      <w:pPr>
        <w:jc w:val="both"/>
        <w:ind w:left="320"/>
        <w:spacing w:after="0" w:line="261" w:lineRule="auto"/>
        <w:rPr>
          <w:sz w:val="20"/>
          <w:szCs w:val="20"/>
          <w:color w:val="auto"/>
        </w:rPr>
      </w:pPr>
      <w:r>
        <w:rPr>
          <w:rFonts w:ascii="Times New Roman" w:cs="Times New Roman" w:eastAsia="Times New Roman" w:hAnsi="Times New Roman"/>
          <w:sz w:val="17"/>
          <w:szCs w:val="17"/>
          <w:color w:val="auto"/>
        </w:rPr>
        <w:t>On May 31, 2022, TMC’s 2021 Employee Stock Purchase Plan (“ESPP”) was approved at the Company’s 2022 annual shareholders meeting. As of December 31, 2022, there were 5,254,324 common shares reserved for issuance under the ESPP. This included 2,254,324 shares added to the ESPP in January 2022 pursuant to the ESPP’s automatic annual increase provision discussed below.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71"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7"/>
          <w:szCs w:val="17"/>
          <w:color w:val="auto"/>
        </w:rPr>
        <w:t>Participation in the ESPP is available to all full-time and certain part-time employees. The ESPP comprises offering periods that are twenty-four (24) months in length, which begin on approximately every June 1 and December 1. Each offering period includes four purchase periods of six months each, which begin on approximately every June 1 and December 1, or at such other times designated by the board of directors or its compensation committee. At the exercise date, which is the last business day of each purchase period, the accumulated deductions from participating employees are used to purchase common shares of the Company. Shares are purchased at a price equal to 85% of the lower of either the share price of the Company’s common shares on the first business day of the particular offering period or the last business day of the purchase period. The ESPP also has an automatic reset feature wherein, if the share price of the common share on any exercise date is less than the share price of the common share on the first business day of the applicable offering period, then such offering period shall automatically terminate immediately after the purchase of the common shares. In such case, a new offering period shall commence on the first business day following the exercise date.</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ESPP includes the following limitations:</w:t>
      </w:r>
    </w:p>
    <w:p>
      <w:pPr>
        <w:spacing w:after="0" w:line="219" w:lineRule="exact"/>
        <w:rPr>
          <w:sz w:val="20"/>
          <w:szCs w:val="20"/>
          <w:color w:val="auto"/>
        </w:rPr>
      </w:pPr>
    </w:p>
    <w:p>
      <w:pPr>
        <w:ind w:left="1280" w:hanging="313"/>
        <w:spacing w:after="0"/>
        <w:tabs>
          <w:tab w:leader="none" w:pos="12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employee’s contribution is limited to 15% of the employee’s annual gross earnings, not to exceed $25,000 per year,</w:t>
      </w:r>
    </w:p>
    <w:p>
      <w:pPr>
        <w:spacing w:after="0" w:line="11" w:lineRule="exact"/>
        <w:rPr>
          <w:rFonts w:ascii="Times New Roman" w:cs="Times New Roman" w:eastAsia="Times New Roman" w:hAnsi="Times New Roman"/>
          <w:sz w:val="17"/>
          <w:szCs w:val="17"/>
          <w:color w:val="auto"/>
        </w:rPr>
      </w:pPr>
    </w:p>
    <w:p>
      <w:pPr>
        <w:ind w:left="1280" w:hanging="313"/>
        <w:spacing w:after="0"/>
        <w:tabs>
          <w:tab w:leader="none" w:pos="12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employee’s purchases in any offering period cannot exceed 15,000 common shares, and</w:t>
      </w:r>
    </w:p>
    <w:p>
      <w:pPr>
        <w:spacing w:after="0" w:line="11" w:lineRule="exact"/>
        <w:rPr>
          <w:rFonts w:ascii="Times New Roman" w:cs="Times New Roman" w:eastAsia="Times New Roman" w:hAnsi="Times New Roman"/>
          <w:sz w:val="17"/>
          <w:szCs w:val="17"/>
          <w:color w:val="auto"/>
        </w:rPr>
      </w:pPr>
    </w:p>
    <w:p>
      <w:pPr>
        <w:ind w:left="1280" w:hanging="313"/>
        <w:spacing w:after="0"/>
        <w:tabs>
          <w:tab w:leader="none" w:pos="12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employee’s purchases are capped, not to exceed 5% of the Company’s total outstanding common shares.</w:t>
      </w:r>
    </w:p>
    <w:p>
      <w:pPr>
        <w:spacing w:after="0" w:line="219" w:lineRule="exact"/>
        <w:rPr>
          <w:sz w:val="20"/>
          <w:szCs w:val="20"/>
          <w:color w:val="auto"/>
        </w:rPr>
      </w:pPr>
    </w:p>
    <w:p>
      <w:pPr>
        <w:jc w:val="both"/>
        <w:ind w:left="320"/>
        <w:spacing w:after="0" w:line="269" w:lineRule="auto"/>
        <w:rPr>
          <w:sz w:val="20"/>
          <w:szCs w:val="20"/>
          <w:color w:val="auto"/>
        </w:rPr>
      </w:pPr>
      <w:r>
        <w:rPr>
          <w:rFonts w:ascii="Times New Roman" w:cs="Times New Roman" w:eastAsia="Times New Roman" w:hAnsi="Times New Roman"/>
          <w:sz w:val="17"/>
          <w:szCs w:val="17"/>
          <w:color w:val="auto"/>
        </w:rPr>
        <w:t>During 2022, the Company issued 117,929 common shares to its employees as part of its ESPP program. A total of $0.1 million was charged to the statement of loss and comprehensive loss as share-based compensation expense for the year ended December 31, 2022, representing the share price purchase discount offered by the Company. From the amount charged in 2022, $35 thousand was recorded in exploration and evaluation expenses and $67 thousand was recorded in general and administrative expenses.</w:t>
      </w:r>
    </w:p>
    <w:p>
      <w:pPr>
        <w:spacing w:after="0" w:line="171" w:lineRule="exact"/>
        <w:rPr>
          <w:sz w:val="20"/>
          <w:szCs w:val="20"/>
          <w:color w:val="auto"/>
        </w:rPr>
      </w:pPr>
    </w:p>
    <w:p>
      <w:pPr>
        <w:ind w:left="320" w:hanging="311"/>
        <w:spacing w:after="0"/>
        <w:tabs>
          <w:tab w:leader="none" w:pos="32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Loss per Share</w:t>
      </w:r>
    </w:p>
    <w:p>
      <w:pPr>
        <w:spacing w:after="0" w:line="222" w:lineRule="exact"/>
        <w:rPr>
          <w:rFonts w:ascii="Times New Roman" w:cs="Times New Roman" w:eastAsia="Times New Roman" w:hAnsi="Times New Roman"/>
          <w:sz w:val="17"/>
          <w:szCs w:val="17"/>
          <w:b w:val="1"/>
          <w:bCs w:val="1"/>
          <w:color w:val="auto"/>
        </w:rPr>
      </w:pPr>
    </w:p>
    <w:p>
      <w:pPr>
        <w:jc w:val="both"/>
        <w:ind w:left="3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ectPr>
          <w:pgSz w:w="12240" w:h="15840" w:orient="portrait"/>
          <w:cols w:equalWidth="0" w:num="1">
            <w:col w:w="9620"/>
          </w:cols>
          <w:pgMar w:left="1320" w:top="1334" w:right="1300"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type w:val="continuous"/>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32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330">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Anti-dilutive equivalent common shares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For the year ended</w:t>
            </w:r>
          </w:p>
        </w:tc>
      </w:tr>
      <w:tr>
        <w:trPr>
          <w:trHeight w:val="143"/>
        </w:trPr>
        <w:tc>
          <w:tcPr>
            <w:tcW w:w="3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8"/>
        </w:trPr>
        <w:tc>
          <w:tcPr>
            <w:tcW w:w="320" w:type="dxa"/>
            <w:vAlign w:val="bottom"/>
          </w:tcPr>
          <w:p>
            <w:pPr>
              <w:spacing w:after="0"/>
              <w:rPr>
                <w:sz w:val="14"/>
                <w:szCs w:val="14"/>
                <w:color w:val="auto"/>
              </w:rPr>
            </w:pPr>
          </w:p>
        </w:tc>
        <w:tc>
          <w:tcPr>
            <w:tcW w:w="6300" w:type="dxa"/>
            <w:vAlign w:val="bottom"/>
            <w:tcBorders>
              <w:bottom w:val="single" w:sz="8" w:color="C7EAF2"/>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7EAF2"/>
            </w:tcBorders>
          </w:tcPr>
          <w:p>
            <w:pPr>
              <w:spacing w:after="0"/>
              <w:rPr>
                <w:sz w:val="14"/>
                <w:szCs w:val="14"/>
                <w:color w:val="auto"/>
              </w:rPr>
            </w:pPr>
          </w:p>
        </w:tc>
        <w:tc>
          <w:tcPr>
            <w:tcW w:w="100" w:type="dxa"/>
            <w:vAlign w:val="bottom"/>
            <w:tcBorders>
              <w:bottom w:val="single" w:sz="8" w:color="C7EAF2"/>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0"/>
        </w:trPr>
        <w:tc>
          <w:tcPr>
            <w:tcW w:w="320" w:type="dxa"/>
            <w:vAlign w:val="bottom"/>
          </w:tcPr>
          <w:p>
            <w:pPr>
              <w:spacing w:after="0"/>
              <w:rPr>
                <w:sz w:val="17"/>
                <w:szCs w:val="17"/>
                <w:color w:val="auto"/>
              </w:rPr>
            </w:pPr>
          </w:p>
        </w:tc>
        <w:tc>
          <w:tcPr>
            <w:tcW w:w="63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Outstanding options to purchase common shares</w:t>
            </w:r>
          </w:p>
        </w:tc>
        <w:tc>
          <w:tcPr>
            <w:tcW w:w="12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17"/>
                <w:szCs w:val="17"/>
                <w:color w:val="auto"/>
              </w:rPr>
            </w:pP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25,140,262</w:t>
            </w:r>
          </w:p>
        </w:tc>
        <w:tc>
          <w:tcPr>
            <w:tcW w:w="60" w:type="dxa"/>
            <w:vAlign w:val="bottom"/>
            <w:shd w:val="clear" w:color="auto" w:fill="C7EAF2"/>
          </w:tcPr>
          <w:p>
            <w:pPr>
              <w:spacing w:after="0"/>
              <w:rPr>
                <w:sz w:val="17"/>
                <w:szCs w:val="17"/>
                <w:color w:val="auto"/>
              </w:rPr>
            </w:pPr>
          </w:p>
        </w:tc>
        <w:tc>
          <w:tcPr>
            <w:tcW w:w="100" w:type="dxa"/>
            <w:vAlign w:val="bottom"/>
            <w:shd w:val="clear" w:color="auto" w:fill="C7EAF2"/>
          </w:tcPr>
          <w:p>
            <w:pPr>
              <w:spacing w:after="0"/>
              <w:rPr>
                <w:sz w:val="17"/>
                <w:szCs w:val="17"/>
                <w:color w:val="auto"/>
              </w:rPr>
            </w:pPr>
          </w:p>
        </w:tc>
        <w:tc>
          <w:tcPr>
            <w:tcW w:w="40" w:type="dxa"/>
            <w:vAlign w:val="bottom"/>
            <w:shd w:val="clear" w:color="auto" w:fill="C7EAF2"/>
          </w:tcPr>
          <w:p>
            <w:pPr>
              <w:spacing w:after="0"/>
              <w:rPr>
                <w:sz w:val="17"/>
                <w:szCs w:val="17"/>
                <w:color w:val="auto"/>
              </w:rPr>
            </w:pPr>
          </w:p>
        </w:tc>
        <w:tc>
          <w:tcPr>
            <w:tcW w:w="140" w:type="dxa"/>
            <w:vAlign w:val="bottom"/>
            <w:shd w:val="clear" w:color="auto" w:fill="C7EAF2"/>
          </w:tcPr>
          <w:p>
            <w:pPr>
              <w:spacing w:after="0"/>
              <w:rPr>
                <w:sz w:val="17"/>
                <w:szCs w:val="17"/>
                <w:color w:val="auto"/>
              </w:rPr>
            </w:pPr>
          </w:p>
        </w:tc>
        <w:tc>
          <w:tcPr>
            <w:tcW w:w="10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25,287,670</w:t>
            </w:r>
          </w:p>
        </w:tc>
      </w:tr>
      <w:tr>
        <w:trPr>
          <w:trHeight w:val="207"/>
        </w:trPr>
        <w:tc>
          <w:tcPr>
            <w:tcW w:w="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Outstanding RSUs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3,815,143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3,946,630</w:t>
            </w:r>
          </w:p>
        </w:tc>
      </w:tr>
      <w:tr>
        <w:trPr>
          <w:trHeight w:val="207"/>
        </w:trPr>
        <w:tc>
          <w:tcPr>
            <w:tcW w:w="320" w:type="dxa"/>
            <w:vAlign w:val="bottom"/>
          </w:tcPr>
          <w:p>
            <w:pPr>
              <w:spacing w:after="0"/>
              <w:rPr>
                <w:sz w:val="18"/>
                <w:szCs w:val="18"/>
                <w:color w:val="auto"/>
              </w:rPr>
            </w:pPr>
          </w:p>
        </w:tc>
        <w:tc>
          <w:tcPr>
            <w:tcW w:w="63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Outstanding shares under ESPP</w:t>
            </w:r>
          </w:p>
        </w:tc>
        <w:tc>
          <w:tcPr>
            <w:tcW w:w="1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12,212</w:t>
            </w:r>
          </w:p>
        </w:tc>
        <w:tc>
          <w:tcPr>
            <w:tcW w:w="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4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10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3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Outstanding warrants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36,078,620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36,078,620</w:t>
            </w:r>
          </w:p>
        </w:tc>
      </w:tr>
      <w:tr>
        <w:trPr>
          <w:trHeight w:val="207"/>
        </w:trPr>
        <w:tc>
          <w:tcPr>
            <w:tcW w:w="320" w:type="dxa"/>
            <w:vAlign w:val="bottom"/>
          </w:tcPr>
          <w:p>
            <w:pPr>
              <w:spacing w:after="0"/>
              <w:rPr>
                <w:sz w:val="18"/>
                <w:szCs w:val="18"/>
                <w:color w:val="auto"/>
              </w:rPr>
            </w:pPr>
          </w:p>
        </w:tc>
        <w:tc>
          <w:tcPr>
            <w:tcW w:w="63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Outstanding Special Shares and options to purchase Special Shares</w:t>
            </w:r>
          </w:p>
        </w:tc>
        <w:tc>
          <w:tcPr>
            <w:tcW w:w="120" w:type="dxa"/>
            <w:vAlign w:val="bottom"/>
            <w:tcBorders>
              <w:bottom w:val="single" w:sz="8" w:color="auto"/>
            </w:tcBorders>
            <w:shd w:val="clear" w:color="auto" w:fill="C7EAF2"/>
          </w:tcPr>
          <w:p>
            <w:pPr>
              <w:spacing w:after="0"/>
              <w:rPr>
                <w:sz w:val="18"/>
                <w:szCs w:val="18"/>
                <w:color w:val="auto"/>
              </w:rPr>
            </w:pPr>
          </w:p>
        </w:tc>
        <w:tc>
          <w:tcPr>
            <w:tcW w:w="120" w:type="dxa"/>
            <w:vAlign w:val="bottom"/>
            <w:tcBorders>
              <w:bottom w:val="single" w:sz="8" w:color="auto"/>
            </w:tcBorders>
            <w:shd w:val="clear" w:color="auto" w:fill="C7EAF2"/>
          </w:tcPr>
          <w:p>
            <w:pPr>
              <w:spacing w:after="0"/>
              <w:rPr>
                <w:sz w:val="18"/>
                <w:szCs w:val="18"/>
                <w:color w:val="auto"/>
              </w:rPr>
            </w:pPr>
          </w:p>
        </w:tc>
        <w:tc>
          <w:tcPr>
            <w:tcW w:w="9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136,239,964</w:t>
            </w:r>
          </w:p>
        </w:tc>
        <w:tc>
          <w:tcPr>
            <w:tcW w:w="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40" w:type="dxa"/>
            <w:vAlign w:val="bottom"/>
            <w:tcBorders>
              <w:bottom w:val="single" w:sz="8" w:color="auto"/>
            </w:tcBorders>
            <w:shd w:val="clear" w:color="auto" w:fill="C7EAF2"/>
          </w:tcPr>
          <w:p>
            <w:pPr>
              <w:spacing w:after="0"/>
              <w:rPr>
                <w:sz w:val="18"/>
                <w:szCs w:val="18"/>
                <w:color w:val="auto"/>
              </w:rPr>
            </w:pPr>
          </w:p>
        </w:tc>
        <w:tc>
          <w:tcPr>
            <w:tcW w:w="140" w:type="dxa"/>
            <w:vAlign w:val="bottom"/>
            <w:tcBorders>
              <w:bottom w:val="single" w:sz="8" w:color="auto"/>
            </w:tcBorders>
            <w:shd w:val="clear" w:color="auto" w:fill="C7EAF2"/>
          </w:tcPr>
          <w:p>
            <w:pPr>
              <w:spacing w:after="0"/>
              <w:rPr>
                <w:sz w:val="18"/>
                <w:szCs w:val="18"/>
                <w:color w:val="auto"/>
              </w:rPr>
            </w:pPr>
          </w:p>
        </w:tc>
        <w:tc>
          <w:tcPr>
            <w:tcW w:w="10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136,239,964</w:t>
            </w:r>
          </w:p>
        </w:tc>
      </w:tr>
      <w:tr>
        <w:trPr>
          <w:trHeight w:val="200"/>
        </w:trPr>
        <w:tc>
          <w:tcPr>
            <w:tcW w:w="32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anti-dilutive common equivalent shares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201,286,201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201,552,884</w:t>
            </w:r>
          </w:p>
        </w:tc>
      </w:tr>
      <w:tr>
        <w:trPr>
          <w:trHeight w:val="425"/>
        </w:trPr>
        <w:tc>
          <w:tcPr>
            <w:tcW w:w="6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17. Financial Instruments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15"/>
        </w:trPr>
        <w:tc>
          <w:tcPr>
            <w:tcW w:w="32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Categories of Financial Instruments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0"/>
        </w:trPr>
        <w:tc>
          <w:tcPr>
            <w:tcW w:w="320" w:type="dxa"/>
            <w:vAlign w:val="bottom"/>
          </w:tcPr>
          <w:p>
            <w:pPr>
              <w:spacing w:after="0"/>
              <w:rPr>
                <w:sz w:val="17"/>
                <w:szCs w:val="17"/>
                <w:color w:val="auto"/>
              </w:rPr>
            </w:pPr>
          </w:p>
        </w:tc>
        <w:tc>
          <w:tcPr>
            <w:tcW w:w="630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Financial assets</w:t>
            </w:r>
          </w:p>
        </w:tc>
        <w:tc>
          <w:tcPr>
            <w:tcW w:w="12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spacing w:after="0"/>
              <w:rPr>
                <w:sz w:val="17"/>
                <w:szCs w:val="17"/>
                <w:color w:val="auto"/>
              </w:rPr>
            </w:pPr>
          </w:p>
        </w:tc>
        <w:tc>
          <w:tcPr>
            <w:tcW w:w="940" w:type="dxa"/>
            <w:vAlign w:val="bottom"/>
            <w:tcBorders>
              <w:top w:val="single" w:sz="8" w:color="auto"/>
            </w:tcBorders>
            <w:shd w:val="clear" w:color="auto" w:fill="C7EAF2"/>
          </w:tcPr>
          <w:p>
            <w:pPr>
              <w:spacing w:after="0"/>
              <w:rPr>
                <w:sz w:val="17"/>
                <w:szCs w:val="17"/>
                <w:color w:val="auto"/>
              </w:rPr>
            </w:pPr>
          </w:p>
        </w:tc>
        <w:tc>
          <w:tcPr>
            <w:tcW w:w="60" w:type="dxa"/>
            <w:vAlign w:val="bottom"/>
            <w:tcBorders>
              <w:top w:val="single" w:sz="8" w:color="auto"/>
            </w:tcBorders>
            <w:shd w:val="clear" w:color="auto" w:fill="C7EAF2"/>
          </w:tcPr>
          <w:p>
            <w:pPr>
              <w:spacing w:after="0"/>
              <w:rPr>
                <w:sz w:val="17"/>
                <w:szCs w:val="17"/>
                <w:color w:val="auto"/>
              </w:rPr>
            </w:pPr>
          </w:p>
        </w:tc>
        <w:tc>
          <w:tcPr>
            <w:tcW w:w="100" w:type="dxa"/>
            <w:vAlign w:val="bottom"/>
            <w:tcBorders>
              <w:top w:val="single" w:sz="8" w:color="C7EAF2"/>
            </w:tcBorders>
            <w:shd w:val="clear" w:color="auto" w:fill="C7EAF2"/>
          </w:tcPr>
          <w:p>
            <w:pPr>
              <w:spacing w:after="0"/>
              <w:rPr>
                <w:sz w:val="17"/>
                <w:szCs w:val="17"/>
                <w:color w:val="auto"/>
              </w:rPr>
            </w:pPr>
          </w:p>
        </w:tc>
        <w:tc>
          <w:tcPr>
            <w:tcW w:w="40" w:type="dxa"/>
            <w:vAlign w:val="bottom"/>
            <w:tcBorders>
              <w:top w:val="single" w:sz="8" w:color="C7EAF2"/>
            </w:tcBorders>
            <w:shd w:val="clear" w:color="auto" w:fill="C7EAF2"/>
          </w:tcPr>
          <w:p>
            <w:pPr>
              <w:spacing w:after="0"/>
              <w:rPr>
                <w:sz w:val="17"/>
                <w:szCs w:val="17"/>
                <w:color w:val="auto"/>
              </w:rPr>
            </w:pPr>
          </w:p>
        </w:tc>
        <w:tc>
          <w:tcPr>
            <w:tcW w:w="140" w:type="dxa"/>
            <w:vAlign w:val="bottom"/>
            <w:tcBorders>
              <w:top w:val="single" w:sz="8" w:color="auto"/>
            </w:tcBorders>
            <w:shd w:val="clear" w:color="auto" w:fill="C7EAF2"/>
          </w:tcPr>
          <w:p>
            <w:pPr>
              <w:spacing w:after="0"/>
              <w:rPr>
                <w:sz w:val="17"/>
                <w:szCs w:val="17"/>
                <w:color w:val="auto"/>
              </w:rPr>
            </w:pPr>
          </w:p>
        </w:tc>
        <w:tc>
          <w:tcPr>
            <w:tcW w:w="1000" w:type="dxa"/>
            <w:vAlign w:val="bottom"/>
            <w:tcBorders>
              <w:top w:val="single" w:sz="8" w:color="auto"/>
            </w:tcBorders>
            <w:shd w:val="clear" w:color="auto" w:fill="C7EAF2"/>
          </w:tcPr>
          <w:p>
            <w:pPr>
              <w:spacing w:after="0"/>
              <w:rPr>
                <w:sz w:val="17"/>
                <w:szCs w:val="17"/>
                <w:color w:val="auto"/>
              </w:rPr>
            </w:pPr>
          </w:p>
        </w:tc>
      </w:tr>
      <w:tr>
        <w:trPr>
          <w:trHeight w:val="207"/>
        </w:trPr>
        <w:tc>
          <w:tcPr>
            <w:tcW w:w="3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6300" w:type="dxa"/>
            <w:vAlign w:val="bottom"/>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Cash</w:t>
            </w:r>
          </w:p>
        </w:tc>
        <w:tc>
          <w:tcPr>
            <w:tcW w:w="240" w:type="dxa"/>
            <w:vAlign w:val="bottom"/>
            <w:gridSpan w:val="2"/>
            <w:shd w:val="clear" w:color="auto" w:fill="C7EAF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7EAF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46,842</w:t>
            </w:r>
          </w:p>
        </w:tc>
        <w:tc>
          <w:tcPr>
            <w:tcW w:w="100" w:type="dxa"/>
            <w:vAlign w:val="bottom"/>
            <w:shd w:val="clear" w:color="auto" w:fill="C7EAF2"/>
          </w:tcPr>
          <w:p>
            <w:pPr>
              <w:spacing w:after="0"/>
              <w:rPr>
                <w:sz w:val="18"/>
                <w:szCs w:val="18"/>
                <w:color w:val="auto"/>
              </w:rPr>
            </w:pPr>
          </w:p>
        </w:tc>
        <w:tc>
          <w:tcPr>
            <w:tcW w:w="180" w:type="dxa"/>
            <w:vAlign w:val="bottom"/>
            <w:gridSpan w:val="2"/>
            <w:shd w:val="clear" w:color="auto" w:fill="C7EAF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84,873</w:t>
            </w:r>
          </w:p>
        </w:tc>
      </w:tr>
      <w:tr>
        <w:trPr>
          <w:trHeight w:val="207"/>
        </w:trPr>
        <w:tc>
          <w:tcPr>
            <w:tcW w:w="320" w:type="dxa"/>
            <w:vAlign w:val="bottom"/>
          </w:tcPr>
          <w:p>
            <w:pPr>
              <w:spacing w:after="0"/>
              <w:rPr>
                <w:sz w:val="18"/>
                <w:szCs w:val="18"/>
                <w:color w:val="auto"/>
              </w:rPr>
            </w:pPr>
          </w:p>
        </w:tc>
        <w:tc>
          <w:tcPr>
            <w:tcW w:w="6300" w:type="dxa"/>
            <w:vAlign w:val="bottom"/>
            <w:tcBorders>
              <w:bottom w:val="single" w:sz="8" w:color="C7EAF2"/>
            </w:tcBorders>
          </w:tcPr>
          <w:p>
            <w:pPr>
              <w:ind w:left="200"/>
              <w:spacing w:after="0"/>
              <w:rPr>
                <w:sz w:val="20"/>
                <w:szCs w:val="20"/>
                <w:color w:val="auto"/>
              </w:rPr>
            </w:pPr>
            <w:r>
              <w:rPr>
                <w:rFonts w:ascii="Times New Roman" w:cs="Times New Roman" w:eastAsia="Times New Roman" w:hAnsi="Times New Roman"/>
                <w:sz w:val="17"/>
                <w:szCs w:val="17"/>
                <w:color w:val="auto"/>
              </w:rPr>
              <w:t>Receivables and Prepayments</w:t>
            </w:r>
          </w:p>
        </w:tc>
        <w:tc>
          <w:tcPr>
            <w:tcW w:w="12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2,760</w:t>
            </w:r>
          </w:p>
        </w:tc>
        <w:tc>
          <w:tcPr>
            <w:tcW w:w="100" w:type="dxa"/>
            <w:vAlign w:val="bottom"/>
            <w:tcBorders>
              <w:bottom w:val="single" w:sz="8" w:color="C7EAF2"/>
            </w:tcBorders>
          </w:tcPr>
          <w:p>
            <w:pPr>
              <w:spacing w:after="0"/>
              <w:rPr>
                <w:sz w:val="18"/>
                <w:szCs w:val="18"/>
                <w:color w:val="auto"/>
              </w:rPr>
            </w:pPr>
          </w:p>
        </w:tc>
        <w:tc>
          <w:tcPr>
            <w:tcW w:w="40" w:type="dxa"/>
            <w:vAlign w:val="bottom"/>
            <w:tcBorders>
              <w:bottom w:val="single" w:sz="8" w:color="C7EAF2"/>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3,686</w:t>
            </w:r>
          </w:p>
        </w:tc>
      </w:tr>
      <w:tr>
        <w:trPr>
          <w:trHeight w:val="200"/>
        </w:trPr>
        <w:tc>
          <w:tcPr>
            <w:tcW w:w="320" w:type="dxa"/>
            <w:vAlign w:val="bottom"/>
          </w:tcPr>
          <w:p>
            <w:pPr>
              <w:spacing w:after="0"/>
              <w:rPr>
                <w:sz w:val="17"/>
                <w:szCs w:val="17"/>
                <w:color w:val="auto"/>
              </w:rPr>
            </w:pPr>
          </w:p>
        </w:tc>
        <w:tc>
          <w:tcPr>
            <w:tcW w:w="6300" w:type="dxa"/>
            <w:vAlign w:val="bottom"/>
            <w:shd w:val="clear" w:color="auto" w:fill="C7EAF2"/>
          </w:tcPr>
          <w:p>
            <w:pPr>
              <w:spacing w:after="0"/>
              <w:rPr>
                <w:sz w:val="17"/>
                <w:szCs w:val="17"/>
                <w:color w:val="auto"/>
              </w:rPr>
            </w:pPr>
          </w:p>
        </w:tc>
        <w:tc>
          <w:tcPr>
            <w:tcW w:w="240" w:type="dxa"/>
            <w:vAlign w:val="bottom"/>
            <w:gridSpan w:val="2"/>
            <w:shd w:val="clear" w:color="auto" w:fill="C7EAF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7EAF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49,602</w:t>
            </w:r>
          </w:p>
        </w:tc>
        <w:tc>
          <w:tcPr>
            <w:tcW w:w="100" w:type="dxa"/>
            <w:vAlign w:val="bottom"/>
            <w:shd w:val="clear" w:color="auto" w:fill="C7EAF2"/>
          </w:tcPr>
          <w:p>
            <w:pPr>
              <w:spacing w:after="0"/>
              <w:rPr>
                <w:sz w:val="17"/>
                <w:szCs w:val="17"/>
                <w:color w:val="auto"/>
              </w:rPr>
            </w:pPr>
          </w:p>
        </w:tc>
        <w:tc>
          <w:tcPr>
            <w:tcW w:w="180" w:type="dxa"/>
            <w:vAlign w:val="bottom"/>
            <w:gridSpan w:val="2"/>
            <w:shd w:val="clear" w:color="auto" w:fill="C7EAF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88,559</w:t>
            </w:r>
          </w:p>
        </w:tc>
      </w:tr>
      <w:tr>
        <w:trPr>
          <w:trHeight w:val="200"/>
        </w:trPr>
        <w:tc>
          <w:tcPr>
            <w:tcW w:w="32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07"/>
        </w:trPr>
        <w:tc>
          <w:tcPr>
            <w:tcW w:w="320" w:type="dxa"/>
            <w:vAlign w:val="bottom"/>
          </w:tcPr>
          <w:p>
            <w:pPr>
              <w:spacing w:after="0"/>
              <w:rPr>
                <w:sz w:val="18"/>
                <w:szCs w:val="18"/>
                <w:color w:val="auto"/>
              </w:rPr>
            </w:pPr>
          </w:p>
        </w:tc>
        <w:tc>
          <w:tcPr>
            <w:tcW w:w="63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Financial liabilities</w:t>
            </w:r>
          </w:p>
        </w:tc>
        <w:tc>
          <w:tcPr>
            <w:tcW w:w="12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940" w:type="dxa"/>
            <w:vAlign w:val="bottom"/>
            <w:shd w:val="clear" w:color="auto" w:fill="C7EAF2"/>
          </w:tcPr>
          <w:p>
            <w:pPr>
              <w:spacing w:after="0"/>
              <w:rPr>
                <w:sz w:val="18"/>
                <w:szCs w:val="18"/>
                <w:color w:val="auto"/>
              </w:rPr>
            </w:pPr>
          </w:p>
        </w:tc>
        <w:tc>
          <w:tcPr>
            <w:tcW w:w="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4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1000" w:type="dxa"/>
            <w:vAlign w:val="bottom"/>
            <w:shd w:val="clear" w:color="auto" w:fill="C7EAF2"/>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Amortized cost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7"/>
        </w:trPr>
        <w:tc>
          <w:tcPr>
            <w:tcW w:w="320" w:type="dxa"/>
            <w:vAlign w:val="bottom"/>
          </w:tcPr>
          <w:p>
            <w:pPr>
              <w:spacing w:after="0"/>
              <w:rPr>
                <w:sz w:val="18"/>
                <w:szCs w:val="18"/>
                <w:color w:val="auto"/>
              </w:rPr>
            </w:pPr>
          </w:p>
        </w:tc>
        <w:tc>
          <w:tcPr>
            <w:tcW w:w="6300" w:type="dxa"/>
            <w:vAlign w:val="bottom"/>
            <w:shd w:val="clear" w:color="auto" w:fill="C7EAF2"/>
          </w:tcPr>
          <w:p>
            <w:pPr>
              <w:ind w:left="20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240" w:type="dxa"/>
            <w:vAlign w:val="bottom"/>
            <w:gridSpan w:val="2"/>
            <w:shd w:val="clear" w:color="auto" w:fill="C7EAF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7EAF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41,614</w:t>
            </w:r>
          </w:p>
        </w:tc>
        <w:tc>
          <w:tcPr>
            <w:tcW w:w="100" w:type="dxa"/>
            <w:vAlign w:val="bottom"/>
            <w:shd w:val="clear" w:color="auto" w:fill="C7EAF2"/>
          </w:tcPr>
          <w:p>
            <w:pPr>
              <w:spacing w:after="0"/>
              <w:rPr>
                <w:sz w:val="18"/>
                <w:szCs w:val="18"/>
                <w:color w:val="auto"/>
              </w:rPr>
            </w:pPr>
          </w:p>
        </w:tc>
        <w:tc>
          <w:tcPr>
            <w:tcW w:w="180" w:type="dxa"/>
            <w:vAlign w:val="bottom"/>
            <w:gridSpan w:val="2"/>
            <w:shd w:val="clear" w:color="auto" w:fill="C7EAF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26,573</w:t>
            </w:r>
          </w:p>
        </w:tc>
      </w:tr>
      <w:tr>
        <w:trPr>
          <w:trHeight w:val="207"/>
        </w:trPr>
        <w:tc>
          <w:tcPr>
            <w:tcW w:w="320" w:type="dxa"/>
            <w:vAlign w:val="bottom"/>
          </w:tcPr>
          <w:p>
            <w:pPr>
              <w:spacing w:after="0"/>
              <w:rPr>
                <w:sz w:val="18"/>
                <w:szCs w:val="18"/>
                <w:color w:val="auto"/>
              </w:rPr>
            </w:pPr>
          </w:p>
        </w:tc>
        <w:tc>
          <w:tcPr>
            <w:tcW w:w="6300" w:type="dxa"/>
            <w:vAlign w:val="bottom"/>
            <w:tcBorders>
              <w:bottom w:val="single" w:sz="8" w:color="C7EAF2"/>
            </w:tcBorders>
          </w:tcPr>
          <w:p>
            <w:pPr>
              <w:ind w:left="100"/>
              <w:spacing w:after="0"/>
              <w:rPr>
                <w:sz w:val="20"/>
                <w:szCs w:val="20"/>
                <w:color w:val="auto"/>
              </w:rPr>
            </w:pPr>
            <w:r>
              <w:rPr>
                <w:rFonts w:ascii="Times New Roman" w:cs="Times New Roman" w:eastAsia="Times New Roman" w:hAnsi="Times New Roman"/>
                <w:sz w:val="17"/>
                <w:szCs w:val="17"/>
                <w:color w:val="auto"/>
              </w:rPr>
              <w:t>Fair value through profit or loss Warrants liability</w:t>
            </w:r>
          </w:p>
        </w:tc>
        <w:tc>
          <w:tcPr>
            <w:tcW w:w="120" w:type="dxa"/>
            <w:vAlign w:val="bottom"/>
            <w:tcBorders>
              <w:bottom w:val="single" w:sz="8" w:color="C7EAF2"/>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983</w:t>
            </w:r>
          </w:p>
        </w:tc>
        <w:tc>
          <w:tcPr>
            <w:tcW w:w="100" w:type="dxa"/>
            <w:vAlign w:val="bottom"/>
            <w:tcBorders>
              <w:bottom w:val="single" w:sz="8" w:color="C7EAF2"/>
            </w:tcBorders>
          </w:tcPr>
          <w:p>
            <w:pPr>
              <w:spacing w:after="0"/>
              <w:rPr>
                <w:sz w:val="18"/>
                <w:szCs w:val="18"/>
                <w:color w:val="auto"/>
              </w:rPr>
            </w:pPr>
          </w:p>
        </w:tc>
        <w:tc>
          <w:tcPr>
            <w:tcW w:w="40" w:type="dxa"/>
            <w:vAlign w:val="bottom"/>
            <w:tcBorders>
              <w:bottom w:val="single" w:sz="8" w:color="C7EAF2"/>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3,126</w:t>
            </w:r>
          </w:p>
        </w:tc>
      </w:tr>
      <w:tr>
        <w:trPr>
          <w:trHeight w:val="200"/>
        </w:trPr>
        <w:tc>
          <w:tcPr>
            <w:tcW w:w="320" w:type="dxa"/>
            <w:vAlign w:val="bottom"/>
          </w:tcPr>
          <w:p>
            <w:pPr>
              <w:spacing w:after="0"/>
              <w:rPr>
                <w:sz w:val="17"/>
                <w:szCs w:val="17"/>
                <w:color w:val="auto"/>
              </w:rPr>
            </w:pPr>
          </w:p>
        </w:tc>
        <w:tc>
          <w:tcPr>
            <w:tcW w:w="630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17"/>
                <w:szCs w:val="17"/>
                <w:color w:val="auto"/>
              </w:rPr>
            </w:pPr>
          </w:p>
        </w:tc>
        <w:tc>
          <w:tcPr>
            <w:tcW w:w="120" w:type="dxa"/>
            <w:vAlign w:val="bottom"/>
            <w:tcBorders>
              <w:bottom w:val="single" w:sz="8" w:color="auto"/>
            </w:tcBorders>
            <w:shd w:val="clear" w:color="auto" w:fill="C7EAF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gridSpan w:val="2"/>
            <w:shd w:val="clear" w:color="auto" w:fill="C7EAF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42,597</w:t>
            </w:r>
          </w:p>
        </w:tc>
        <w:tc>
          <w:tcPr>
            <w:tcW w:w="100" w:type="dxa"/>
            <w:vAlign w:val="bottom"/>
            <w:shd w:val="clear" w:color="auto" w:fill="C7EAF2"/>
          </w:tcPr>
          <w:p>
            <w:pPr>
              <w:spacing w:after="0"/>
              <w:rPr>
                <w:sz w:val="17"/>
                <w:szCs w:val="17"/>
                <w:color w:val="auto"/>
              </w:rPr>
            </w:pPr>
          </w:p>
        </w:tc>
        <w:tc>
          <w:tcPr>
            <w:tcW w:w="40" w:type="dxa"/>
            <w:vAlign w:val="bottom"/>
            <w:shd w:val="clear" w:color="auto" w:fill="C7EAF2"/>
          </w:tcPr>
          <w:p>
            <w:pPr>
              <w:spacing w:after="0"/>
              <w:rPr>
                <w:sz w:val="17"/>
                <w:szCs w:val="17"/>
                <w:color w:val="auto"/>
              </w:rPr>
            </w:pPr>
          </w:p>
        </w:tc>
        <w:tc>
          <w:tcPr>
            <w:tcW w:w="140" w:type="dxa"/>
            <w:vAlign w:val="bottom"/>
            <w:tcBorders>
              <w:bottom w:val="single" w:sz="8" w:color="auto"/>
            </w:tcBorders>
            <w:shd w:val="clear" w:color="auto" w:fill="C7EAF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29,699</w:t>
            </w:r>
          </w:p>
        </w:tc>
      </w:tr>
    </w:tbl>
    <w:p>
      <w:pPr>
        <w:spacing w:after="0" w:line="194" w:lineRule="exact"/>
        <w:rPr>
          <w:sz w:val="20"/>
          <w:szCs w:val="20"/>
          <w:color w:val="auto"/>
        </w:rPr>
      </w:pPr>
    </w:p>
    <w:p>
      <w:pPr>
        <w:ind w:left="320" w:hanging="311"/>
        <w:spacing w:after="0"/>
        <w:tabs>
          <w:tab w:leader="none" w:pos="32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222" w:lineRule="exact"/>
        <w:rPr>
          <w:rFonts w:ascii="Times New Roman" w:cs="Times New Roman" w:eastAsia="Times New Roman" w:hAnsi="Times New Roman"/>
          <w:sz w:val="17"/>
          <w:szCs w:val="17"/>
          <w:b w:val="1"/>
          <w:bCs w:val="1"/>
          <w:color w:val="auto"/>
        </w:rPr>
      </w:pPr>
    </w:p>
    <w:p>
      <w:pPr>
        <w:jc w:val="both"/>
        <w:ind w:left="320" w:firstLine="1"/>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subsidiary, DGE, is engaged in a consulting agreement with SSCS Pte. Ltd. (“SSCS”) to manage offshore engineering studies. A director of DGE is employed through SSCS. Consulting services during the year ended December 31, 2022 totaled $275 thousand (2021: $275 thousand), out of which $220 thousand (2021: $275 thousand) is disclosed as exploration labor within exploration and evaluation expenses (Note 10) and $55 thousand (2021: Nil) is disclosed as salaries and wages within general and administrative expenses (Note 11). As at December 31, 2022, the amount payable to SSCS was $46 thousand (2021: $23 thousand).</w:t>
      </w:r>
    </w:p>
    <w:p>
      <w:pPr>
        <w:spacing w:after="0" w:line="164" w:lineRule="exact"/>
        <w:rPr>
          <w:rFonts w:ascii="Times New Roman" w:cs="Times New Roman" w:eastAsia="Times New Roman" w:hAnsi="Times New Roman"/>
          <w:sz w:val="17"/>
          <w:szCs w:val="17"/>
          <w:b w:val="1"/>
          <w:bCs w:val="1"/>
          <w:color w:val="auto"/>
        </w:rPr>
      </w:pPr>
    </w:p>
    <w:p>
      <w:pPr>
        <w:jc w:val="both"/>
        <w:ind w:left="3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Chief Ocean Scientist provides consulting services to the Company through Ocean Renaissance LLC (“Ocean Renaissance”) where he is a principal. Consulting services during the year ended December 31, 2022 amounted to $375 thousand (2021: $375 thousand) out of which $188 thousand (2021: $375 thousand) is disclosed as exploration labor within exploration and evaluation expenses (Note 10) and $188 thousand (2021: Nil) is disclosed as salaries and wages within general and administrative expenses (Note 11). As at December 31, 2022, the amount payable to Ocean Renaissance was $Nil (2021: Nil).</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548">
                          <a:solidFill>
                            <a:srgbClr val="000000"/>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303pt"/>
            </w:pict>
          </mc:Fallback>
        </mc:AlternateContent>
      </w:r>
    </w:p>
    <w:p>
      <w:pPr>
        <w:sectPr>
          <w:pgSz w:w="12240" w:h="15840" w:orient="portrait"/>
          <w:cols w:equalWidth="0" w:num="1">
            <w:col w:w="9620"/>
          </w:cols>
          <w:pgMar w:left="1320" w:top="1334" w:right="1300"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33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332">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19" w:lineRule="exact"/>
        <w:rPr>
          <w:sz w:val="20"/>
          <w:szCs w:val="20"/>
          <w:color w:val="auto"/>
        </w:rPr>
      </w:pPr>
    </w:p>
    <w:p>
      <w:pPr>
        <w:ind w:left="320" w:hanging="311"/>
        <w:spacing w:after="0"/>
        <w:tabs>
          <w:tab w:leader="none" w:pos="3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PIPE Financing</w:t>
      </w:r>
    </w:p>
    <w:p>
      <w:pPr>
        <w:spacing w:after="0" w:line="222" w:lineRule="exact"/>
        <w:rPr>
          <w:rFonts w:ascii="Times New Roman" w:cs="Times New Roman" w:eastAsia="Times New Roman" w:hAnsi="Times New Roman"/>
          <w:sz w:val="17"/>
          <w:szCs w:val="17"/>
          <w:b w:val="1"/>
          <w:bCs w:val="1"/>
          <w:color w:val="auto"/>
        </w:rPr>
      </w:pPr>
    </w:p>
    <w:p>
      <w:pPr>
        <w:jc w:val="both"/>
        <w:ind w:left="320" w:firstLine="1"/>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August 12, 2022, the Company entered into three securities purchase agreements for the private placement of an aggregate of 37,978,680 of the Company’s common shares. The Company entered into a securities purchase agreement with the purchasers named therein for the issuance and sale of an aggregate of 31,625,000 common shares at a purchase price of $0.80 per share, a separate securities purchase agreement with Gerard Barron, the Company’s Chief Executive Officer and Chairman, for the issuance and sale of 103,680 Common Shares at $0.9645 per share, the consolidated closing bid price per Common Share on August 11, 2022, and a separate securities purchase agreement with ERAS Capital LLC, the family fund of the Company’s director, Andrei Karkar, for the issuance and sale of 6,250,000 common shares at a purchase price of $0.80 per share (. As at December 31, 2022, all of the 37,978,680 shares were issued and the Company received gross proceeds amounting to $30.4 million. The Company incurred $1.0 million as placement agent fees and offering expenses out of which expenses amounting to $0.2 million were settled by issuing 287,500 shares at issue price of $0.80 per share.</w:t>
      </w:r>
    </w:p>
    <w:p>
      <w:pPr>
        <w:spacing w:after="0" w:line="168" w:lineRule="exact"/>
        <w:rPr>
          <w:rFonts w:ascii="Times New Roman" w:cs="Times New Roman" w:eastAsia="Times New Roman" w:hAnsi="Times New Roman"/>
          <w:sz w:val="17"/>
          <w:szCs w:val="17"/>
          <w:b w:val="1"/>
          <w:bCs w:val="1"/>
          <w:color w:val="auto"/>
        </w:rPr>
      </w:pPr>
    </w:p>
    <w:p>
      <w:pPr>
        <w:ind w:left="320" w:right="6280" w:hanging="311"/>
        <w:spacing w:after="0" w:line="510" w:lineRule="auto"/>
        <w:tabs>
          <w:tab w:leader="none" w:pos="3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Contingent Liabilities </w:t>
      </w:r>
      <w:r>
        <w:rPr>
          <w:rFonts w:ascii="Times New Roman" w:cs="Times New Roman" w:eastAsia="Times New Roman" w:hAnsi="Times New Roman"/>
          <w:sz w:val="17"/>
          <w:szCs w:val="17"/>
          <w:b w:val="1"/>
          <w:bCs w:val="1"/>
          <w:i w:val="1"/>
          <w:iCs w:val="1"/>
          <w:color w:val="auto"/>
        </w:rPr>
        <w:t>NORI Exploration Contract</w:t>
      </w:r>
    </w:p>
    <w:p>
      <w:pPr>
        <w:spacing w:after="0" w:line="1" w:lineRule="exact"/>
        <w:rPr>
          <w:rFonts w:ascii="Times New Roman" w:cs="Times New Roman" w:eastAsia="Times New Roman" w:hAnsi="Times New Roman"/>
          <w:sz w:val="17"/>
          <w:szCs w:val="17"/>
          <w:b w:val="1"/>
          <w:bCs w:val="1"/>
          <w:color w:val="auto"/>
        </w:rPr>
      </w:pPr>
    </w:p>
    <w:p>
      <w:pPr>
        <w:jc w:val="both"/>
        <w:ind w:left="3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the next five-year plan. NORI has estimated its work plan for 2023 to be approximately $25 million, which may be settled in cash or equity. The cost of the estimated work plan for 2024 onwards is contingent on the ISA’s approval of the NORI Area D exploitation application. Should the approval of NORI’s exploitation application for NORI Area D be delayed or rejected, NORI intends to revise its estimated future work plan in respect of its NORI Area. Work plans are reviewed annually by the Company, agreed with the ISA and may be subject to change depending on the Company’s progress to date.</w:t>
      </w:r>
    </w:p>
    <w:p>
      <w:pPr>
        <w:spacing w:after="0" w:line="173"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Marawa Exploration Contract</w:t>
      </w:r>
    </w:p>
    <w:p>
      <w:pPr>
        <w:spacing w:after="0" w:line="217" w:lineRule="exact"/>
        <w:rPr>
          <w:rFonts w:ascii="Times New Roman" w:cs="Times New Roman" w:eastAsia="Times New Roman" w:hAnsi="Times New Roman"/>
          <w:sz w:val="17"/>
          <w:szCs w:val="17"/>
          <w:b w:val="1"/>
          <w:bCs w:val="1"/>
          <w:color w:val="auto"/>
        </w:rPr>
      </w:pPr>
    </w:p>
    <w:p>
      <w:pPr>
        <w:jc w:val="both"/>
        <w:ind w:left="32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Through DGE’s Marawa Option Agreement and Services Agreement with Marawa with respect to the Marawa Area, Marawa and DGE committed to spend a defined amount of funds on exploration activities on an annual basis. The commitment for fiscal 2023 and 2024 is Australian dollar (“AUD”) $3 million and AUD $2 million, respectively. Such commitment is negotiated with the ISA as part of a five-year plan submission and is subject to regular periodic reviews. To date, limited offshore marine resource definition activities in the Marawa Contract Area have occurred. DGE expects to collaborate with Marawa to assess the viability of any potential project in the Marawa Contract Area, the timing of such assessment is uncertain.</w:t>
      </w:r>
    </w:p>
    <w:p>
      <w:pPr>
        <w:spacing w:after="0" w:line="167"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TOML Exploration Contract</w:t>
      </w:r>
    </w:p>
    <w:p>
      <w:pPr>
        <w:spacing w:after="0" w:line="217" w:lineRule="exact"/>
        <w:rPr>
          <w:rFonts w:ascii="Times New Roman" w:cs="Times New Roman" w:eastAsia="Times New Roman" w:hAnsi="Times New Roman"/>
          <w:sz w:val="17"/>
          <w:szCs w:val="17"/>
          <w:b w:val="1"/>
          <w:bCs w:val="1"/>
          <w:color w:val="auto"/>
        </w:rPr>
      </w:pPr>
    </w:p>
    <w:p>
      <w:pPr>
        <w:jc w:val="both"/>
        <w:ind w:left="32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The five-year period ending in 2021 included activities of both TOML (from its acquisition in 2020) and its predecessor. On December 23, 2022, the ISA accepted TOML’s proposed program of activities for the 2022-2026 five-year period.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sectPr>
      </w:pPr>
    </w:p>
    <w:bookmarkStart w:id="153" w:name="page154"/>
    <w:bookmarkEnd w:id="153"/>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33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334">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Offtake Agreements</w:t>
      </w:r>
    </w:p>
    <w:p>
      <w:pPr>
        <w:spacing w:after="0" w:line="218" w:lineRule="exact"/>
        <w:rPr>
          <w:sz w:val="20"/>
          <w:szCs w:val="20"/>
          <w:color w:val="auto"/>
        </w:rPr>
      </w:pPr>
    </w:p>
    <w:p>
      <w:pPr>
        <w:jc w:val="both"/>
        <w:ind w:left="200"/>
        <w:spacing w:after="0" w:line="263" w:lineRule="auto"/>
        <w:rPr>
          <w:sz w:val="20"/>
          <w:szCs w:val="20"/>
          <w:color w:val="auto"/>
        </w:rPr>
      </w:pPr>
      <w:r>
        <w:rPr>
          <w:rFonts w:ascii="Times New Roman" w:cs="Times New Roman" w:eastAsia="Times New Roman" w:hAnsi="Times New Roman"/>
          <w:sz w:val="17"/>
          <w:szCs w:val="17"/>
          <w:color w:val="auto"/>
        </w:rPr>
        <w:t>On May 25, 2012, the Company’s wholly-owned subsidiary, DGE, and Glencore International AG (“Glencore”) entered into a copper offtake agreement and a nickel offtake agreement. DGE has agreed to deliver to Glencore 50% of the annual quantity of copper and nickel produced at a DGE-owned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Sponsorship Agreements</w:t>
      </w:r>
    </w:p>
    <w:p>
      <w:pPr>
        <w:spacing w:after="0" w:line="218" w:lineRule="exact"/>
        <w:rPr>
          <w:sz w:val="20"/>
          <w:szCs w:val="20"/>
          <w:color w:val="auto"/>
        </w:rPr>
      </w:pPr>
    </w:p>
    <w:p>
      <w:pPr>
        <w:jc w:val="both"/>
        <w:ind w:left="200"/>
        <w:spacing w:after="0" w:line="261" w:lineRule="auto"/>
        <w:rPr>
          <w:sz w:val="20"/>
          <w:szCs w:val="20"/>
          <w:color w:val="auto"/>
        </w:rPr>
      </w:pPr>
      <w:r>
        <w:rPr>
          <w:rFonts w:ascii="Times New Roman" w:cs="Times New Roman" w:eastAsia="Times New Roman" w:hAnsi="Times New Roman"/>
          <w:sz w:val="17"/>
          <w:szCs w:val="17"/>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w:t>
      </w:r>
    </w:p>
    <w:p>
      <w:pPr>
        <w:spacing w:after="0" w:line="171" w:lineRule="exact"/>
        <w:rPr>
          <w:sz w:val="20"/>
          <w:szCs w:val="20"/>
          <w:color w:val="auto"/>
        </w:rPr>
      </w:pPr>
    </w:p>
    <w:p>
      <w:pPr>
        <w:jc w:val="both"/>
        <w:ind w:left="200" w:firstLine="1"/>
        <w:spacing w:after="0" w:line="260" w:lineRule="auto"/>
        <w:rPr>
          <w:sz w:val="20"/>
          <w:szCs w:val="20"/>
          <w:color w:val="auto"/>
        </w:rPr>
      </w:pPr>
      <w:r>
        <w:rPr>
          <w:rFonts w:ascii="Times New Roman" w:cs="Times New Roman" w:eastAsia="Times New Roman" w:hAnsi="Times New Roman"/>
          <w:sz w:val="17"/>
          <w:szCs w:val="17"/>
          <w:color w:val="auto"/>
        </w:rPr>
        <w:t>On March 8, 2008, Tonga and TOML entered into a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reasonable direct costs incurred by Tonga to administer the obligations of Tonga to the ISA. On September 23, 2021, the Company and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Contingent Liability</w:t>
      </w:r>
    </w:p>
    <w:p>
      <w:pPr>
        <w:spacing w:after="0" w:line="218" w:lineRule="exact"/>
        <w:rPr>
          <w:sz w:val="20"/>
          <w:szCs w:val="20"/>
          <w:color w:val="auto"/>
        </w:rPr>
      </w:pPr>
    </w:p>
    <w:p>
      <w:pPr>
        <w:jc w:val="both"/>
        <w:ind w:left="200"/>
        <w:spacing w:after="0" w:line="258" w:lineRule="auto"/>
        <w:rPr>
          <w:sz w:val="20"/>
          <w:szCs w:val="20"/>
          <w:color w:val="auto"/>
        </w:rPr>
      </w:pPr>
      <w:r>
        <w:rPr>
          <w:rFonts w:ascii="Times New Roman" w:cs="Times New Roman" w:eastAsia="Times New Roman" w:hAnsi="Times New Roman"/>
          <w:sz w:val="17"/>
          <w:szCs w:val="17"/>
          <w:color w:val="auto"/>
        </w:rPr>
        <w:t xml:space="preserve">On October 28, 2021, a shareholder filed a putative class action against the Company and certain executives in federal district court for the Eastern District of New York, styled </w:t>
      </w:r>
      <w:r>
        <w:rPr>
          <w:rFonts w:ascii="Times New Roman" w:cs="Times New Roman" w:eastAsia="Times New Roman" w:hAnsi="Times New Roman"/>
          <w:sz w:val="17"/>
          <w:szCs w:val="17"/>
          <w:i w:val="1"/>
          <w:iCs w:val="1"/>
          <w:color w:val="auto"/>
        </w:rPr>
        <w:t>Caper v. TMC The Metals Company Inc. F/K/A Sustainable Opportunities Acquisition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Corp., Gerard Barron and Scott Leonard</w:t>
      </w:r>
      <w:r>
        <w:rPr>
          <w:rFonts w:ascii="Times New Roman" w:cs="Times New Roman" w:eastAsia="Times New Roman" w:hAnsi="Times New Roman"/>
          <w:sz w:val="17"/>
          <w:szCs w:val="17"/>
          <w:color w:val="auto"/>
        </w:rPr>
        <w:t>. The complaint alleges that all defendants violated Section 10(b) of the Securities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Act of 1934, as amended (the “Exchange Act”),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w:t>
      </w:r>
      <w:r>
        <w:rPr>
          <w:rFonts w:ascii="Times New Roman" w:cs="Times New Roman" w:eastAsia="Times New Roman" w:hAnsi="Times New Roman"/>
          <w:sz w:val="17"/>
          <w:szCs w:val="17"/>
          <w:i w:val="1"/>
          <w:iCs w:val="1"/>
          <w:color w:val="auto"/>
        </w:rPr>
        <w:t>Tran v. TMC the Metals Company, Inc</w:t>
      </w:r>
      <w:r>
        <w:rPr>
          <w:rFonts w:ascii="Times New Roman" w:cs="Times New Roman" w:eastAsia="Times New Roman" w:hAnsi="Times New Roman"/>
          <w:sz w:val="17"/>
          <w:szCs w:val="17"/>
          <w:color w:val="auto"/>
        </w:rPr>
        <w:t>. These cases have been consolidated. On March 6, 2022, a lead plaintiff was selected. The Company denies any allegations of wrongdoing and the Company has filed a motion to dismiss and intends to defend against this lawsuit. There is no assurance, however, that the Company or the other defendants will be successful in their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33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336">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7"/>
          <w:szCs w:val="17"/>
          <w:color w:val="auto"/>
        </w:rPr>
        <w:t xml:space="preserve">On January 23, 2023, an investor in the 2021 PIPE from the Business Combination filed a lawsuit against us in New York Supreme Court, New York County, captioned </w:t>
      </w:r>
      <w:r>
        <w:rPr>
          <w:rFonts w:ascii="Times New Roman" w:cs="Times New Roman" w:eastAsia="Times New Roman" w:hAnsi="Times New Roman"/>
          <w:sz w:val="17"/>
          <w:szCs w:val="17"/>
          <w:i w:val="1"/>
          <w:iCs w:val="1"/>
          <w:color w:val="auto"/>
        </w:rPr>
        <w:t>Atalaya Special Purpose Investment Fund II LP et al. v. Sustainable Opportunities Acquisition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Corp. n/k/a TMC The Metals Company Inc</w:t>
      </w:r>
      <w:r>
        <w:rPr>
          <w:rFonts w:ascii="Times New Roman" w:cs="Times New Roman" w:eastAsia="Times New Roman" w:hAnsi="Times New Roman"/>
          <w:sz w:val="17"/>
          <w:szCs w:val="17"/>
          <w:color w:val="auto"/>
        </w:rPr>
        <w:t>., Index No. 650449/2023 (N.Y. Sup. Ct.). The complaint alleges that we breached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representations and warranties in the plaintiff’s PIPE Subscription Agreement and breached the covenant of good faith and fair dealing. The Plaintiffs are seeking to recover compensable damages caused by the alleged wrongdoings. There have been no substantive developments in this case. The Company denies any allegations of wrongdoing and are preparing to file a motion to dismiss. There is no assurance, however, that we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21.</w:t>
            </w: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Cash Flow Information</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For the year ended</w:t>
            </w:r>
          </w:p>
        </w:tc>
        <w:tc>
          <w:tcPr>
            <w:tcW w:w="0" w:type="dxa"/>
            <w:vAlign w:val="bottom"/>
          </w:tcPr>
          <w:p>
            <w:pPr>
              <w:spacing w:after="0"/>
              <w:rPr>
                <w:sz w:val="1"/>
                <w:szCs w:val="1"/>
                <w:color w:val="auto"/>
              </w:rPr>
            </w:pPr>
          </w:p>
        </w:tc>
      </w:tr>
      <w:tr>
        <w:trPr>
          <w:trHeight w:val="143"/>
        </w:trPr>
        <w:tc>
          <w:tcPr>
            <w:tcW w:w="320" w:type="dxa"/>
            <w:vAlign w:val="bottom"/>
          </w:tcPr>
          <w:p>
            <w:pPr>
              <w:spacing w:after="0"/>
              <w:rPr>
                <w:sz w:val="12"/>
                <w:szCs w:val="12"/>
                <w:color w:val="auto"/>
              </w:rPr>
            </w:pPr>
          </w:p>
        </w:tc>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20" w:type="dxa"/>
            <w:vAlign w:val="bottom"/>
          </w:tcPr>
          <w:p>
            <w:pPr>
              <w:spacing w:after="0"/>
              <w:rPr>
                <w:sz w:val="12"/>
                <w:szCs w:val="12"/>
                <w:color w:val="auto"/>
              </w:rPr>
            </w:pPr>
          </w:p>
        </w:tc>
        <w:tc>
          <w:tcPr>
            <w:tcW w:w="1220" w:type="dxa"/>
            <w:vAlign w:val="bottom"/>
            <w:gridSpan w:val="2"/>
          </w:tcPr>
          <w:p>
            <w:pPr>
              <w:jc w:val="right"/>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160" w:type="dxa"/>
            <w:vAlign w:val="bottom"/>
          </w:tcPr>
          <w:p>
            <w:pPr>
              <w:jc w:val="right"/>
              <w:ind w:right="4"/>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8"/>
        </w:trPr>
        <w:tc>
          <w:tcPr>
            <w:tcW w:w="320" w:type="dxa"/>
            <w:vAlign w:val="bottom"/>
          </w:tcPr>
          <w:p>
            <w:pPr>
              <w:spacing w:after="0"/>
              <w:rPr>
                <w:sz w:val="14"/>
                <w:szCs w:val="14"/>
                <w:color w:val="auto"/>
              </w:rPr>
            </w:pPr>
          </w:p>
        </w:tc>
        <w:tc>
          <w:tcPr>
            <w:tcW w:w="6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0"/>
        </w:trPr>
        <w:tc>
          <w:tcPr>
            <w:tcW w:w="320" w:type="dxa"/>
            <w:vAlign w:val="bottom"/>
          </w:tcPr>
          <w:p>
            <w:pPr>
              <w:spacing w:after="0"/>
              <w:rPr>
                <w:sz w:val="17"/>
                <w:szCs w:val="17"/>
                <w:color w:val="auto"/>
              </w:rPr>
            </w:pPr>
          </w:p>
        </w:tc>
        <w:tc>
          <w:tcPr>
            <w:tcW w:w="59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Common shares issued to settle previous services</w:t>
            </w:r>
          </w:p>
        </w:tc>
        <w:tc>
          <w:tcPr>
            <w:tcW w:w="200" w:type="dxa"/>
            <w:vAlign w:val="bottom"/>
            <w:tcBorders>
              <w:top w:val="single" w:sz="8" w:color="C7EAF2"/>
            </w:tcBorders>
            <w:shd w:val="clear" w:color="auto" w:fill="C7EAF2"/>
          </w:tcPr>
          <w:p>
            <w:pPr>
              <w:spacing w:after="0"/>
              <w:rPr>
                <w:sz w:val="17"/>
                <w:szCs w:val="17"/>
                <w:color w:val="auto"/>
              </w:rPr>
            </w:pPr>
          </w:p>
        </w:tc>
        <w:tc>
          <w:tcPr>
            <w:tcW w:w="220" w:type="dxa"/>
            <w:vAlign w:val="bottom"/>
            <w:tcBorders>
              <w:top w:val="single" w:sz="8" w:color="auto"/>
            </w:tcBorders>
            <w:shd w:val="clear" w:color="auto" w:fill="C7EAF2"/>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13,103</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Conversion of debentures (Note 12)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27,003</w:t>
            </w:r>
          </w:p>
        </w:tc>
        <w:tc>
          <w:tcPr>
            <w:tcW w:w="0" w:type="dxa"/>
            <w:vAlign w:val="bottom"/>
          </w:tcPr>
          <w:p>
            <w:pPr>
              <w:spacing w:after="0"/>
              <w:rPr>
                <w:sz w:val="1"/>
                <w:szCs w:val="1"/>
                <w:color w:val="auto"/>
              </w:rPr>
            </w:pPr>
          </w:p>
        </w:tc>
      </w:tr>
      <w:tr>
        <w:trPr>
          <w:trHeight w:val="401"/>
        </w:trPr>
        <w:tc>
          <w:tcPr>
            <w:tcW w:w="32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3"/>
              </w:rPr>
              <w:t>22.</w:t>
            </w:r>
          </w:p>
        </w:tc>
        <w:tc>
          <w:tcPr>
            <w:tcW w:w="6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Segmented Information</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20"/>
        <w:spacing w:after="0" w:line="276" w:lineRule="auto"/>
        <w:rPr>
          <w:sz w:val="20"/>
          <w:szCs w:val="20"/>
          <w:color w:val="auto"/>
        </w:rPr>
      </w:pPr>
      <w:r>
        <w:rPr>
          <w:rFonts w:ascii="Times New Roman" w:cs="Times New Roman" w:eastAsia="Times New Roman" w:hAnsi="Times New Roman"/>
          <w:sz w:val="17"/>
          <w:szCs w:val="17"/>
          <w:color w:val="auto"/>
        </w:rPr>
        <w:t>The Company’s business consists of only one operating segment, namely exploration of seafloor polymetallic nodules, which includes the development of a metallurgical process to treat such seafloor polymetallic nodules. Details on the geographical basis of the Company’s long-lived assets based on where each legal entity is domiciled are as follows:</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6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0"/>
        </w:trPr>
        <w:tc>
          <w:tcPr>
            <w:tcW w:w="618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Nauru</w:t>
            </w:r>
          </w:p>
        </w:tc>
        <w:tc>
          <w:tcPr>
            <w:tcW w:w="140" w:type="dxa"/>
            <w:vAlign w:val="bottom"/>
            <w:tcBorders>
              <w:top w:val="single" w:sz="8" w:color="C7EAF2"/>
            </w:tcBorders>
            <w:shd w:val="clear" w:color="auto" w:fill="C7EAF2"/>
          </w:tcPr>
          <w:p>
            <w:pPr>
              <w:spacing w:after="0"/>
              <w:rPr>
                <w:sz w:val="17"/>
                <w:szCs w:val="17"/>
                <w:color w:val="auto"/>
              </w:rPr>
            </w:pPr>
          </w:p>
        </w:tc>
        <w:tc>
          <w:tcPr>
            <w:tcW w:w="420" w:type="dxa"/>
            <w:vAlign w:val="bottom"/>
            <w:tcBorders>
              <w:top w:val="single" w:sz="8" w:color="auto"/>
            </w:tcBorders>
            <w:shd w:val="clear" w:color="auto" w:fill="C7EAF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1,154</w:t>
            </w:r>
          </w:p>
        </w:tc>
        <w:tc>
          <w:tcPr>
            <w:tcW w:w="140" w:type="dxa"/>
            <w:vAlign w:val="bottom"/>
            <w:tcBorders>
              <w:top w:val="single" w:sz="8" w:color="C7EAF2"/>
            </w:tcBorders>
            <w:shd w:val="clear" w:color="auto" w:fill="C7EAF2"/>
          </w:tcPr>
          <w:p>
            <w:pPr>
              <w:spacing w:after="0"/>
              <w:rPr>
                <w:sz w:val="17"/>
                <w:szCs w:val="17"/>
                <w:color w:val="auto"/>
              </w:rPr>
            </w:pPr>
          </w:p>
        </w:tc>
        <w:tc>
          <w:tcPr>
            <w:tcW w:w="140" w:type="dxa"/>
            <w:vAlign w:val="bottom"/>
            <w:tcBorders>
              <w:top w:val="single" w:sz="8" w:color="auto"/>
            </w:tcBorders>
            <w:shd w:val="clear" w:color="auto" w:fill="C7EAF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1,246</w:t>
            </w:r>
          </w:p>
        </w:tc>
      </w:tr>
      <w:tr>
        <w:trPr>
          <w:trHeight w:val="207"/>
        </w:trPr>
        <w:tc>
          <w:tcPr>
            <w:tcW w:w="6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Singapore</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07"/>
        </w:trPr>
        <w:tc>
          <w:tcPr>
            <w:tcW w:w="63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Tonga</w:t>
            </w:r>
          </w:p>
        </w:tc>
        <w:tc>
          <w:tcPr>
            <w:tcW w:w="420" w:type="dxa"/>
            <w:vAlign w:val="bottom"/>
            <w:shd w:val="clear" w:color="auto" w:fill="C7EAF2"/>
          </w:tcPr>
          <w:p>
            <w:pPr>
              <w:spacing w:after="0"/>
              <w:rPr>
                <w:sz w:val="18"/>
                <w:szCs w:val="18"/>
                <w:color w:val="auto"/>
              </w:rPr>
            </w:pPr>
          </w:p>
        </w:tc>
        <w:tc>
          <w:tcPr>
            <w:tcW w:w="7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c>
          <w:tcPr>
            <w:tcW w:w="14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10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7"/>
        </w:trPr>
        <w:tc>
          <w:tcPr>
            <w:tcW w:w="6320" w:type="dxa"/>
            <w:vAlign w:val="bottom"/>
            <w:tcBorders>
              <w:bottom w:val="single" w:sz="8" w:color="C7EAF2"/>
            </w:tcBorders>
            <w:gridSpan w:val="2"/>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c>
          <w:tcPr>
            <w:tcW w:w="140" w:type="dxa"/>
            <w:vAlign w:val="bottom"/>
            <w:tcBorders>
              <w:bottom w:val="single" w:sz="8" w:color="C7EAF2"/>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0"/>
        </w:trPr>
        <w:tc>
          <w:tcPr>
            <w:tcW w:w="6320" w:type="dxa"/>
            <w:vAlign w:val="bottom"/>
            <w:tcBorders>
              <w:bottom w:val="single" w:sz="8" w:color="C7EAF2"/>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20" w:type="dxa"/>
            <w:vAlign w:val="bottom"/>
            <w:tcBorders>
              <w:bottom w:val="single" w:sz="8" w:color="auto"/>
            </w:tcBorders>
            <w:shd w:val="clear" w:color="auto" w:fill="C7EAF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7EAF2"/>
            </w:tcBorders>
            <w:shd w:val="clear" w:color="auto" w:fill="C7EAF2"/>
          </w:tcPr>
          <w:p>
            <w:pPr>
              <w:spacing w:after="0"/>
              <w:rPr>
                <w:sz w:val="17"/>
                <w:szCs w:val="17"/>
                <w:color w:val="auto"/>
              </w:rPr>
            </w:pPr>
          </w:p>
        </w:tc>
        <w:tc>
          <w:tcPr>
            <w:tcW w:w="140" w:type="dxa"/>
            <w:vAlign w:val="bottom"/>
            <w:tcBorders>
              <w:bottom w:val="single" w:sz="8" w:color="auto"/>
            </w:tcBorders>
            <w:shd w:val="clear" w:color="auto" w:fill="C7EAF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1,416</w:t>
            </w: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20" w:hanging="312"/>
        <w:spacing w:after="0"/>
        <w:tabs>
          <w:tab w:leader="none" w:pos="32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2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Reconciliation of Effective Tax Rate</w:t>
      </w:r>
    </w:p>
    <w:p>
      <w:pPr>
        <w:spacing w:after="0" w:line="219" w:lineRule="exact"/>
        <w:rPr>
          <w:rFonts w:ascii="Times New Roman" w:cs="Times New Roman" w:eastAsia="Times New Roman" w:hAnsi="Times New Roman"/>
          <w:sz w:val="17"/>
          <w:szCs w:val="17"/>
          <w:b w:val="1"/>
          <w:bCs w:val="1"/>
          <w:color w:val="auto"/>
        </w:rPr>
      </w:pPr>
    </w:p>
    <w:p>
      <w:pPr>
        <w:ind w:left="320" w:hanging="1"/>
        <w:spacing w:after="0" w:line="29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subject to Canadian federal and provincial tax for the estimated assessable profit for the years ended December 31, 2022 and 2021 at a rate of 27%. The Company had no assessable profit in Canada for all periods disclosed.</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10" name="Shape 5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10" o:spid="_x0000_s15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55" w:name="page156"/>
    <w:bookmarkEnd w:id="155"/>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33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338">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200"/>
        <w:spacing w:after="0" w:line="298" w:lineRule="auto"/>
        <w:rPr>
          <w:sz w:val="20"/>
          <w:szCs w:val="20"/>
          <w:color w:val="auto"/>
        </w:rPr>
      </w:pPr>
      <w:r>
        <w:rPr>
          <w:rFonts w:ascii="Times New Roman" w:cs="Times New Roman" w:eastAsia="Times New Roman" w:hAnsi="Times New Roman"/>
          <w:sz w:val="17"/>
          <w:szCs w:val="17"/>
          <w:color w:val="auto"/>
        </w:rPr>
        <w:t>The income tax expense at statutory rates for the Company can be reconciled to the reported loss for the years 2022 and 2021 per the statement of loss and comprehensive loss as follows:</w:t>
      </w:r>
    </w:p>
    <w:p>
      <w:pPr>
        <w:spacing w:after="0" w:line="12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43"/>
        </w:trPr>
        <w:tc>
          <w:tcPr>
            <w:tcW w:w="6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00" w:type="dxa"/>
            <w:vAlign w:val="bottom"/>
            <w:gridSpan w:val="2"/>
          </w:tcPr>
          <w:p>
            <w:pPr>
              <w:jc w:val="right"/>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8"/>
        </w:trPr>
        <w:tc>
          <w:tcPr>
            <w:tcW w:w="6040" w:type="dxa"/>
            <w:vAlign w:val="bottom"/>
            <w:tcBorders>
              <w:bottom w:val="single" w:sz="8" w:color="C7EAF2"/>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7EAF2"/>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7EAF2"/>
            </w:tcBorders>
          </w:tcPr>
          <w:p>
            <w:pPr>
              <w:spacing w:after="0"/>
              <w:rPr>
                <w:sz w:val="14"/>
                <w:szCs w:val="14"/>
                <w:color w:val="auto"/>
              </w:rPr>
            </w:pPr>
          </w:p>
        </w:tc>
      </w:tr>
      <w:tr>
        <w:trPr>
          <w:trHeight w:val="200"/>
        </w:trPr>
        <w:tc>
          <w:tcPr>
            <w:tcW w:w="604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Net loss for the year, before taxes</w:t>
            </w:r>
          </w:p>
        </w:tc>
        <w:tc>
          <w:tcPr>
            <w:tcW w:w="14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(170,887)</w:t>
            </w:r>
          </w:p>
        </w:tc>
        <w:tc>
          <w:tcPr>
            <w:tcW w:w="260" w:type="dxa"/>
            <w:vAlign w:val="bottom"/>
            <w:shd w:val="clear" w:color="auto" w:fill="C7EAF2"/>
          </w:tcPr>
          <w:p>
            <w:pPr>
              <w:spacing w:after="0"/>
              <w:rPr>
                <w:sz w:val="17"/>
                <w:szCs w:val="17"/>
                <w:color w:val="auto"/>
              </w:rPr>
            </w:pPr>
          </w:p>
        </w:tc>
        <w:tc>
          <w:tcPr>
            <w:tcW w:w="1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(141,299)</w:t>
            </w:r>
          </w:p>
        </w:tc>
        <w:tc>
          <w:tcPr>
            <w:tcW w:w="160" w:type="dxa"/>
            <w:vAlign w:val="bottom"/>
            <w:shd w:val="clear" w:color="auto" w:fill="C7EAF2"/>
          </w:tcPr>
          <w:p>
            <w:pPr>
              <w:spacing w:after="0"/>
              <w:rPr>
                <w:sz w:val="17"/>
                <w:szCs w:val="17"/>
                <w:color w:val="auto"/>
              </w:rPr>
            </w:pPr>
          </w:p>
        </w:tc>
      </w:tr>
      <w:tr>
        <w:trPr>
          <w:trHeight w:val="227"/>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Canadian Federal and Provincial income tax rates</w:t>
            </w:r>
          </w:p>
        </w:tc>
        <w:tc>
          <w:tcPr>
            <w:tcW w:w="14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27.00 %</w:t>
            </w:r>
          </w:p>
        </w:tc>
        <w:tc>
          <w:tcPr>
            <w:tcW w:w="1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27.00 %</w:t>
            </w:r>
          </w:p>
        </w:tc>
      </w:tr>
      <w:tr>
        <w:trPr>
          <w:trHeight w:val="180"/>
        </w:trPr>
        <w:tc>
          <w:tcPr>
            <w:tcW w:w="6040" w:type="dxa"/>
            <w:vAlign w:val="bottom"/>
            <w:tcBorders>
              <w:top w:val="single" w:sz="8" w:color="C7EAF2"/>
            </w:tcBorders>
            <w:shd w:val="clear" w:color="auto" w:fill="C7EAF2"/>
          </w:tcPr>
          <w:p>
            <w:pPr>
              <w:spacing w:after="0" w:line="181" w:lineRule="exact"/>
              <w:rPr>
                <w:sz w:val="20"/>
                <w:szCs w:val="20"/>
                <w:color w:val="auto"/>
              </w:rPr>
            </w:pPr>
            <w:r>
              <w:rPr>
                <w:rFonts w:ascii="Times New Roman" w:cs="Times New Roman" w:eastAsia="Times New Roman" w:hAnsi="Times New Roman"/>
                <w:sz w:val="17"/>
                <w:szCs w:val="17"/>
                <w:color w:val="auto"/>
              </w:rPr>
              <w:t>Income tax recovery based on the above rates</w:t>
            </w:r>
          </w:p>
        </w:tc>
        <w:tc>
          <w:tcPr>
            <w:tcW w:w="140" w:type="dxa"/>
            <w:vAlign w:val="bottom"/>
            <w:tcBorders>
              <w:top w:val="single" w:sz="8" w:color="auto"/>
            </w:tcBorders>
            <w:shd w:val="clear" w:color="auto" w:fill="C7EAF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top w:val="single" w:sz="8" w:color="auto"/>
            </w:tcBorders>
            <w:shd w:val="clear" w:color="auto" w:fill="C7EAF2"/>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(46,139)</w:t>
            </w:r>
          </w:p>
        </w:tc>
        <w:tc>
          <w:tcPr>
            <w:tcW w:w="260" w:type="dxa"/>
            <w:vAlign w:val="bottom"/>
            <w:tcBorders>
              <w:top w:val="single" w:sz="8" w:color="C7EAF2"/>
            </w:tcBorders>
            <w:shd w:val="clear" w:color="auto" w:fill="C7EAF2"/>
          </w:tcPr>
          <w:p>
            <w:pPr>
              <w:spacing w:after="0"/>
              <w:rPr>
                <w:sz w:val="15"/>
                <w:szCs w:val="15"/>
                <w:color w:val="auto"/>
              </w:rPr>
            </w:pPr>
          </w:p>
        </w:tc>
        <w:tc>
          <w:tcPr>
            <w:tcW w:w="120" w:type="dxa"/>
            <w:vAlign w:val="bottom"/>
            <w:tcBorders>
              <w:top w:val="single" w:sz="8" w:color="auto"/>
            </w:tcBorders>
            <w:shd w:val="clear" w:color="auto" w:fill="C7EAF2"/>
          </w:tcPr>
          <w:p>
            <w:pPr>
              <w:spacing w:after="0" w:line="181"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7EAF2"/>
          </w:tcPr>
          <w:p>
            <w:pPr>
              <w:jc w:val="right"/>
              <w:spacing w:after="0" w:line="181" w:lineRule="exact"/>
              <w:rPr>
                <w:sz w:val="20"/>
                <w:szCs w:val="20"/>
                <w:color w:val="auto"/>
              </w:rPr>
            </w:pPr>
            <w:r>
              <w:rPr>
                <w:rFonts w:ascii="Times New Roman" w:cs="Times New Roman" w:eastAsia="Times New Roman" w:hAnsi="Times New Roman"/>
                <w:sz w:val="17"/>
                <w:szCs w:val="17"/>
                <w:color w:val="auto"/>
              </w:rPr>
              <w:t>(38,151)</w:t>
            </w:r>
          </w:p>
        </w:tc>
        <w:tc>
          <w:tcPr>
            <w:tcW w:w="160" w:type="dxa"/>
            <w:vAlign w:val="bottom"/>
            <w:tcBorders>
              <w:top w:val="single" w:sz="8" w:color="C7EAF2"/>
            </w:tcBorders>
            <w:shd w:val="clear" w:color="auto" w:fill="C7EAF2"/>
          </w:tcPr>
          <w:p>
            <w:pPr>
              <w:spacing w:after="0"/>
              <w:rPr>
                <w:sz w:val="15"/>
                <w:szCs w:val="15"/>
                <w:color w:val="auto"/>
              </w:rPr>
            </w:pPr>
          </w:p>
        </w:tc>
      </w:tr>
      <w:tr>
        <w:trPr>
          <w:trHeight w:val="207"/>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Permanent differences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8,597</w:t>
            </w:r>
          </w:p>
        </w:tc>
        <w:tc>
          <w:tcPr>
            <w:tcW w:w="160" w:type="dxa"/>
            <w:vAlign w:val="bottom"/>
          </w:tcPr>
          <w:p>
            <w:pPr>
              <w:spacing w:after="0"/>
              <w:rPr>
                <w:sz w:val="18"/>
                <w:szCs w:val="18"/>
                <w:color w:val="auto"/>
              </w:rPr>
            </w:pPr>
          </w:p>
        </w:tc>
      </w:tr>
      <w:tr>
        <w:trPr>
          <w:trHeight w:val="207"/>
        </w:trPr>
        <w:tc>
          <w:tcPr>
            <w:tcW w:w="604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Effect of differences in future and foreign tax rates</w:t>
            </w:r>
          </w:p>
        </w:tc>
        <w:tc>
          <w:tcPr>
            <w:tcW w:w="140" w:type="dxa"/>
            <w:vAlign w:val="bottom"/>
            <w:shd w:val="clear" w:color="auto" w:fill="C7EAF2"/>
          </w:tcPr>
          <w:p>
            <w:pPr>
              <w:spacing w:after="0"/>
              <w:rPr>
                <w:sz w:val="18"/>
                <w:szCs w:val="18"/>
                <w:color w:val="auto"/>
              </w:rPr>
            </w:pPr>
          </w:p>
        </w:tc>
        <w:tc>
          <w:tcPr>
            <w:tcW w:w="10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37,490</w:t>
            </w:r>
          </w:p>
        </w:tc>
        <w:tc>
          <w:tcPr>
            <w:tcW w:w="260" w:type="dxa"/>
            <w:vAlign w:val="bottom"/>
            <w:shd w:val="clear" w:color="auto" w:fill="C7EAF2"/>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10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22,721</w:t>
            </w:r>
          </w:p>
        </w:tc>
        <w:tc>
          <w:tcPr>
            <w:tcW w:w="160" w:type="dxa"/>
            <w:vAlign w:val="bottom"/>
            <w:shd w:val="clear" w:color="auto" w:fill="C7EAF2"/>
          </w:tcPr>
          <w:p>
            <w:pPr>
              <w:spacing w:after="0"/>
              <w:rPr>
                <w:sz w:val="18"/>
                <w:szCs w:val="18"/>
                <w:color w:val="auto"/>
              </w:rPr>
            </w:pPr>
          </w:p>
        </w:tc>
      </w:tr>
      <w:tr>
        <w:trPr>
          <w:trHeight w:val="207"/>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Foreign exchange and other</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18"/>
                <w:szCs w:val="18"/>
                <w:color w:val="auto"/>
              </w:rPr>
            </w:pPr>
          </w:p>
        </w:tc>
      </w:tr>
      <w:tr>
        <w:trPr>
          <w:trHeight w:val="207"/>
        </w:trPr>
        <w:tc>
          <w:tcPr>
            <w:tcW w:w="604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Expiry of losses as a result of the Business Combination (Note 6)</w:t>
            </w:r>
          </w:p>
        </w:tc>
        <w:tc>
          <w:tcPr>
            <w:tcW w:w="140" w:type="dxa"/>
            <w:vAlign w:val="bottom"/>
            <w:shd w:val="clear" w:color="auto" w:fill="C7EAF2"/>
          </w:tcPr>
          <w:p>
            <w:pPr>
              <w:spacing w:after="0"/>
              <w:rPr>
                <w:sz w:val="18"/>
                <w:szCs w:val="18"/>
                <w:color w:val="auto"/>
              </w:rPr>
            </w:pPr>
          </w:p>
        </w:tc>
        <w:tc>
          <w:tcPr>
            <w:tcW w:w="1320" w:type="dxa"/>
            <w:vAlign w:val="bottom"/>
            <w:gridSpan w:val="2"/>
            <w:shd w:val="clear" w:color="auto" w:fill="C7EAF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shd w:val="clear" w:color="auto" w:fill="C7EAF2"/>
          </w:tcPr>
          <w:p>
            <w:pPr>
              <w:spacing w:after="0"/>
              <w:rPr>
                <w:sz w:val="18"/>
                <w:szCs w:val="18"/>
                <w:color w:val="auto"/>
              </w:rPr>
            </w:pPr>
          </w:p>
        </w:tc>
        <w:tc>
          <w:tcPr>
            <w:tcW w:w="10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9,181</w:t>
            </w:r>
          </w:p>
        </w:tc>
        <w:tc>
          <w:tcPr>
            <w:tcW w:w="160" w:type="dxa"/>
            <w:vAlign w:val="bottom"/>
            <w:shd w:val="clear" w:color="auto" w:fill="C7EAF2"/>
          </w:tcPr>
          <w:p>
            <w:pPr>
              <w:spacing w:after="0"/>
              <w:rPr>
                <w:sz w:val="18"/>
                <w:szCs w:val="18"/>
                <w:color w:val="auto"/>
              </w:rPr>
            </w:pPr>
          </w:p>
        </w:tc>
      </w:tr>
      <w:tr>
        <w:trPr>
          <w:trHeight w:val="207"/>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 changes affecting the provision of income taxes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6,774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(2,349)</w:t>
            </w:r>
          </w:p>
        </w:tc>
      </w:tr>
      <w:tr>
        <w:trPr>
          <w:trHeight w:val="200"/>
        </w:trPr>
        <w:tc>
          <w:tcPr>
            <w:tcW w:w="6040" w:type="dxa"/>
            <w:vAlign w:val="bottom"/>
            <w:tcBorders>
              <w:top w:val="single" w:sz="8" w:color="C7EAF2"/>
              <w:bottom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Total income taxes</w:t>
            </w:r>
          </w:p>
        </w:tc>
        <w:tc>
          <w:tcPr>
            <w:tcW w:w="140" w:type="dxa"/>
            <w:vAlign w:val="bottom"/>
            <w:tcBorders>
              <w:top w:val="single" w:sz="8" w:color="auto"/>
              <w:bottom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77</w:t>
            </w:r>
          </w:p>
        </w:tc>
        <w:tc>
          <w:tcPr>
            <w:tcW w:w="260" w:type="dxa"/>
            <w:vAlign w:val="bottom"/>
            <w:tcBorders>
              <w:top w:val="single" w:sz="8" w:color="C7EAF2"/>
              <w:bottom w:val="single" w:sz="8" w:color="C7EAF2"/>
            </w:tcBorders>
            <w:shd w:val="clear" w:color="auto" w:fill="C7EAF2"/>
          </w:tcPr>
          <w:p>
            <w:pPr>
              <w:spacing w:after="0"/>
              <w:rPr>
                <w:sz w:val="17"/>
                <w:szCs w:val="17"/>
                <w:color w:val="auto"/>
              </w:rPr>
            </w:pPr>
          </w:p>
        </w:tc>
        <w:tc>
          <w:tcPr>
            <w:tcW w:w="120" w:type="dxa"/>
            <w:vAlign w:val="bottom"/>
            <w:tcBorders>
              <w:top w:val="single" w:sz="8" w:color="auto"/>
              <w:bottom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4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top w:val="single" w:sz="8" w:color="C7EAF2"/>
              <w:bottom w:val="single" w:sz="8" w:color="C7EAF2"/>
            </w:tcBorders>
            <w:shd w:val="clear" w:color="auto" w:fill="C7EAF2"/>
          </w:tcPr>
          <w:p>
            <w:pPr>
              <w:spacing w:after="0"/>
              <w:rPr>
                <w:sz w:val="17"/>
                <w:szCs w:val="17"/>
                <w:color w:val="auto"/>
              </w:rPr>
            </w:pPr>
          </w:p>
        </w:tc>
      </w:tr>
    </w:tbl>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Company currently has no uncertain tax positions and is therefore not reflecting any adjustments.</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Components of the Company’s deferred income tax assets (liabilities) are as follows: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 2021</w:t>
            </w:r>
          </w:p>
        </w:tc>
        <w:tc>
          <w:tcPr>
            <w:tcW w:w="0" w:type="dxa"/>
            <w:vAlign w:val="bottom"/>
          </w:tcPr>
          <w:p>
            <w:pPr>
              <w:spacing w:after="0"/>
              <w:rPr>
                <w:sz w:val="1"/>
                <w:szCs w:val="1"/>
                <w:color w:val="auto"/>
              </w:rPr>
            </w:pPr>
          </w:p>
        </w:tc>
      </w:tr>
      <w:tr>
        <w:trPr>
          <w:trHeight w:val="200"/>
        </w:trPr>
        <w:tc>
          <w:tcPr>
            <w:tcW w:w="628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160" w:type="dxa"/>
            <w:vAlign w:val="bottom"/>
            <w:tcBorders>
              <w:top w:val="single" w:sz="8" w:color="C7EAF2"/>
            </w:tcBorders>
            <w:shd w:val="clear" w:color="auto" w:fill="C7EAF2"/>
          </w:tcPr>
          <w:p>
            <w:pPr>
              <w:spacing w:after="0"/>
              <w:rPr>
                <w:sz w:val="17"/>
                <w:szCs w:val="17"/>
                <w:color w:val="auto"/>
              </w:rPr>
            </w:pPr>
          </w:p>
        </w:tc>
        <w:tc>
          <w:tcPr>
            <w:tcW w:w="380" w:type="dxa"/>
            <w:vAlign w:val="bottom"/>
            <w:tcBorders>
              <w:top w:val="single" w:sz="8" w:color="auto"/>
            </w:tcBorders>
            <w:shd w:val="clear" w:color="auto" w:fill="C7EAF2"/>
          </w:tcPr>
          <w:p>
            <w:pPr>
              <w:spacing w:after="0"/>
              <w:rPr>
                <w:sz w:val="17"/>
                <w:szCs w:val="17"/>
                <w:color w:val="auto"/>
              </w:rPr>
            </w:pPr>
          </w:p>
        </w:tc>
        <w:tc>
          <w:tcPr>
            <w:tcW w:w="860" w:type="dxa"/>
            <w:vAlign w:val="bottom"/>
            <w:tcBorders>
              <w:top w:val="single" w:sz="8" w:color="auto"/>
            </w:tcBorders>
            <w:shd w:val="clear" w:color="auto" w:fill="C7EAF2"/>
          </w:tcPr>
          <w:p>
            <w:pPr>
              <w:spacing w:after="0"/>
              <w:rPr>
                <w:sz w:val="17"/>
                <w:szCs w:val="17"/>
                <w:color w:val="auto"/>
              </w:rPr>
            </w:pPr>
          </w:p>
        </w:tc>
        <w:tc>
          <w:tcPr>
            <w:tcW w:w="200" w:type="dxa"/>
            <w:vAlign w:val="bottom"/>
            <w:tcBorders>
              <w:top w:val="single" w:sz="8" w:color="C7EAF2"/>
            </w:tcBorders>
            <w:shd w:val="clear" w:color="auto" w:fill="C7EAF2"/>
          </w:tcPr>
          <w:p>
            <w:pPr>
              <w:spacing w:after="0"/>
              <w:rPr>
                <w:sz w:val="17"/>
                <w:szCs w:val="17"/>
                <w:color w:val="auto"/>
              </w:rPr>
            </w:pPr>
          </w:p>
        </w:tc>
        <w:tc>
          <w:tcPr>
            <w:tcW w:w="20" w:type="dxa"/>
            <w:vAlign w:val="bottom"/>
            <w:tcBorders>
              <w:top w:val="single" w:sz="8" w:color="C7EAF2"/>
            </w:tcBorders>
            <w:shd w:val="clear" w:color="auto" w:fill="C7EAF2"/>
          </w:tcPr>
          <w:p>
            <w:pPr>
              <w:spacing w:after="0"/>
              <w:rPr>
                <w:sz w:val="17"/>
                <w:szCs w:val="17"/>
                <w:color w:val="auto"/>
              </w:rPr>
            </w:pPr>
          </w:p>
        </w:tc>
        <w:tc>
          <w:tcPr>
            <w:tcW w:w="80" w:type="dxa"/>
            <w:vAlign w:val="bottom"/>
            <w:tcBorders>
              <w:top w:val="single" w:sz="8" w:color="auto"/>
            </w:tcBorders>
            <w:shd w:val="clear" w:color="auto" w:fill="C7EAF2"/>
          </w:tcPr>
          <w:p>
            <w:pPr>
              <w:spacing w:after="0"/>
              <w:rPr>
                <w:sz w:val="17"/>
                <w:szCs w:val="17"/>
                <w:color w:val="auto"/>
              </w:rPr>
            </w:pPr>
          </w:p>
        </w:tc>
        <w:tc>
          <w:tcPr>
            <w:tcW w:w="1160" w:type="dxa"/>
            <w:vAlign w:val="bottom"/>
            <w:tcBorders>
              <w:top w:val="single" w:sz="8" w:color="auto"/>
            </w:tcBorders>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Non-capital losses</w:t>
            </w:r>
          </w:p>
        </w:tc>
        <w:tc>
          <w:tcPr>
            <w:tcW w:w="540" w:type="dxa"/>
            <w:vAlign w:val="bottom"/>
            <w:gridSpan w:val="2"/>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16,074</w:t>
            </w:r>
          </w:p>
        </w:tc>
        <w:tc>
          <w:tcPr>
            <w:tcW w:w="2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7,409</w:t>
            </w:r>
          </w:p>
        </w:tc>
        <w:tc>
          <w:tcPr>
            <w:tcW w:w="0" w:type="dxa"/>
            <w:vAlign w:val="bottom"/>
          </w:tcPr>
          <w:p>
            <w:pPr>
              <w:spacing w:after="0"/>
              <w:rPr>
                <w:sz w:val="1"/>
                <w:szCs w:val="1"/>
                <w:color w:val="auto"/>
              </w:rPr>
            </w:pPr>
          </w:p>
        </w:tc>
      </w:tr>
      <w:tr>
        <w:trPr>
          <w:trHeight w:val="207"/>
        </w:trPr>
        <w:tc>
          <w:tcPr>
            <w:tcW w:w="6280" w:type="dxa"/>
            <w:vAlign w:val="bottom"/>
            <w:shd w:val="clear" w:color="auto" w:fill="C7EAF2"/>
          </w:tcPr>
          <w:p>
            <w:pPr>
              <w:ind w:left="120"/>
              <w:spacing w:after="0"/>
              <w:rPr>
                <w:sz w:val="20"/>
                <w:szCs w:val="20"/>
                <w:color w:val="auto"/>
              </w:rPr>
            </w:pPr>
            <w:r>
              <w:rPr>
                <w:rFonts w:ascii="Times New Roman" w:cs="Times New Roman" w:eastAsia="Times New Roman" w:hAnsi="Times New Roman"/>
                <w:sz w:val="17"/>
                <w:szCs w:val="17"/>
                <w:color w:val="auto"/>
              </w:rPr>
              <w:t>Capital losses and other</w:t>
            </w:r>
          </w:p>
        </w:tc>
        <w:tc>
          <w:tcPr>
            <w:tcW w:w="160" w:type="dxa"/>
            <w:vAlign w:val="bottom"/>
            <w:shd w:val="clear" w:color="auto" w:fill="C7EAF2"/>
          </w:tcPr>
          <w:p>
            <w:pPr>
              <w:spacing w:after="0"/>
              <w:rPr>
                <w:sz w:val="18"/>
                <w:szCs w:val="18"/>
                <w:color w:val="auto"/>
              </w:rPr>
            </w:pPr>
          </w:p>
        </w:tc>
        <w:tc>
          <w:tcPr>
            <w:tcW w:w="380" w:type="dxa"/>
            <w:vAlign w:val="bottom"/>
            <w:shd w:val="clear" w:color="auto" w:fill="C7EAF2"/>
          </w:tcPr>
          <w:p>
            <w:pPr>
              <w:spacing w:after="0"/>
              <w:rPr>
                <w:sz w:val="18"/>
                <w:szCs w:val="18"/>
                <w:color w:val="auto"/>
              </w:rPr>
            </w:pP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172</w:t>
            </w:r>
          </w:p>
        </w:tc>
        <w:tc>
          <w:tcPr>
            <w:tcW w:w="200" w:type="dxa"/>
            <w:vAlign w:val="bottom"/>
            <w:shd w:val="clear" w:color="auto" w:fill="C7EAF2"/>
          </w:tcPr>
          <w:p>
            <w:pPr>
              <w:spacing w:after="0"/>
              <w:rPr>
                <w:sz w:val="18"/>
                <w:szCs w:val="18"/>
                <w:color w:val="auto"/>
              </w:rPr>
            </w:pPr>
          </w:p>
        </w:tc>
        <w:tc>
          <w:tcPr>
            <w:tcW w:w="20" w:type="dxa"/>
            <w:vAlign w:val="bottom"/>
            <w:shd w:val="clear" w:color="auto" w:fill="C7EAF2"/>
          </w:tcPr>
          <w:p>
            <w:pPr>
              <w:spacing w:after="0"/>
              <w:rPr>
                <w:sz w:val="18"/>
                <w:szCs w:val="18"/>
                <w:color w:val="auto"/>
              </w:rPr>
            </w:pPr>
          </w:p>
        </w:tc>
        <w:tc>
          <w:tcPr>
            <w:tcW w:w="80" w:type="dxa"/>
            <w:vAlign w:val="bottom"/>
            <w:shd w:val="clear" w:color="auto" w:fill="C7EAF2"/>
          </w:tcPr>
          <w:p>
            <w:pPr>
              <w:spacing w:after="0"/>
              <w:rPr>
                <w:sz w:val="18"/>
                <w:szCs w:val="18"/>
                <w:color w:val="auto"/>
              </w:rPr>
            </w:pPr>
          </w:p>
        </w:tc>
        <w:tc>
          <w:tcPr>
            <w:tcW w:w="11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6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Equipment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07"/>
        </w:trPr>
        <w:tc>
          <w:tcPr>
            <w:tcW w:w="6280" w:type="dxa"/>
            <w:vAlign w:val="bottom"/>
            <w:shd w:val="clear" w:color="auto" w:fill="C7EAF2"/>
          </w:tcPr>
          <w:p>
            <w:pPr>
              <w:ind w:left="120"/>
              <w:spacing w:after="0"/>
              <w:rPr>
                <w:sz w:val="20"/>
                <w:szCs w:val="20"/>
                <w:color w:val="auto"/>
              </w:rPr>
            </w:pPr>
            <w:r>
              <w:rPr>
                <w:rFonts w:ascii="Times New Roman" w:cs="Times New Roman" w:eastAsia="Times New Roman" w:hAnsi="Times New Roman"/>
                <w:sz w:val="17"/>
                <w:szCs w:val="17"/>
                <w:color w:val="auto"/>
              </w:rPr>
              <w:t>Share issuance costs</w:t>
            </w:r>
          </w:p>
        </w:tc>
        <w:tc>
          <w:tcPr>
            <w:tcW w:w="160" w:type="dxa"/>
            <w:vAlign w:val="bottom"/>
            <w:shd w:val="clear" w:color="auto" w:fill="C7EAF2"/>
          </w:tcPr>
          <w:p>
            <w:pPr>
              <w:spacing w:after="0"/>
              <w:rPr>
                <w:sz w:val="18"/>
                <w:szCs w:val="18"/>
                <w:color w:val="auto"/>
              </w:rPr>
            </w:pPr>
          </w:p>
        </w:tc>
        <w:tc>
          <w:tcPr>
            <w:tcW w:w="380" w:type="dxa"/>
            <w:vAlign w:val="bottom"/>
            <w:tcBorders>
              <w:bottom w:val="single" w:sz="8" w:color="auto"/>
            </w:tcBorders>
            <w:shd w:val="clear" w:color="auto" w:fill="C7EAF2"/>
          </w:tcPr>
          <w:p>
            <w:pPr>
              <w:spacing w:after="0"/>
              <w:rPr>
                <w:sz w:val="18"/>
                <w:szCs w:val="18"/>
                <w:color w:val="auto"/>
              </w:rPr>
            </w:pPr>
          </w:p>
        </w:tc>
        <w:tc>
          <w:tcPr>
            <w:tcW w:w="8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221</w:t>
            </w:r>
          </w:p>
        </w:tc>
        <w:tc>
          <w:tcPr>
            <w:tcW w:w="200" w:type="dxa"/>
            <w:vAlign w:val="bottom"/>
            <w:shd w:val="clear" w:color="auto" w:fill="C7EAF2"/>
          </w:tcPr>
          <w:p>
            <w:pPr>
              <w:spacing w:after="0"/>
              <w:rPr>
                <w:sz w:val="18"/>
                <w:szCs w:val="18"/>
                <w:color w:val="auto"/>
              </w:rPr>
            </w:pPr>
          </w:p>
        </w:tc>
        <w:tc>
          <w:tcPr>
            <w:tcW w:w="20" w:type="dxa"/>
            <w:vAlign w:val="bottom"/>
            <w:shd w:val="clear" w:color="auto" w:fill="C7EAF2"/>
          </w:tcPr>
          <w:p>
            <w:pPr>
              <w:spacing w:after="0"/>
              <w:rPr>
                <w:sz w:val="18"/>
                <w:szCs w:val="18"/>
                <w:color w:val="auto"/>
              </w:rPr>
            </w:pPr>
          </w:p>
        </w:tc>
        <w:tc>
          <w:tcPr>
            <w:tcW w:w="80" w:type="dxa"/>
            <w:vAlign w:val="bottom"/>
            <w:tcBorders>
              <w:bottom w:val="single" w:sz="8" w:color="auto"/>
            </w:tcBorders>
            <w:shd w:val="clear" w:color="auto" w:fill="C7EAF2"/>
          </w:tcPr>
          <w:p>
            <w:pPr>
              <w:spacing w:after="0"/>
              <w:rPr>
                <w:sz w:val="18"/>
                <w:szCs w:val="18"/>
                <w:color w:val="auto"/>
              </w:rPr>
            </w:pPr>
          </w:p>
        </w:tc>
        <w:tc>
          <w:tcPr>
            <w:tcW w:w="11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0"/>
        </w:trPr>
        <w:tc>
          <w:tcPr>
            <w:tcW w:w="6280" w:type="dxa"/>
            <w:vAlign w:val="bottom"/>
          </w:tcPr>
          <w:p>
            <w:pPr>
              <w:spacing w:after="0"/>
              <w:rPr>
                <w:sz w:val="20"/>
                <w:szCs w:val="20"/>
                <w:color w:val="auto"/>
              </w:rPr>
            </w:pPr>
            <w:r>
              <w:rPr>
                <w:rFonts w:ascii="Times New Roman" w:cs="Times New Roman" w:eastAsia="Times New Roman" w:hAnsi="Times New Roman"/>
                <w:sz w:val="17"/>
                <w:szCs w:val="17"/>
                <w:color w:val="auto"/>
              </w:rPr>
              <w:t>Total deferred income tax assets</w:t>
            </w:r>
          </w:p>
        </w:tc>
        <w:tc>
          <w:tcPr>
            <w:tcW w:w="160" w:type="dxa"/>
            <w:vAlign w:val="bottom"/>
          </w:tcPr>
          <w:p>
            <w:pPr>
              <w:spacing w:after="0"/>
              <w:rPr>
                <w:sz w:val="17"/>
                <w:szCs w:val="17"/>
                <w:color w:val="auto"/>
              </w:rPr>
            </w:pPr>
          </w:p>
        </w:tc>
        <w:tc>
          <w:tcPr>
            <w:tcW w:w="380" w:type="dxa"/>
            <w:vAlign w:val="bottom"/>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16,546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7,509</w:t>
            </w:r>
          </w:p>
        </w:tc>
        <w:tc>
          <w:tcPr>
            <w:tcW w:w="0" w:type="dxa"/>
            <w:vAlign w:val="bottom"/>
          </w:tcPr>
          <w:p>
            <w:pPr>
              <w:spacing w:after="0"/>
              <w:rPr>
                <w:sz w:val="1"/>
                <w:szCs w:val="1"/>
                <w:color w:val="auto"/>
              </w:rPr>
            </w:pPr>
          </w:p>
        </w:tc>
      </w:tr>
      <w:tr>
        <w:trPr>
          <w:trHeight w:val="227"/>
        </w:trPr>
        <w:tc>
          <w:tcPr>
            <w:tcW w:w="628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60" w:type="dxa"/>
            <w:vAlign w:val="bottom"/>
            <w:shd w:val="clear" w:color="auto" w:fill="C7EAF2"/>
          </w:tcPr>
          <w:p>
            <w:pPr>
              <w:spacing w:after="0"/>
              <w:rPr>
                <w:sz w:val="19"/>
                <w:szCs w:val="19"/>
                <w:color w:val="auto"/>
              </w:rPr>
            </w:pPr>
          </w:p>
        </w:tc>
        <w:tc>
          <w:tcPr>
            <w:tcW w:w="380" w:type="dxa"/>
            <w:vAlign w:val="bottom"/>
            <w:tcBorders>
              <w:bottom w:val="single" w:sz="8" w:color="auto"/>
            </w:tcBorders>
            <w:shd w:val="clear" w:color="auto" w:fill="C7EAF2"/>
          </w:tcPr>
          <w:p>
            <w:pPr>
              <w:spacing w:after="0"/>
              <w:rPr>
                <w:sz w:val="19"/>
                <w:szCs w:val="19"/>
                <w:color w:val="auto"/>
              </w:rPr>
            </w:pPr>
          </w:p>
        </w:tc>
        <w:tc>
          <w:tcPr>
            <w:tcW w:w="8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(16,546)</w:t>
            </w:r>
          </w:p>
        </w:tc>
        <w:tc>
          <w:tcPr>
            <w:tcW w:w="200" w:type="dxa"/>
            <w:vAlign w:val="bottom"/>
            <w:shd w:val="clear" w:color="auto" w:fill="C7EAF2"/>
          </w:tcPr>
          <w:p>
            <w:pPr>
              <w:spacing w:after="0"/>
              <w:rPr>
                <w:sz w:val="19"/>
                <w:szCs w:val="19"/>
                <w:color w:val="auto"/>
              </w:rPr>
            </w:pPr>
          </w:p>
        </w:tc>
        <w:tc>
          <w:tcPr>
            <w:tcW w:w="20" w:type="dxa"/>
            <w:vAlign w:val="bottom"/>
            <w:shd w:val="clear" w:color="auto" w:fill="C7EAF2"/>
          </w:tcPr>
          <w:p>
            <w:pPr>
              <w:spacing w:after="0"/>
              <w:rPr>
                <w:sz w:val="19"/>
                <w:szCs w:val="19"/>
                <w:color w:val="auto"/>
              </w:rPr>
            </w:pPr>
          </w:p>
        </w:tc>
        <w:tc>
          <w:tcPr>
            <w:tcW w:w="80" w:type="dxa"/>
            <w:vAlign w:val="bottom"/>
            <w:tcBorders>
              <w:bottom w:val="single" w:sz="8" w:color="auto"/>
            </w:tcBorders>
            <w:shd w:val="clear" w:color="auto" w:fill="C7EAF2"/>
          </w:tcPr>
          <w:p>
            <w:pPr>
              <w:spacing w:after="0"/>
              <w:rPr>
                <w:sz w:val="19"/>
                <w:szCs w:val="19"/>
                <w:color w:val="auto"/>
              </w:rPr>
            </w:pPr>
          </w:p>
        </w:tc>
        <w:tc>
          <w:tcPr>
            <w:tcW w:w="1160" w:type="dxa"/>
            <w:vAlign w:val="bottom"/>
            <w:tcBorders>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(7,509)</w:t>
            </w:r>
          </w:p>
        </w:tc>
        <w:tc>
          <w:tcPr>
            <w:tcW w:w="0" w:type="dxa"/>
            <w:vAlign w:val="bottom"/>
          </w:tcPr>
          <w:p>
            <w:pPr>
              <w:spacing w:after="0"/>
              <w:rPr>
                <w:sz w:val="1"/>
                <w:szCs w:val="1"/>
                <w:color w:val="auto"/>
              </w:rPr>
            </w:pPr>
          </w:p>
        </w:tc>
      </w:tr>
      <w:tr>
        <w:trPr>
          <w:trHeight w:val="180"/>
        </w:trPr>
        <w:tc>
          <w:tcPr>
            <w:tcW w:w="6280" w:type="dxa"/>
            <w:vAlign w:val="bottom"/>
            <w:tcBorders>
              <w:bottom w:val="single" w:sz="8" w:color="C7EAF2"/>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Deferred tax asset recognized</w:t>
            </w:r>
          </w:p>
        </w:tc>
        <w:tc>
          <w:tcPr>
            <w:tcW w:w="160" w:type="dxa"/>
            <w:vAlign w:val="bottom"/>
            <w:tcBorders>
              <w:bottom w:val="single" w:sz="8" w:color="C7EAF2"/>
            </w:tcBorders>
          </w:tcPr>
          <w:p>
            <w:pPr>
              <w:spacing w:after="0"/>
              <w:rPr>
                <w:sz w:val="15"/>
                <w:szCs w:val="15"/>
                <w:color w:val="auto"/>
              </w:rPr>
            </w:pPr>
          </w:p>
        </w:tc>
        <w:tc>
          <w:tcPr>
            <w:tcW w:w="380" w:type="dxa"/>
            <w:vAlign w:val="bottom"/>
            <w:tcBorders>
              <w:bottom w:val="single" w:sz="8" w:color="auto"/>
            </w:tcBorders>
          </w:tcPr>
          <w:p>
            <w:pPr>
              <w:jc w:val="right"/>
              <w:ind w:right="198"/>
              <w:spacing w:after="0" w:line="18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7EAF2"/>
            </w:tcBorders>
          </w:tcPr>
          <w:p>
            <w:pPr>
              <w:spacing w:after="0"/>
              <w:rPr>
                <w:sz w:val="15"/>
                <w:szCs w:val="15"/>
                <w:color w:val="auto"/>
              </w:rPr>
            </w:pPr>
          </w:p>
        </w:tc>
        <w:tc>
          <w:tcPr>
            <w:tcW w:w="20" w:type="dxa"/>
            <w:vAlign w:val="bottom"/>
            <w:tcBorders>
              <w:bottom w:val="single" w:sz="8" w:color="C7EAF2"/>
            </w:tcBorders>
          </w:tcPr>
          <w:p>
            <w:pPr>
              <w:spacing w:after="0"/>
              <w:rPr>
                <w:sz w:val="15"/>
                <w:szCs w:val="15"/>
                <w:color w:val="auto"/>
              </w:rPr>
            </w:pPr>
          </w:p>
        </w:tc>
        <w:tc>
          <w:tcPr>
            <w:tcW w:w="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00"/>
        </w:trPr>
        <w:tc>
          <w:tcPr>
            <w:tcW w:w="6280" w:type="dxa"/>
            <w:vAlign w:val="bottom"/>
            <w:shd w:val="clear" w:color="auto" w:fill="C7EAF2"/>
          </w:tcPr>
          <w:p>
            <w:pPr>
              <w:spacing w:after="0"/>
              <w:rPr>
                <w:sz w:val="17"/>
                <w:szCs w:val="17"/>
                <w:color w:val="auto"/>
              </w:rPr>
            </w:pPr>
          </w:p>
        </w:tc>
        <w:tc>
          <w:tcPr>
            <w:tcW w:w="160" w:type="dxa"/>
            <w:vAlign w:val="bottom"/>
            <w:shd w:val="clear" w:color="auto" w:fill="C7EAF2"/>
          </w:tcPr>
          <w:p>
            <w:pPr>
              <w:spacing w:after="0"/>
              <w:rPr>
                <w:sz w:val="17"/>
                <w:szCs w:val="17"/>
                <w:color w:val="auto"/>
              </w:rPr>
            </w:pPr>
          </w:p>
        </w:tc>
        <w:tc>
          <w:tcPr>
            <w:tcW w:w="380" w:type="dxa"/>
            <w:vAlign w:val="bottom"/>
            <w:shd w:val="clear" w:color="auto" w:fill="C7EAF2"/>
          </w:tcPr>
          <w:p>
            <w:pPr>
              <w:spacing w:after="0"/>
              <w:rPr>
                <w:sz w:val="17"/>
                <w:szCs w:val="17"/>
                <w:color w:val="auto"/>
              </w:rPr>
            </w:pPr>
          </w:p>
        </w:tc>
        <w:tc>
          <w:tcPr>
            <w:tcW w:w="86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20" w:type="dxa"/>
            <w:vAlign w:val="bottom"/>
            <w:shd w:val="clear" w:color="auto" w:fill="C7EAF2"/>
          </w:tcPr>
          <w:p>
            <w:pPr>
              <w:spacing w:after="0"/>
              <w:rPr>
                <w:sz w:val="17"/>
                <w:szCs w:val="17"/>
                <w:color w:val="auto"/>
              </w:rPr>
            </w:pPr>
          </w:p>
        </w:tc>
        <w:tc>
          <w:tcPr>
            <w:tcW w:w="80" w:type="dxa"/>
            <w:vAlign w:val="bottom"/>
            <w:shd w:val="clear" w:color="auto" w:fill="C7EAF2"/>
          </w:tcPr>
          <w:p>
            <w:pPr>
              <w:spacing w:after="0"/>
              <w:rPr>
                <w:sz w:val="17"/>
                <w:szCs w:val="17"/>
                <w:color w:val="auto"/>
              </w:rPr>
            </w:pPr>
          </w:p>
        </w:tc>
        <w:tc>
          <w:tcPr>
            <w:tcW w:w="1160" w:type="dxa"/>
            <w:vAlign w:val="bottom"/>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Liability</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280" w:type="dxa"/>
            <w:vAlign w:val="bottom"/>
            <w:shd w:val="clear" w:color="auto" w:fill="C7EAF2"/>
          </w:tcPr>
          <w:p>
            <w:pPr>
              <w:ind w:left="120"/>
              <w:spacing w:after="0" w:line="184" w:lineRule="exact"/>
              <w:rPr>
                <w:sz w:val="20"/>
                <w:szCs w:val="20"/>
                <w:color w:val="auto"/>
              </w:rPr>
            </w:pPr>
            <w:r>
              <w:rPr>
                <w:rFonts w:ascii="Times New Roman" w:cs="Times New Roman" w:eastAsia="Times New Roman" w:hAnsi="Times New Roman"/>
                <w:sz w:val="17"/>
                <w:szCs w:val="17"/>
                <w:color w:val="auto"/>
              </w:rPr>
              <w:t>Difference between the book value and the tax basis of the TOML exploration contract</w:t>
            </w:r>
          </w:p>
        </w:tc>
        <w:tc>
          <w:tcPr>
            <w:tcW w:w="540" w:type="dxa"/>
            <w:vAlign w:val="bottom"/>
            <w:gridSpan w:val="2"/>
            <w:vMerge w:val="restart"/>
            <w:shd w:val="clear" w:color="auto" w:fill="C7EAF2"/>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w:t>
            </w:r>
          </w:p>
        </w:tc>
        <w:tc>
          <w:tcPr>
            <w:tcW w:w="1060" w:type="dxa"/>
            <w:vAlign w:val="bottom"/>
            <w:gridSpan w:val="2"/>
            <w:vMerge w:val="restart"/>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(10,675)</w:t>
            </w:r>
          </w:p>
        </w:tc>
        <w:tc>
          <w:tcPr>
            <w:tcW w:w="20" w:type="dxa"/>
            <w:vAlign w:val="bottom"/>
            <w:shd w:val="clear" w:color="auto" w:fill="C7EAF2"/>
          </w:tcPr>
          <w:p>
            <w:pPr>
              <w:spacing w:after="0"/>
              <w:rPr>
                <w:sz w:val="15"/>
                <w:szCs w:val="15"/>
                <w:color w:val="auto"/>
              </w:rPr>
            </w:pPr>
          </w:p>
        </w:tc>
        <w:tc>
          <w:tcPr>
            <w:tcW w:w="80" w:type="dxa"/>
            <w:vAlign w:val="bottom"/>
            <w:shd w:val="clear" w:color="auto" w:fill="C7EAF2"/>
          </w:tcPr>
          <w:p>
            <w:pPr>
              <w:spacing w:after="0"/>
              <w:rPr>
                <w:sz w:val="15"/>
                <w:szCs w:val="15"/>
                <w:color w:val="auto"/>
              </w:rPr>
            </w:pPr>
          </w:p>
        </w:tc>
        <w:tc>
          <w:tcPr>
            <w:tcW w:w="1160" w:type="dxa"/>
            <w:vAlign w:val="bottom"/>
            <w:shd w:val="clear" w:color="auto" w:fill="C7EAF2"/>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6280" w:type="dxa"/>
            <w:vAlign w:val="bottom"/>
            <w:shd w:val="clear" w:color="auto" w:fill="C7EAF2"/>
          </w:tcPr>
          <w:p>
            <w:pPr>
              <w:ind w:left="120"/>
              <w:spacing w:after="0"/>
              <w:rPr>
                <w:sz w:val="20"/>
                <w:szCs w:val="20"/>
                <w:color w:val="auto"/>
              </w:rPr>
            </w:pPr>
            <w:r>
              <w:rPr>
                <w:rFonts w:ascii="Times New Roman" w:cs="Times New Roman" w:eastAsia="Times New Roman" w:hAnsi="Times New Roman"/>
                <w:sz w:val="17"/>
                <w:szCs w:val="17"/>
                <w:color w:val="auto"/>
              </w:rPr>
              <w:t>(Note 7)</w:t>
            </w:r>
          </w:p>
        </w:tc>
        <w:tc>
          <w:tcPr>
            <w:tcW w:w="540" w:type="dxa"/>
            <w:vAlign w:val="bottom"/>
            <w:gridSpan w:val="2"/>
            <w:vMerge w:val="continue"/>
            <w:shd w:val="clear" w:color="auto" w:fill="C7EAF2"/>
          </w:tcPr>
          <w:p>
            <w:pPr>
              <w:spacing w:after="0"/>
              <w:rPr>
                <w:sz w:val="21"/>
                <w:szCs w:val="21"/>
                <w:color w:val="auto"/>
              </w:rPr>
            </w:pPr>
          </w:p>
        </w:tc>
        <w:tc>
          <w:tcPr>
            <w:tcW w:w="1060" w:type="dxa"/>
            <w:vAlign w:val="bottom"/>
            <w:gridSpan w:val="2"/>
            <w:vMerge w:val="continue"/>
            <w:shd w:val="clear" w:color="auto" w:fill="C7EAF2"/>
          </w:tcPr>
          <w:p>
            <w:pPr>
              <w:spacing w:after="0"/>
              <w:rPr>
                <w:sz w:val="21"/>
                <w:szCs w:val="21"/>
                <w:color w:val="auto"/>
              </w:rPr>
            </w:pPr>
          </w:p>
        </w:tc>
        <w:tc>
          <w:tcPr>
            <w:tcW w:w="1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(10,675)</w:t>
            </w:r>
          </w:p>
        </w:tc>
        <w:tc>
          <w:tcPr>
            <w:tcW w:w="0" w:type="dxa"/>
            <w:vAlign w:val="bottom"/>
          </w:tcPr>
          <w:p>
            <w:pPr>
              <w:spacing w:after="0"/>
              <w:rPr>
                <w:sz w:val="1"/>
                <w:szCs w:val="1"/>
                <w:color w:val="auto"/>
              </w:rPr>
            </w:pPr>
          </w:p>
        </w:tc>
      </w:tr>
      <w:tr>
        <w:trPr>
          <w:trHeight w:val="180"/>
        </w:trPr>
        <w:tc>
          <w:tcPr>
            <w:tcW w:w="6280" w:type="dxa"/>
            <w:vAlign w:val="bottom"/>
            <w:tcBorders>
              <w:top w:val="single" w:sz="8" w:color="C7EAF2"/>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Deferred tax liability recognized</w:t>
            </w:r>
          </w:p>
        </w:tc>
        <w:tc>
          <w:tcPr>
            <w:tcW w:w="160" w:type="dxa"/>
            <w:vAlign w:val="bottom"/>
            <w:tcBorders>
              <w:top w:val="single" w:sz="8" w:color="C7EAF2"/>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198"/>
              <w:spacing w:after="0" w:line="181"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(10,675)</w:t>
            </w:r>
          </w:p>
        </w:tc>
        <w:tc>
          <w:tcPr>
            <w:tcW w:w="200" w:type="dxa"/>
            <w:vAlign w:val="bottom"/>
            <w:tcBorders>
              <w:top w:val="single" w:sz="8" w:color="C7EAF2"/>
            </w:tcBorders>
          </w:tcPr>
          <w:p>
            <w:pPr>
              <w:spacing w:after="0"/>
              <w:rPr>
                <w:sz w:val="15"/>
                <w:szCs w:val="15"/>
                <w:color w:val="auto"/>
              </w:rPr>
            </w:pPr>
          </w:p>
        </w:tc>
        <w:tc>
          <w:tcPr>
            <w:tcW w:w="20" w:type="dxa"/>
            <w:vAlign w:val="bottom"/>
            <w:tcBorders>
              <w:top w:val="single" w:sz="8" w:color="C7EAF2"/>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7"/>
                <w:szCs w:val="17"/>
                <w:b w:val="1"/>
                <w:bCs w:val="1"/>
                <w:color w:val="auto"/>
              </w:rPr>
              <w:t>(10,675)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Deductible temporary differences, unused tax losses and unused tax credits are as follows:</w:t>
      </w:r>
    </w:p>
    <w:p>
      <w:pPr>
        <w:spacing w:after="0" w:line="227"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Expiry Date Range</w:t>
            </w: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Non-capital losses</w:t>
            </w:r>
          </w:p>
        </w:tc>
        <w:tc>
          <w:tcPr>
            <w:tcW w:w="36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67,409</w:t>
            </w:r>
          </w:p>
        </w:tc>
        <w:tc>
          <w:tcPr>
            <w:tcW w:w="20" w:type="dxa"/>
            <w:vAlign w:val="bottom"/>
            <w:vMerge w:val="continue"/>
          </w:tcPr>
          <w:p>
            <w:pPr>
              <w:spacing w:after="0"/>
              <w:rPr>
                <w:sz w:val="18"/>
                <w:szCs w:val="18"/>
                <w:color w:val="auto"/>
              </w:rPr>
            </w:pPr>
          </w:p>
        </w:tc>
        <w:tc>
          <w:tcPr>
            <w:tcW w:w="500" w:type="dxa"/>
            <w:vAlign w:val="bottom"/>
            <w:gridSpan w:val="2"/>
            <w:shd w:val="clear" w:color="auto" w:fill="C7EAF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33,645</w:t>
            </w:r>
          </w:p>
        </w:tc>
        <w:tc>
          <w:tcPr>
            <w:tcW w:w="20" w:type="dxa"/>
            <w:vAlign w:val="bottom"/>
            <w:vMerge w:val="continue"/>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vMerge w:val="continue"/>
          </w:tcPr>
          <w:p>
            <w:pPr>
              <w:spacing w:after="0"/>
              <w:rPr>
                <w:sz w:val="18"/>
                <w:szCs w:val="18"/>
                <w:color w:val="auto"/>
              </w:rPr>
            </w:pPr>
          </w:p>
        </w:tc>
        <w:tc>
          <w:tcPr>
            <w:tcW w:w="11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See below</w:t>
            </w:r>
          </w:p>
        </w:tc>
        <w:tc>
          <w:tcPr>
            <w:tcW w:w="0" w:type="dxa"/>
            <w:vAlign w:val="bottom"/>
          </w:tcPr>
          <w:p>
            <w:pPr>
              <w:spacing w:after="0"/>
              <w:rPr>
                <w:sz w:val="1"/>
                <w:szCs w:val="1"/>
                <w:color w:val="auto"/>
              </w:rPr>
            </w:pPr>
          </w:p>
        </w:tc>
      </w:tr>
      <w:tr>
        <w:trPr>
          <w:trHeight w:val="207"/>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Capital losses</w:t>
            </w:r>
          </w:p>
        </w:tc>
        <w:tc>
          <w:tcPr>
            <w:tcW w:w="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1,273</w:t>
            </w:r>
          </w:p>
        </w:tc>
        <w:tc>
          <w:tcPr>
            <w:tcW w:w="2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Not applicable</w:t>
            </w:r>
          </w:p>
        </w:tc>
        <w:tc>
          <w:tcPr>
            <w:tcW w:w="0" w:type="dxa"/>
            <w:vAlign w:val="bottom"/>
          </w:tcPr>
          <w:p>
            <w:pPr>
              <w:spacing w:after="0"/>
              <w:rPr>
                <w:sz w:val="1"/>
                <w:szCs w:val="1"/>
                <w:color w:val="auto"/>
              </w:rPr>
            </w:pPr>
          </w:p>
        </w:tc>
      </w:tr>
      <w:tr>
        <w:trPr>
          <w:trHeight w:val="207"/>
        </w:trPr>
        <w:tc>
          <w:tcPr>
            <w:tcW w:w="50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Equipment</w:t>
            </w:r>
          </w:p>
        </w:tc>
        <w:tc>
          <w:tcPr>
            <w:tcW w:w="36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291</w:t>
            </w:r>
          </w:p>
        </w:tc>
        <w:tc>
          <w:tcPr>
            <w:tcW w:w="20" w:type="dxa"/>
            <w:vAlign w:val="bottom"/>
          </w:tcPr>
          <w:p>
            <w:pPr>
              <w:spacing w:after="0"/>
              <w:rPr>
                <w:sz w:val="18"/>
                <w:szCs w:val="18"/>
                <w:color w:val="auto"/>
              </w:rPr>
            </w:pPr>
          </w:p>
        </w:tc>
        <w:tc>
          <w:tcPr>
            <w:tcW w:w="500" w:type="dxa"/>
            <w:vAlign w:val="bottom"/>
            <w:gridSpan w:val="2"/>
            <w:shd w:val="clear" w:color="auto" w:fill="C7EAF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20" w:type="dxa"/>
            <w:vAlign w:val="bottom"/>
          </w:tcPr>
          <w:p>
            <w:pPr>
              <w:spacing w:after="0"/>
              <w:rPr>
                <w:sz w:val="18"/>
                <w:szCs w:val="18"/>
                <w:color w:val="auto"/>
              </w:rPr>
            </w:pPr>
          </w:p>
        </w:tc>
        <w:tc>
          <w:tcPr>
            <w:tcW w:w="12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Not applicable</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Share issuance costs</w:t>
            </w:r>
          </w:p>
        </w:tc>
        <w:tc>
          <w:tcPr>
            <w:tcW w:w="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821</w:t>
            </w:r>
          </w:p>
        </w:tc>
        <w:tc>
          <w:tcPr>
            <w:tcW w:w="20" w:type="dxa"/>
            <w:vAlign w:val="bottom"/>
          </w:tcPr>
          <w:p>
            <w:pPr>
              <w:spacing w:after="0"/>
              <w:rPr>
                <w:sz w:val="20"/>
                <w:szCs w:val="20"/>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Not applicable</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both"/>
        <w:ind w:left="200"/>
        <w:spacing w:after="0" w:line="276" w:lineRule="auto"/>
        <w:rPr>
          <w:sz w:val="20"/>
          <w:szCs w:val="20"/>
          <w:color w:val="auto"/>
        </w:rPr>
      </w:pPr>
      <w:r>
        <w:rPr>
          <w:rFonts w:ascii="Times New Roman" w:cs="Times New Roman" w:eastAsia="Times New Roman" w:hAnsi="Times New Roman"/>
          <w:sz w:val="17"/>
          <w:szCs w:val="17"/>
          <w:color w:val="auto"/>
        </w:rPr>
        <w:t>As at December 31, 2022, the Company had non-capital loss carry-forwards of $67.4 million that may be used to offset future taxable income. Non-capital losses incurred in Canada prior to closing of the Business Combination (Note 6) have been restricted upon the acquisition of control event and may no longer be available to offset future taxable income.</w:t>
      </w:r>
    </w:p>
    <w:p>
      <w:pPr>
        <w:spacing w:after="0" w:line="3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513" name="Shape 5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13" o:spid="_x0000_s15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33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340">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These losses, if not utilized, will expire as follows:</w:t>
      </w:r>
    </w:p>
    <w:p>
      <w:pPr>
        <w:spacing w:after="0" w:line="227"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340" w:type="dxa"/>
            <w:vAlign w:val="bottom"/>
          </w:tcPr>
          <w:p>
            <w:pPr>
              <w:spacing w:after="0"/>
              <w:rPr>
                <w:sz w:val="14"/>
                <w:szCs w:val="14"/>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Singapore</w:t>
            </w: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Tonga</w:t>
            </w:r>
          </w:p>
        </w:tc>
      </w:tr>
      <w:tr>
        <w:trPr>
          <w:trHeight w:val="200"/>
        </w:trPr>
        <w:tc>
          <w:tcPr>
            <w:tcW w:w="3120" w:type="dxa"/>
            <w:vAlign w:val="bottom"/>
            <w:tcBorders>
              <w:top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2035</w:t>
            </w:r>
          </w:p>
        </w:tc>
        <w:tc>
          <w:tcPr>
            <w:tcW w:w="1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7EAF2"/>
            </w:tcBorders>
            <w:shd w:val="clear" w:color="auto" w:fill="C7EAF2"/>
          </w:tcPr>
          <w:p>
            <w:pPr>
              <w:spacing w:after="0"/>
              <w:rPr>
                <w:sz w:val="17"/>
                <w:szCs w:val="17"/>
                <w:color w:val="auto"/>
              </w:rPr>
            </w:pPr>
          </w:p>
        </w:tc>
        <w:tc>
          <w:tcPr>
            <w:tcW w:w="340" w:type="dxa"/>
            <w:vAlign w:val="bottom"/>
            <w:tcBorders>
              <w:top w:val="single" w:sz="8" w:color="auto"/>
            </w:tcBorders>
            <w:shd w:val="clear" w:color="auto" w:fill="C7EAF2"/>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7EAF2"/>
            </w:tcBorders>
            <w:shd w:val="clear" w:color="auto" w:fill="C7EAF2"/>
          </w:tcPr>
          <w:p>
            <w:pPr>
              <w:spacing w:after="0"/>
              <w:rPr>
                <w:sz w:val="17"/>
                <w:szCs w:val="17"/>
                <w:color w:val="auto"/>
              </w:rPr>
            </w:pPr>
          </w:p>
        </w:tc>
        <w:tc>
          <w:tcPr>
            <w:tcW w:w="240" w:type="dxa"/>
            <w:vAlign w:val="bottom"/>
            <w:tcBorders>
              <w:top w:val="single" w:sz="8" w:color="auto"/>
            </w:tcBorders>
            <w:shd w:val="clear" w:color="auto" w:fill="C7EAF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tcBorders>
              <w:top w:val="single" w:sz="8" w:color="C7EAF2"/>
            </w:tcBorders>
            <w:shd w:val="clear" w:color="auto" w:fill="C7EAF2"/>
          </w:tcPr>
          <w:p>
            <w:pPr>
              <w:spacing w:after="0"/>
              <w:rPr>
                <w:sz w:val="17"/>
                <w:szCs w:val="17"/>
                <w:color w:val="auto"/>
              </w:rPr>
            </w:pPr>
          </w:p>
        </w:tc>
        <w:tc>
          <w:tcPr>
            <w:tcW w:w="400" w:type="dxa"/>
            <w:vAlign w:val="bottom"/>
            <w:tcBorders>
              <w:top w:val="single" w:sz="8" w:color="auto"/>
            </w:tcBorders>
            <w:shd w:val="clear" w:color="auto" w:fill="C7EAF2"/>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2041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4,100</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312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2042</w:t>
            </w:r>
          </w:p>
        </w:tc>
        <w:tc>
          <w:tcPr>
            <w:tcW w:w="160" w:type="dxa"/>
            <w:vAlign w:val="bottom"/>
            <w:shd w:val="clear" w:color="auto" w:fill="C7EAF2"/>
          </w:tcPr>
          <w:p>
            <w:pPr>
              <w:spacing w:after="0"/>
              <w:rPr>
                <w:sz w:val="18"/>
                <w:szCs w:val="18"/>
                <w:color w:val="auto"/>
              </w:rPr>
            </w:pPr>
          </w:p>
        </w:tc>
        <w:tc>
          <w:tcPr>
            <w:tcW w:w="10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13,914</w:t>
            </w:r>
          </w:p>
        </w:tc>
        <w:tc>
          <w:tcPr>
            <w:tcW w:w="260" w:type="dxa"/>
            <w:vAlign w:val="bottom"/>
            <w:shd w:val="clear" w:color="auto" w:fill="C7EAF2"/>
          </w:tcPr>
          <w:p>
            <w:pPr>
              <w:spacing w:after="0"/>
              <w:rPr>
                <w:sz w:val="18"/>
                <w:szCs w:val="18"/>
                <w:color w:val="auto"/>
              </w:rPr>
            </w:pPr>
          </w:p>
        </w:tc>
        <w:tc>
          <w:tcPr>
            <w:tcW w:w="340" w:type="dxa"/>
            <w:vAlign w:val="bottom"/>
            <w:shd w:val="clear" w:color="auto" w:fill="C7EAF2"/>
          </w:tcPr>
          <w:p>
            <w:pPr>
              <w:spacing w:after="0"/>
              <w:rPr>
                <w:sz w:val="18"/>
                <w:szCs w:val="18"/>
                <w:color w:val="auto"/>
              </w:rPr>
            </w:pPr>
          </w:p>
        </w:tc>
        <w:tc>
          <w:tcPr>
            <w:tcW w:w="1140" w:type="dxa"/>
            <w:vAlign w:val="bottom"/>
            <w:gridSpan w:val="2"/>
            <w:shd w:val="clear" w:color="auto" w:fill="C7EAF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7EAF2"/>
          </w:tcPr>
          <w:p>
            <w:pPr>
              <w:spacing w:after="0"/>
              <w:rPr>
                <w:sz w:val="18"/>
                <w:szCs w:val="18"/>
                <w:color w:val="auto"/>
              </w:rPr>
            </w:pPr>
          </w:p>
        </w:tc>
        <w:tc>
          <w:tcPr>
            <w:tcW w:w="10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shd w:val="clear" w:color="auto" w:fill="C7EAF2"/>
          </w:tcPr>
          <w:p>
            <w:pPr>
              <w:spacing w:after="0"/>
              <w:rPr>
                <w:sz w:val="18"/>
                <w:szCs w:val="18"/>
                <w:color w:val="auto"/>
              </w:rPr>
            </w:pPr>
          </w:p>
        </w:tc>
        <w:tc>
          <w:tcPr>
            <w:tcW w:w="400" w:type="dxa"/>
            <w:vAlign w:val="bottom"/>
            <w:shd w:val="clear" w:color="auto" w:fill="C7EAF2"/>
          </w:tcPr>
          <w:p>
            <w:pPr>
              <w:spacing w:after="0"/>
              <w:rPr>
                <w:sz w:val="18"/>
                <w:szCs w:val="18"/>
                <w:color w:val="auto"/>
              </w:rPr>
            </w:pPr>
          </w:p>
        </w:tc>
        <w:tc>
          <w:tcPr>
            <w:tcW w:w="8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3120" w:type="dxa"/>
            <w:vAlign w:val="bottom"/>
          </w:tcPr>
          <w:p>
            <w:pPr>
              <w:spacing w:after="0"/>
              <w:rPr>
                <w:sz w:val="20"/>
                <w:szCs w:val="20"/>
                <w:color w:val="auto"/>
              </w:rPr>
            </w:pPr>
            <w:r>
              <w:rPr>
                <w:rFonts w:ascii="Times New Roman" w:cs="Times New Roman" w:eastAsia="Times New Roman" w:hAnsi="Times New Roman"/>
                <w:sz w:val="17"/>
                <w:szCs w:val="17"/>
                <w:color w:val="auto"/>
              </w:rPr>
              <w:t>No expiry</w:t>
            </w: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35,158</w:t>
            </w:r>
          </w:p>
        </w:tc>
      </w:tr>
      <w:tr>
        <w:trPr>
          <w:trHeight w:val="200"/>
        </w:trPr>
        <w:tc>
          <w:tcPr>
            <w:tcW w:w="3120" w:type="dxa"/>
            <w:vAlign w:val="bottom"/>
            <w:tcBorders>
              <w:top w:val="single" w:sz="8" w:color="C7EAF2"/>
              <w:bottom w:val="single" w:sz="8" w:color="C7EAF2"/>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Loss carry-forwards</w:t>
            </w:r>
          </w:p>
        </w:tc>
        <w:tc>
          <w:tcPr>
            <w:tcW w:w="1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18,014</w:t>
            </w:r>
          </w:p>
        </w:tc>
        <w:tc>
          <w:tcPr>
            <w:tcW w:w="260" w:type="dxa"/>
            <w:vAlign w:val="bottom"/>
            <w:tcBorders>
              <w:top w:val="single" w:sz="8" w:color="C7EAF2"/>
              <w:bottom w:val="single" w:sz="8" w:color="C7EAF2"/>
            </w:tcBorders>
            <w:shd w:val="clear" w:color="auto" w:fill="C7EAF2"/>
          </w:tcPr>
          <w:p>
            <w:pPr>
              <w:spacing w:after="0"/>
              <w:rPr>
                <w:sz w:val="17"/>
                <w:szCs w:val="17"/>
                <w:color w:val="auto"/>
              </w:rPr>
            </w:pPr>
          </w:p>
        </w:tc>
        <w:tc>
          <w:tcPr>
            <w:tcW w:w="340" w:type="dxa"/>
            <w:vAlign w:val="bottom"/>
            <w:tcBorders>
              <w:top w:val="single" w:sz="8" w:color="auto"/>
              <w:bottom w:val="single" w:sz="8" w:color="auto"/>
            </w:tcBorders>
            <w:shd w:val="clear" w:color="auto" w:fill="C7EAF2"/>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14,231</w:t>
            </w:r>
          </w:p>
        </w:tc>
        <w:tc>
          <w:tcPr>
            <w:tcW w:w="260" w:type="dxa"/>
            <w:vAlign w:val="bottom"/>
            <w:tcBorders>
              <w:top w:val="single" w:sz="8" w:color="C7EAF2"/>
              <w:bottom w:val="single" w:sz="8" w:color="C7EAF2"/>
            </w:tcBorders>
            <w:shd w:val="clear" w:color="auto" w:fill="C7EAF2"/>
          </w:tcPr>
          <w:p>
            <w:pPr>
              <w:spacing w:after="0"/>
              <w:rPr>
                <w:sz w:val="17"/>
                <w:szCs w:val="17"/>
                <w:color w:val="auto"/>
              </w:rPr>
            </w:pPr>
          </w:p>
        </w:tc>
        <w:tc>
          <w:tcPr>
            <w:tcW w:w="240" w:type="dxa"/>
            <w:vAlign w:val="bottom"/>
            <w:tcBorders>
              <w:top w:val="single" w:sz="8" w:color="auto"/>
              <w:bottom w:val="single" w:sz="8" w:color="auto"/>
            </w:tcBorders>
            <w:shd w:val="clear" w:color="auto" w:fill="C7EAF2"/>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c>
          <w:tcPr>
            <w:tcW w:w="260" w:type="dxa"/>
            <w:vAlign w:val="bottom"/>
            <w:tcBorders>
              <w:top w:val="single" w:sz="8" w:color="C7EAF2"/>
              <w:bottom w:val="single" w:sz="8" w:color="C7EAF2"/>
            </w:tcBorders>
            <w:shd w:val="clear" w:color="auto" w:fill="C7EAF2"/>
          </w:tcPr>
          <w:p>
            <w:pPr>
              <w:spacing w:after="0"/>
              <w:rPr>
                <w:sz w:val="17"/>
                <w:szCs w:val="17"/>
                <w:color w:val="auto"/>
              </w:rPr>
            </w:pPr>
          </w:p>
        </w:tc>
        <w:tc>
          <w:tcPr>
            <w:tcW w:w="400" w:type="dxa"/>
            <w:vAlign w:val="bottom"/>
            <w:tcBorders>
              <w:top w:val="single" w:sz="8" w:color="auto"/>
              <w:bottom w:val="single" w:sz="8" w:color="auto"/>
            </w:tcBorders>
            <w:shd w:val="clear" w:color="auto" w:fill="C7EAF2"/>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bottom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b w:val="1"/>
                <w:bCs w:val="1"/>
                <w:color w:val="auto"/>
              </w:rPr>
              <w:t>35,158</w:t>
            </w:r>
          </w:p>
        </w:tc>
      </w:tr>
      <w:tr>
        <w:trPr>
          <w:trHeight w:val="20"/>
        </w:trPr>
        <w:tc>
          <w:tcPr>
            <w:tcW w:w="3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7"/>
          <w:szCs w:val="17"/>
          <w:color w:val="auto"/>
        </w:rPr>
        <w:t>The Company files income tax returns in Canada, the United States, Singapore and Tonga, and is subject to examination in these jurisdictions for all years since the Company’s inception in 2011. As at December 31, 2022, all tax years are subject to examination by the tax authorities and no tax authority audits are currently underway. Fiscal years outside the normal statute of limitation remain open to audit by tax authorities due to tax attributes generated in those early years which have been carried forward and may be audited in subsequent years when utilized. The timing of the resolution, settlement and closure of any income tax audits is highly uncertain, and the Company is unable to estimate the full range of possible adjustments to the balance of gross unrecognized tax benefits. It is possible that the balance of gross unrecognized tax benefits could significantly change in the next twelve months. As at December 31, 2022, the 2022 tax year filings for the Company and its subsidiaries (where applicable) remain unfiled and have not been assessed by the relative tax authorities.</w:t>
      </w:r>
    </w:p>
    <w:p>
      <w:pPr>
        <w:spacing w:after="0" w:line="165" w:lineRule="exact"/>
        <w:rPr>
          <w:sz w:val="20"/>
          <w:szCs w:val="20"/>
          <w:color w:val="auto"/>
        </w:rPr>
      </w:pPr>
    </w:p>
    <w:p>
      <w:pPr>
        <w:ind w:left="320" w:hanging="311"/>
        <w:spacing w:after="0"/>
        <w:tabs>
          <w:tab w:leader="none" w:pos="32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22" w:lineRule="exact"/>
        <w:rPr>
          <w:rFonts w:ascii="Times New Roman" w:cs="Times New Roman" w:eastAsia="Times New Roman" w:hAnsi="Times New Roman"/>
          <w:sz w:val="17"/>
          <w:szCs w:val="17"/>
          <w:b w:val="1"/>
          <w:bCs w:val="1"/>
          <w:color w:val="auto"/>
        </w:rPr>
      </w:pPr>
    </w:p>
    <w:p>
      <w:pPr>
        <w:jc w:val="both"/>
        <w:ind w:left="320" w:firstLine="1"/>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13, 2023, the Company entered into a Fifth Amendment to Pilot Mining Test Agreement and Third Amendment to SAA (“Fifth Amendment”), which was effective as of February 8, 2023, with DGE, DeepGreen Metals ULC and Allseas. The Fifth Amendment relates to the Company’s intent to settle the third and final payment of $10 million due to Allseas upon successful completion of the pilot trial of the PMTS in NORI Area D and certain other costs due to Allseas under the PMTA through the issuance of 10,850,000 common shares to Allseas, priced at $1.00 per share. On February 23, 2023, the Company settled the third milestone payment of $10 million and additional PMTS overage charges amounting to $ 0.9 million by issuing 10.9 million common shares to Allseas (Note 10).</w:t>
      </w:r>
    </w:p>
    <w:p>
      <w:pPr>
        <w:spacing w:after="0" w:line="170" w:lineRule="exact"/>
        <w:rPr>
          <w:rFonts w:ascii="Times New Roman" w:cs="Times New Roman" w:eastAsia="Times New Roman" w:hAnsi="Times New Roman"/>
          <w:sz w:val="17"/>
          <w:szCs w:val="17"/>
          <w:b w:val="1"/>
          <w:bCs w:val="1"/>
          <w:color w:val="auto"/>
        </w:rPr>
      </w:pPr>
    </w:p>
    <w:p>
      <w:pPr>
        <w:jc w:val="both"/>
        <w:ind w:left="32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21, 2023, the Company and its wholly-owned subsidiary, NORI, entered into a strategic partnership with Low Carbon Royalties Inc. (“Low Carbon Royalties”), a private corporation formed under the laws of British Columbia, Canada to finance low carbon emitting energy production and technologies (natural gas, nuclear, renewables), transition metals and minerals required for energy storage and electrification (Cu, Li, Ni, Co, Mn), and the evolving environmental markets (the “Partnership”). In connection with the Partnership, NORI contributed a 2% gross overriding royalty (the “NORI Royalty”) on the Company’s NORI project area in the Clarion Clipperton Zone of the Pacific Ocean in which NORI currently holds exclusive exploration rights for polymetallic nodules from the ISA, to Low Carbon Royalties. The Company retained the right to repurchase up to 75% of the NORI Royalty at an agreed capped return, exercisable in two transactions, between the second and the tenth anniversary of the Partnership. If both repurchase transactions are executed, the NORI Royalty will be reduced to 0.5%. Low Carbon Royalties also owns a 1.6% gross overriding royalty on a producing natural gas field in Latin America. In consideration of the NORI Royalty, TMC received a 35.0% common ownership interest in Low Carbon Royalties on a fully-diluted basis as of closing and $5 million in cash. In connection with the Partnership, (a) the Company and NORI entered into a Royalty Agreement with Low Carbon Royalties which governs the terms of the NORI Royalty and (b) the Company entered into an Investor Rights Agreement with Brian Paes-Braga (a shareholder of Low Carbon Royalties as well as the Company and Managing Partner of SAF Group, one of Canada’s largest alternative asset managers) and Low Carbon Royalties, pursuant to which the Company and Mr. Paes-Braga each has a right, subject to certain percentage maintenance, to nominate a director to Low Carbon Royalties’ board of directors, along with registration and information rights. Pursuant to the Investor Rights Agreement, the Company designated its Chairman and Chief Executive Officer, Gerard Barron, to be its designee on Low Carbon Royalties’ board of directors. Mr. Paes-Braga and Brian O’Neill, Vice President of SAF Group, are the other members of Low Carbon Royalties’ board of directors.</w:t>
      </w:r>
    </w:p>
    <w:p>
      <w:pPr>
        <w:sectPr>
          <w:pgSz w:w="12240" w:h="15840" w:orient="portrait"/>
          <w:cols w:equalWidth="0" w:num="1">
            <w:col w:w="9620"/>
          </w:cols>
          <w:pgMar w:left="1320" w:top="1334" w:right="130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16" name="Shape 5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16" o:spid="_x0000_s15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type w:val="continuous"/>
        </w:sectPr>
      </w:pPr>
    </w:p>
    <w:bookmarkStart w:id="157" w:name="page158"/>
    <w:bookmarkEnd w:id="157"/>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34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342">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the metals company Inc.</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u w:val="single" w:color="auto"/>
          <w:color w:val="auto"/>
        </w:rPr>
        <w:t>Notes to Consolidated Financial Statements</w:t>
      </w:r>
    </w:p>
    <w:p>
      <w:pPr>
        <w:spacing w:after="0" w:line="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 thousands of US Dollars, except share, per share amounts and unless otherwise stated)</w:t>
      </w:r>
    </w:p>
    <w:p>
      <w:pPr>
        <w:spacing w:after="0" w:line="222" w:lineRule="exact"/>
        <w:rPr>
          <w:sz w:val="20"/>
          <w:szCs w:val="20"/>
          <w:color w:val="auto"/>
        </w:rPr>
      </w:pPr>
    </w:p>
    <w:p>
      <w:pPr>
        <w:jc w:val="both"/>
        <w:ind w:left="200"/>
        <w:spacing w:after="0" w:line="260" w:lineRule="auto"/>
        <w:rPr>
          <w:sz w:val="20"/>
          <w:szCs w:val="20"/>
          <w:color w:val="auto"/>
        </w:rPr>
      </w:pPr>
      <w:r>
        <w:rPr>
          <w:rFonts w:ascii="Times New Roman" w:cs="Times New Roman" w:eastAsia="Times New Roman" w:hAnsi="Times New Roman"/>
          <w:sz w:val="17"/>
          <w:szCs w:val="17"/>
          <w:color w:val="auto"/>
        </w:rPr>
        <w:t>On March 22, 2023, we entered into an Unsecured Credit Facility Agreement (“Credit Facility”) with Argentum Credit Virtuti GCV (the “Lender”), the parent of Allseas Investments S.A. and an affiliate of Allseas, pursuant to which, we may borrow from the Lender up to $25,000,000 in the aggregate, from time to time, subject to certain conditions. All amounts drawn under the Credit Facility will bear interest based on the 6-month Secured Overnight Financing Rate, 180-day average plus a margin of 4.0% per annum payable in cash semi-annually (or plus 5% if paid-in-kind at maturity, at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-73660</wp:posOffset>
                </wp:positionH>
                <wp:positionV relativeFrom="paragraph">
                  <wp:posOffset>360045</wp:posOffset>
                </wp:positionV>
                <wp:extent cx="6109970" cy="0"/>
                <wp:wrapNone/>
                <wp:docPr id="519" name="Shape 5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19" o:spid="_x0000_s15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99pt,28.35pt" to="475.3pt,28.35pt" o:allowincell="f" strokecolor="#000000" strokeweight="1.296pt"/>
            </w:pict>
          </mc:Fallback>
        </mc:AlternateContent>
      </w:r>
    </w:p>
    <w:p>
      <w:pPr>
        <w:sectPr>
          <w:pgSz w:w="12240" w:h="15840" w:orient="portrait"/>
          <w:cols w:equalWidth="0" w:num="1">
            <w:col w:w="9500"/>
          </w:cols>
          <w:pgMar w:left="1440" w:top="1334" w:right="1300" w:bottom="1440" w:gutter="0" w:footer="0" w:header="0"/>
        </w:sectPr>
      </w:pPr>
    </w:p>
    <w:bookmarkStart w:id="158" w:name="page159"/>
    <w:bookmarkEnd w:id="158"/>
    <w:p>
      <w:pPr>
        <w:ind w:right="1040"/>
        <w:spacing w:after="0" w:line="30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34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344">
                      <a:extLst>
                        <a:ext uri="{28A0092B-C50C-407E-A947-70E740481C1C}"/>
                      </a:extLst>
                    </a:blip>
                    <a:srcRect/>
                    <a:stretch>
                      <a:fillRect/>
                    </a:stretch>
                  </pic:blipFill>
                  <pic:spPr bwMode="auto">
                    <a:xfrm>
                      <a:off x="0" y="0"/>
                      <a:ext cx="5080" cy="13970"/>
                    </a:xfrm>
                    <a:prstGeom prst="rect">
                      <a:avLst/>
                    </a:prstGeom>
                    <a:noFill/>
                  </pic:spPr>
                </pic:pic>
              </a:graphicData>
            </a:graphic>
          </wp:anchor>
        </w:drawing>
        <w:t>Item 9. CHANGES IN AND DISAGREEMENTS WITH ACCOUNTANTS ON ACCOUNTING AND FINANCIAL DISCLOSURE</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1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55"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the material weakness described below that we are in the process of remediating, our disclosure controls and procedures were not effective as of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Weaknesses in Internal Control over Financial Reporting</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In 2021, we identified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55"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three-month period ended March 31, 2021 and six-month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included in the Quarterly Report on Form 10-Q filed on November 15, 2021.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22" name="Shape 5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22" o:spid="_x0000_s15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34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346">
                      <a:extLst>
                        <a:ext uri="{28A0092B-C50C-407E-A947-70E740481C1C}"/>
                      </a:extLst>
                    </a:blip>
                    <a:srcRect/>
                    <a:stretch>
                      <a:fillRect/>
                    </a:stretch>
                  </pic:blipFill>
                  <pic:spPr bwMode="auto">
                    <a:xfrm>
                      <a:off x="0" y="0"/>
                      <a:ext cx="5080" cy="13970"/>
                    </a:xfrm>
                    <a:prstGeom prst="rect">
                      <a:avLst/>
                    </a:prstGeom>
                    <a:noFill/>
                  </pic:spPr>
                </pic:pic>
              </a:graphicData>
            </a:graphic>
          </wp:anchor>
        </w:drawing>
        <w:t>Remediation of Previously Reported Material Weakness</w:t>
      </w:r>
    </w:p>
    <w:p>
      <w:pPr>
        <w:spacing w:after="0" w:line="218"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In addition, as previously disclosed in Amendment No. 1 to the Company’s Annual Report on Form 10-K/A for the year ended December 31, 2020 filed with the SEC on May 24, 2021,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Staff Statement on Accounting and Reporting Considerations for Warrants Issued by Special Purpose Acquisition Companies (“SPACs”) dated April 12, 2021 (the “SEC Staff Statement”). 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As part of the Company’s review of its disclosure controls and procedures and internal control over financial reporting discussed in this Item 9A, our management concluded that, as of December 31, 2022, this material weakness was remediated through the Company by hiring qualified, technical accounting personnel and using outside technical experts for complicated accounting issues and the review of this measure for a sufficient period of time to assess effectiveness of these measures.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Annual Report on Internal Control over Financial Reporting</w:t>
      </w:r>
    </w:p>
    <w:p>
      <w:pPr>
        <w:spacing w:after="0" w:line="218"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management of the Company is responsible for establishing and maintaining adequate internal control over financial reporting. Internal control over financial reporting is defined in Rules 13a-15(f) and 15d-15(f)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166" w:lineRule="exact"/>
        <w:rPr>
          <w:sz w:val="20"/>
          <w:szCs w:val="20"/>
          <w:color w:val="auto"/>
        </w:rPr>
      </w:pPr>
    </w:p>
    <w:p>
      <w:pPr>
        <w:ind w:left="660" w:hanging="315"/>
        <w:spacing w:after="0" w:line="298" w:lineRule="auto"/>
        <w:tabs>
          <w:tab w:leader="none" w:pos="6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maintenance of records that, in reasonable detail, accurately and fairly reflect the transactions and dispositions of the assets of the company;</w:t>
      </w:r>
    </w:p>
    <w:p>
      <w:pPr>
        <w:spacing w:after="0" w:line="58" w:lineRule="exact"/>
        <w:rPr>
          <w:rFonts w:ascii="Times New Roman" w:cs="Times New Roman" w:eastAsia="Times New Roman" w:hAnsi="Times New Roman"/>
          <w:sz w:val="17"/>
          <w:szCs w:val="17"/>
          <w:color w:val="auto"/>
        </w:rPr>
      </w:pPr>
    </w:p>
    <w:p>
      <w:pPr>
        <w:jc w:val="both"/>
        <w:ind w:left="660" w:hanging="314"/>
        <w:spacing w:after="0" w:line="276" w:lineRule="auto"/>
        <w:tabs>
          <w:tab w:leader="none" w:pos="6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90" w:lineRule="exact"/>
        <w:rPr>
          <w:rFonts w:ascii="Times New Roman" w:cs="Times New Roman" w:eastAsia="Times New Roman" w:hAnsi="Times New Roman"/>
          <w:sz w:val="17"/>
          <w:szCs w:val="17"/>
          <w:color w:val="auto"/>
        </w:rPr>
      </w:pPr>
    </w:p>
    <w:p>
      <w:pPr>
        <w:ind w:left="660" w:hanging="314"/>
        <w:spacing w:after="0" w:line="298" w:lineRule="auto"/>
        <w:tabs>
          <w:tab w:leader="none" w:pos="6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 xml:space="preserve">As of December 31, 2022,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Times New Roman" w:cs="Times New Roman" w:eastAsia="Times New Roman" w:hAnsi="Times New Roman"/>
          <w:sz w:val="17"/>
          <w:szCs w:val="17"/>
          <w:i w:val="1"/>
          <w:iCs w:val="1"/>
          <w:color w:val="auto"/>
        </w:rPr>
        <w:t>Internal Control-Integrated Framework (2013)</w:t>
      </w:r>
      <w:r>
        <w:rPr>
          <w:rFonts w:ascii="Times New Roman" w:cs="Times New Roman" w:eastAsia="Times New Roman" w:hAnsi="Times New Roman"/>
          <w:sz w:val="17"/>
          <w:szCs w:val="17"/>
          <w:color w:val="auto"/>
        </w:rPr>
        <w:t xml:space="preserve"> issued by the Committee of Sponsoring Organizations of the Treadway Commission. Based on this assessment, our management concluded that, as of December 31, 2022, our internal controls over financial reporting, including changes thereto as a result of the material weaknesses discussed above, newly implemented policies and procedures over key functional areas had not been in operation long enough over the 2022 year to be deemed effective.</w:t>
      </w:r>
    </w:p>
    <w:p>
      <w:pPr>
        <w:spacing w:after="0" w:line="88"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The Company presented its plan for remediation of the material weaknesses in internal control over financial reporting that existed as of the end of 2021 in its Annual Report on Form 10-K for the year ended December 31, 2021 filed with the SEC on March 25, 2022 and has updated its progress in implementing such plan in its subsequent Quarterly Report on Form 10-Q for the first three quarters of 2022. Management has implemented the identified remediation steps over the course of 2022, however these changes can only be deemed effective once they have been in place over a longer time. More specifically, the following action items were implemented by the end of 2022:</w:t>
      </w:r>
    </w:p>
    <w:p>
      <w:pPr>
        <w:spacing w:after="0" w:line="312" w:lineRule="exact"/>
        <w:rPr>
          <w:sz w:val="20"/>
          <w:szCs w:val="20"/>
          <w:color w:val="auto"/>
        </w:rPr>
      </w:pPr>
    </w:p>
    <w:p>
      <w:pPr>
        <w:ind w:left="660" w:hanging="314"/>
        <w:spacing w:after="0"/>
        <w:tabs>
          <w:tab w:leader="none" w:pos="6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appointed a Chief Financial Officer to oversee the finance and accounting function;</w:t>
      </w:r>
    </w:p>
    <w:p>
      <w:pPr>
        <w:spacing w:after="0" w:line="154" w:lineRule="exact"/>
        <w:rPr>
          <w:rFonts w:ascii="Times New Roman" w:cs="Times New Roman" w:eastAsia="Times New Roman" w:hAnsi="Times New Roman"/>
          <w:sz w:val="17"/>
          <w:szCs w:val="17"/>
          <w:color w:val="auto"/>
        </w:rPr>
      </w:pPr>
    </w:p>
    <w:p>
      <w:pPr>
        <w:ind w:left="660" w:hanging="314"/>
        <w:spacing w:after="0" w:line="298" w:lineRule="auto"/>
        <w:tabs>
          <w:tab w:leader="none" w:pos="6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hired individuals for the core accounting function with the requisite education, designation, and technical accounting and public company experience;</w:t>
      </w:r>
    </w:p>
    <w:p>
      <w:pPr>
        <w:spacing w:after="0" w:line="58"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completed the transition from our outsourced accounting service provider to our in-house finance and accounting function;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525" name="Shape 5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525" o:spid="_x0000_s15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338" w:right="1300" w:bottom="1440" w:gutter="0" w:footer="0" w:header="0"/>
        </w:sectPr>
      </w:pPr>
    </w:p>
    <w:bookmarkStart w:id="160" w:name="page161"/>
    <w:bookmarkEnd w:id="160"/>
    <w:p>
      <w:pPr>
        <w:jc w:val="both"/>
        <w:ind w:left="660" w:hanging="315"/>
        <w:spacing w:after="0" w:line="276" w:lineRule="auto"/>
        <w:tabs>
          <w:tab w:leader="none" w:pos="6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34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348">
                      <a:extLst>
                        <a:ext uri="{28A0092B-C50C-407E-A947-70E740481C1C}"/>
                      </a:extLst>
                    </a:blip>
                    <a:srcRect/>
                    <a:stretch>
                      <a:fillRect/>
                    </a:stretch>
                  </pic:blipFill>
                  <pic:spPr bwMode="auto">
                    <a:xfrm>
                      <a:off x="0" y="0"/>
                      <a:ext cx="5080" cy="13970"/>
                    </a:xfrm>
                    <a:prstGeom prst="rect">
                      <a:avLst/>
                    </a:prstGeom>
                    <a:noFill/>
                  </pic:spPr>
                </pic:pic>
              </a:graphicData>
            </a:graphic>
          </wp:anchor>
        </w:drawing>
        <w:t>hired external experts to work with our internal team to assist with the design and implementation of robust controls over all our key processes and address all key company risks: the external experts completed their evaluation of our key controls as of end of 2022 and provided their report to management with recommendations for improvements; and</w:t>
      </w:r>
    </w:p>
    <w:p>
      <w:pPr>
        <w:spacing w:after="0" w:line="77" w:lineRule="exact"/>
        <w:rPr>
          <w:rFonts w:ascii="Times New Roman" w:cs="Times New Roman" w:eastAsia="Times New Roman" w:hAnsi="Times New Roman"/>
          <w:sz w:val="17"/>
          <w:szCs w:val="17"/>
          <w:color w:val="auto"/>
        </w:rPr>
      </w:pPr>
    </w:p>
    <w:p>
      <w:pPr>
        <w:ind w:left="660" w:hanging="314"/>
        <w:spacing w:after="0" w:line="299" w:lineRule="auto"/>
        <w:tabs>
          <w:tab w:leader="none" w:pos="6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added formality and rigor to our financial reporting process by continuously developing structured roles, policies, processes, procedures and controls.</w:t>
      </w:r>
    </w:p>
    <w:p>
      <w:pPr>
        <w:spacing w:after="0" w:line="13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Management has concluded that our audited financial statements included in this Annual Report on Form 10-K are fairly stated in all material respects in accordance with U.S. GAAP for each of the periods presented therein.</w:t>
      </w:r>
    </w:p>
    <w:p>
      <w:pPr>
        <w:spacing w:after="0" w:line="137"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We will continue to review the effectiveness of our newly implemented controls and make improvements as warranted. This is no assurance that these control modifications will ultimately have the intended effects.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1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Other than the changes made to remediate the material weaknesses described above, there were no changes in our internal control over financial reporting identified in connection with the evaluation of such internal controls that occurred during the fourth quarter of the year ended December 31, 2022 that have materially affected, or are reasonably likely to materially affect, our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the Effectiveness of Disclosure Controls and Procedures</w:t>
      </w:r>
    </w:p>
    <w:p>
      <w:pPr>
        <w:spacing w:after="0" w:line="218"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On March 22, 2023, we entered into a Credit Facility with Argentum Credit Virtuti GCV, the parent of Allseas Investments S.A. and an affiliate of Allseas, pursuant to which, we may borrow from the Lender up to $25,000,000 in the aggregate, from time to time, subject to certain conditions. All amounts drawn under the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May 21, 2024. The Credit Facility also contains customary events of default.</w:t>
      </w:r>
    </w:p>
    <w:p>
      <w:pPr>
        <w:spacing w:after="0" w:line="17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foregoing descriptions of the Credit Facility does not purport to be a complete description of the rights and obligations of the parties thereunder and are qualified in its entirety by reference to the full text of the Credit Facility attached as Exhibit 10.31 to this Annual Report on Form 10-K and incorporated herein by reference.</w:t>
      </w:r>
    </w:p>
    <w:p>
      <w:pPr>
        <w:spacing w:after="0" w:line="1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528" name="Shape 5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528" o:spid="_x0000_s15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337" w:right="1300" w:bottom="1440" w:gutter="0" w:footer="0" w:header="0"/>
        </w:sectPr>
      </w:pPr>
    </w:p>
    <w:bookmarkStart w:id="161" w:name="page162"/>
    <w:bookmarkEnd w:id="161"/>
    <w:p>
      <w:pPr>
        <w:ind w:left="446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34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350">
                      <a:extLst>
                        <a:ext uri="{28A0092B-C50C-407E-A947-70E740481C1C}"/>
                      </a:extLst>
                    </a:blip>
                    <a:srcRect/>
                    <a:stretch>
                      <a:fillRect/>
                    </a:stretch>
                  </pic:blipFill>
                  <pic:spPr bwMode="auto">
                    <a:xfrm>
                      <a:off x="0" y="0"/>
                      <a:ext cx="5080" cy="13970"/>
                    </a:xfrm>
                    <a:prstGeom prst="rect">
                      <a:avLst/>
                    </a:prstGeom>
                    <a:noFill/>
                  </pic:spPr>
                </pic:pic>
              </a:graphicData>
            </a:graphic>
          </wp:anchor>
        </w:drawing>
        <w:t>PART III</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10.DIRECTORS, EXECUTIVE OFFICERS AND CORPORATE GOVERNANCE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 and Management</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certain information concerning our executive officers and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80" w:type="dxa"/>
            <w:vAlign w:val="bottom"/>
            <w:tcBorders>
              <w:bottom w:val="single" w:sz="8" w:color="C7EAF2"/>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C7EAF2"/>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6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180" w:type="dxa"/>
            <w:vAlign w:val="bottom"/>
            <w:shd w:val="clear" w:color="auto" w:fill="C7EAF2"/>
          </w:tcPr>
          <w:p>
            <w:pPr>
              <w:spacing w:after="0"/>
              <w:rPr>
                <w:sz w:val="17"/>
                <w:szCs w:val="17"/>
                <w:color w:val="auto"/>
              </w:rPr>
            </w:pPr>
          </w:p>
        </w:tc>
        <w:tc>
          <w:tcPr>
            <w:tcW w:w="580" w:type="dxa"/>
            <w:vAlign w:val="bottom"/>
            <w:shd w:val="clear" w:color="auto" w:fill="C7EAF2"/>
          </w:tcPr>
          <w:p>
            <w:pPr>
              <w:spacing w:after="0"/>
              <w:rPr>
                <w:sz w:val="17"/>
                <w:szCs w:val="17"/>
                <w:color w:val="auto"/>
              </w:rPr>
            </w:pPr>
          </w:p>
        </w:tc>
        <w:tc>
          <w:tcPr>
            <w:tcW w:w="200" w:type="dxa"/>
            <w:vAlign w:val="bottom"/>
            <w:shd w:val="clear" w:color="auto" w:fill="C7EAF2"/>
          </w:tcPr>
          <w:p>
            <w:pPr>
              <w:spacing w:after="0"/>
              <w:rPr>
                <w:sz w:val="17"/>
                <w:szCs w:val="17"/>
                <w:color w:val="auto"/>
              </w:rPr>
            </w:pPr>
          </w:p>
        </w:tc>
        <w:tc>
          <w:tcPr>
            <w:tcW w:w="5580" w:type="dxa"/>
            <w:vAlign w:val="bottom"/>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Gerard Barron</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Executive Officer and Chairman of the Board of Directors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Anthony O’Sullivan</w:t>
            </w:r>
          </w:p>
        </w:tc>
        <w:tc>
          <w:tcPr>
            <w:tcW w:w="58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578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Chief Development Officer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Erika Ilves</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w:t>
            </w: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Strategy Officer</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24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Craig Shesky</w:t>
            </w:r>
          </w:p>
        </w:tc>
        <w:tc>
          <w:tcPr>
            <w:tcW w:w="58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38</w:t>
            </w:r>
          </w:p>
        </w:tc>
        <w:tc>
          <w:tcPr>
            <w:tcW w:w="578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Gregory Stone</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Chief Ocean Scientist</w:t>
            </w:r>
          </w:p>
        </w:tc>
        <w:tc>
          <w:tcPr>
            <w:tcW w:w="0" w:type="dxa"/>
            <w:vAlign w:val="bottom"/>
          </w:tcPr>
          <w:p>
            <w:pPr>
              <w:spacing w:after="0"/>
              <w:rPr>
                <w:sz w:val="1"/>
                <w:szCs w:val="1"/>
                <w:color w:val="auto"/>
              </w:rPr>
            </w:pPr>
          </w:p>
        </w:tc>
      </w:tr>
      <w:tr>
        <w:trPr>
          <w:trHeight w:val="254"/>
        </w:trPr>
        <w:tc>
          <w:tcPr>
            <w:tcW w:w="20" w:type="dxa"/>
            <w:vAlign w:val="bottom"/>
            <w:vMerge w:val="restart"/>
          </w:tcPr>
          <w:p>
            <w:pPr>
              <w:spacing w:after="0"/>
              <w:rPr>
                <w:sz w:val="22"/>
                <w:szCs w:val="22"/>
                <w:color w:val="auto"/>
              </w:rPr>
            </w:pPr>
          </w:p>
        </w:tc>
        <w:tc>
          <w:tcPr>
            <w:tcW w:w="3060" w:type="dxa"/>
            <w:vAlign w:val="bottom"/>
            <w:shd w:val="clear" w:color="auto" w:fill="C7EAF2"/>
          </w:tcPr>
          <w:p>
            <w:pPr>
              <w:spacing w:after="0"/>
              <w:rPr>
                <w:sz w:val="22"/>
                <w:szCs w:val="22"/>
                <w:color w:val="auto"/>
              </w:rPr>
            </w:pPr>
          </w:p>
        </w:tc>
        <w:tc>
          <w:tcPr>
            <w:tcW w:w="180" w:type="dxa"/>
            <w:vAlign w:val="bottom"/>
            <w:shd w:val="clear" w:color="auto" w:fill="C7EAF2"/>
          </w:tcPr>
          <w:p>
            <w:pPr>
              <w:spacing w:after="0"/>
              <w:rPr>
                <w:sz w:val="22"/>
                <w:szCs w:val="22"/>
                <w:color w:val="auto"/>
              </w:rPr>
            </w:pPr>
          </w:p>
        </w:tc>
        <w:tc>
          <w:tcPr>
            <w:tcW w:w="580" w:type="dxa"/>
            <w:vAlign w:val="bottom"/>
            <w:shd w:val="clear" w:color="auto" w:fill="C7EAF2"/>
          </w:tcPr>
          <w:p>
            <w:pPr>
              <w:spacing w:after="0"/>
              <w:rPr>
                <w:sz w:val="22"/>
                <w:szCs w:val="22"/>
                <w:color w:val="auto"/>
              </w:rPr>
            </w:pPr>
          </w:p>
        </w:tc>
        <w:tc>
          <w:tcPr>
            <w:tcW w:w="200" w:type="dxa"/>
            <w:vAlign w:val="bottom"/>
            <w:shd w:val="clear" w:color="auto" w:fill="C7EAF2"/>
          </w:tcPr>
          <w:p>
            <w:pPr>
              <w:spacing w:after="0"/>
              <w:rPr>
                <w:sz w:val="22"/>
                <w:szCs w:val="22"/>
                <w:color w:val="auto"/>
              </w:rPr>
            </w:pPr>
          </w:p>
        </w:tc>
        <w:tc>
          <w:tcPr>
            <w:tcW w:w="5580" w:type="dxa"/>
            <w:vAlign w:val="bottom"/>
            <w:shd w:val="clear" w:color="auto" w:fill="C7EAF2"/>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Non-Employee Directors: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Christian Madsbjerg</w:t>
            </w:r>
          </w:p>
        </w:tc>
        <w:tc>
          <w:tcPr>
            <w:tcW w:w="58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578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Andrew Hall</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24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Andrew Greig</w:t>
            </w:r>
          </w:p>
        </w:tc>
        <w:tc>
          <w:tcPr>
            <w:tcW w:w="58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66</w:t>
            </w:r>
          </w:p>
        </w:tc>
        <w:tc>
          <w:tcPr>
            <w:tcW w:w="578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Sheila Khama</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65</w:t>
            </w: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24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Andrei Karkar</w:t>
            </w:r>
          </w:p>
        </w:tc>
        <w:tc>
          <w:tcPr>
            <w:tcW w:w="58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578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Amelia Kinahoi Siamomua</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w:t>
            </w:r>
          </w:p>
        </w:tc>
        <w:tc>
          <w:tcPr>
            <w:tcW w:w="5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24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Kathleen McAllister</w:t>
            </w:r>
          </w:p>
        </w:tc>
        <w:tc>
          <w:tcPr>
            <w:tcW w:w="58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5780" w:type="dxa"/>
            <w:vAlign w:val="bottom"/>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22" w:lineRule="exact"/>
        <w:rPr>
          <w:sz w:val="20"/>
          <w:szCs w:val="20"/>
          <w:color w:val="auto"/>
        </w:rPr>
      </w:pPr>
    </w:p>
    <w:p>
      <w:pPr>
        <w:jc w:val="both"/>
        <w:ind w:firstLine="31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Gerard Barron </w:t>
      </w:r>
      <w:r>
        <w:rPr>
          <w:rFonts w:ascii="Times New Roman" w:cs="Times New Roman" w:eastAsia="Times New Roman" w:hAnsi="Times New Roman"/>
          <w:sz w:val="17"/>
          <w:szCs w:val="17"/>
          <w:color w:val="auto"/>
        </w:rPr>
        <w:t>has served as our Chief Executive Officer and Chairman of the board of directors since the closing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31" name="Shape 5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531" o:spid="_x0000_s15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4" w:right="1300" w:bottom="1440" w:gutter="0" w:footer="0" w:header="0"/>
        </w:sectPr>
      </w:pPr>
    </w:p>
    <w:bookmarkStart w:id="162" w:name="page163"/>
    <w:bookmarkEnd w:id="162"/>
    <w:p>
      <w:pPr>
        <w:jc w:val="both"/>
        <w:ind w:firstLine="311"/>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35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352">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Anthony O’Sullivan </w:t>
      </w:r>
      <w:r>
        <w:rPr>
          <w:rFonts w:ascii="Times New Roman" w:cs="Times New Roman" w:eastAsia="Times New Roman" w:hAnsi="Times New Roman"/>
          <w:sz w:val="17"/>
          <w:szCs w:val="17"/>
          <w:color w:val="auto"/>
        </w:rPr>
        <w:t>has served as our Chief Development Officer since the Closing of the Business Combination and has served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DeepGreen’s Chief Development Officer since July 25, 2017. On October 14, 2022, Mr. O’Sullivan notified us that he was resigning as our Chief Development Officer, though he will remain in the position through a twelve-month transition period. Mr. O’Sullivan has over 30 years mining experience with a track record of delivering innovative solutions across multiple continents both in the terrestrial and marine environments. Since January 2020, Mr. O’Sullivan is serving as a non-executive director for SensOre Ltd., a company that performs mineral targeting and was listed on the ASX on February 11, 2022. From February 2017 to December 2019, Mr. O’Sullivan served as the Chief Executive Officer of Sasak Minerals Pty Ltd., a company focused on deploying machine learning and mineral exploration. Since February 2017, Mr. O’Sullivan served as the Principal and Owner of International Resources, a firm focused on creating value through the discovery and development of mineral resources. From November 2014 until January 2017, he served as Vice President Exploration for Quantum Pacific Exploration, where he engaged in planning, development, and management of the exploration company, including developing corporate strategies, overseeing exploration activities, evaluating existing and potential new assets, establishing an exploration team and identifying a suite of new opportunities. In December 2005, Mr. O’Sullivan began serving as Chief Operating Officer of Nautilus, a position he held until December 2012. While serving as Chief Operating Officer of Nautilus, Mr. O’Sullivan led exploration, engineering and design, project development, permitting and product marketing culminating in the declaration of 43-101 compliant resources, grant of the environmental permit and mining lease from the Government of Papua New Guinea, ore sales agreement with one of China’s leading copper producers, Tongling Nonferrous Metals Group, and the completion of project design and commencement of project construction. Mr. O’Sullivan was previously part of the BHP Billiton Global Exploration Leader Team with responsibility for the company’s iron ore, bauxite, coal and non-porphyry base metal exploration portfolios. Mr. O’Sullivan is the named co-inventor on five subsea mining patents. Mr. O’Sullivan earned a M.Sc. in Mineral Exploration from the University of Western Australia and a B.Sc. (Hons) in Geology from the University of Western Australia.</w:t>
      </w:r>
    </w:p>
    <w:p>
      <w:pPr>
        <w:spacing w:after="0" w:line="185"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Erika Ilves </w:t>
      </w:r>
      <w:r>
        <w:rPr>
          <w:rFonts w:ascii="Times New Roman" w:cs="Times New Roman" w:eastAsia="Times New Roman" w:hAnsi="Times New Roman"/>
          <w:sz w:val="17"/>
          <w:szCs w:val="17"/>
          <w:color w:val="auto"/>
        </w:rPr>
        <w:t>has served as our Chief Strategy Officer since the Closing of the Business Combination and has served as DeepGreen’s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Head of Strategy and Business 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pacing w:after="0" w:line="385" w:lineRule="exact"/>
        <w:rPr>
          <w:sz w:val="20"/>
          <w:szCs w:val="20"/>
          <w:color w:val="auto"/>
        </w:rPr>
      </w:pPr>
    </w:p>
    <w:p>
      <w:pPr>
        <w:jc w:val="both"/>
        <w:ind w:firstLine="313"/>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Craig Shesky </w:t>
      </w:r>
      <w:r>
        <w:rPr>
          <w:rFonts w:ascii="Times New Roman" w:cs="Times New Roman" w:eastAsia="Times New Roman" w:hAnsi="Times New Roman"/>
          <w:sz w:val="17"/>
          <w:szCs w:val="17"/>
          <w:color w:val="auto"/>
        </w:rPr>
        <w:t>has served as our Chief Financial Officer since the Closing of the Business Combination and has served as DeepGreen’s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Head of Financial Markets 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34" name="Shape 5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34" o:spid="_x0000_s15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63" w:name="page164"/>
    <w:bookmarkEnd w:id="163"/>
    <w:p>
      <w:pPr>
        <w:jc w:val="both"/>
        <w:ind w:firstLine="311"/>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35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354">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Gregory Stone, Ph.D. </w:t>
      </w:r>
      <w:r>
        <w:rPr>
          <w:rFonts w:ascii="Times New Roman" w:cs="Times New Roman" w:eastAsia="Times New Roman" w:hAnsi="Times New Roman"/>
          <w:sz w:val="17"/>
          <w:szCs w:val="17"/>
          <w:color w:val="auto"/>
        </w:rPr>
        <w:t>has served as our Chief Ocean Officer since the Closing of the Business Combination and has served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Director and Chief Ocean Officer of DeepGreen since February 2018. In January 2020, Dr. Stone founded Pole-to-Pole, a non-profit organization with a mission to apply practical solutions to the problems facing Earth’s ocean, and has been serving as the organization’s Chairman since that time. Dr. Stone is an ocean scientist and explorer with over 10,000 dives throughout Earth’s oceans down to 18,000 feet using submarines, SCUBA, underwater habitats and robotics. Dr. Stone is also widely known as a global thought leader who finds ways for humanity and the ocean to co-exist and support each other in the modern world. Dr. Stone was a catalyst at the genesis of the Ocean Health Index, a scientific framework used to measure oceans’ health, and specializes in sustainable fishing, aquaculture, climate adaptation and seamount ecology. Dr. Stone’s ability to communicate complex science is illustrated by his compelling TED and World Economic Forum talks, and his appearances in documentaries for the Discovery Channel and National Geographic. Dr. Stone has authored hundreds of publications including articles for </w:t>
      </w:r>
      <w:r>
        <w:rPr>
          <w:rFonts w:ascii="Times New Roman" w:cs="Times New Roman" w:eastAsia="Times New Roman" w:hAnsi="Times New Roman"/>
          <w:sz w:val="17"/>
          <w:szCs w:val="17"/>
          <w:i w:val="1"/>
          <w:iCs w:val="1"/>
          <w:color w:val="auto"/>
        </w:rPr>
        <w:t>Nature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National Geographic</w:t>
      </w:r>
      <w:r>
        <w:rPr>
          <w:rFonts w:ascii="Times New Roman" w:cs="Times New Roman" w:eastAsia="Times New Roman" w:hAnsi="Times New Roman"/>
          <w:sz w:val="17"/>
          <w:szCs w:val="17"/>
          <w:color w:val="auto"/>
        </w:rPr>
        <w:t>, and four books, one of which is a National Outdoor Book Award winner. Dr. Stone’s numerous accolades and professional associations include the Explorers Club, Pew Fellowship for Marine Conservation, National Geographic Hero, the Boston Sea Rover’s Diver of the year, Order of Kiribati Medal, the U.S. National Science Foundation/Navy Antarctic Service medal, and a NOGI Award from National Academy of Underwater Arts and Sciences. Dr. Stone is also a Senior Science Advisor to the Special Envoy for Ocean and the World Economic Forum Ocean Program. From September 2008 to February 2018, Dr. Stone served as Chief Scientist for Conservation International and head of the Global Ocean Program. Dr. Stone earned a Ph.D. in Marine Science from the University of the South Pacific, a M.Sc. in Marine Policy from the University of Rhode Island and a B.A. in Human Ecology and Marine Biology from the College of the Atlantic.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Non-Employee Directors</w:t>
      </w:r>
    </w:p>
    <w:p>
      <w:pPr>
        <w:spacing w:after="0" w:line="218" w:lineRule="exact"/>
        <w:rPr>
          <w:sz w:val="20"/>
          <w:szCs w:val="20"/>
          <w:color w:val="auto"/>
        </w:rPr>
      </w:pPr>
    </w:p>
    <w:p>
      <w:pPr>
        <w:jc w:val="both"/>
        <w:ind w:firstLine="311"/>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Andrew Hall </w:t>
      </w:r>
      <w:r>
        <w:rPr>
          <w:rFonts w:ascii="Times New Roman" w:cs="Times New Roman" w:eastAsia="Times New Roman" w:hAnsi="Times New Roman"/>
          <w:sz w:val="17"/>
          <w:szCs w:val="17"/>
          <w:color w:val="auto"/>
        </w:rPr>
        <w:t>has served on our board of directors since the closing of the Business Combination in September 2021. Mr. Hall is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internationally experienced executive and non-executive in the renewable energy technologies and services sector. Since July 2018, Mr. Hall has served as Managing Director of Saxjo Limited, a renewable energy consultancy company. Previously, Mr. Hall was Group Chief Financial Officer at Siemens Gamesa Renewable Energy SA, one of the largest companies in the wind and renewables industry, from April 2017 to November 2017. From October 2015 to March 2017, Mr. Hall served as Group Chief Financial Officer and Executive Director at Siemens Wind Power GmbH &amp; Co KG, a wind turbine original equipment manufacturer. Prior to that, Mr. Hall held a number of senior positions in other divisions of Siemens AG, including Chief Financial Officer and Board Member at Siemens Holdings plc &amp; Cluster North West Europe in London from 2012 to 2015 and Chief Financial Officer and Board Member at Siemens Ltd &amp; Cluster Africa in Johannesburg from 2008 to 2012. Mr. Hall currently serves on the board of a portfolio of venture capital, private equity and family office-backed companies in the renewable energy sector. Since September 2019, Mr. Hall has been Executive Chair of Windlogix Limited, a company providing wind turbine erection services. Since October 2018, Mr. Hall has been a non-executive director of Time to Act Limited, which specializes in metal coatings for the gas turbine and hydrogen industries. Additionally, Mr. Hall has served as Chair of New Motion Labs Limited, which licenses technology for the manufacture of mechanical drives, since June 2019, and as Senior Independent Director of Hero Future Energies Global Limited, a global renewable energy developer, since February 2019. Mr. Hall is an Investor Director at Arctic Green Energy Corporation, Singapore since 2022. Arctic Green Energy is a leading global geothermal energy company. Previously, Mr. Hall served as a board member of A2Sea AS from 2015 to 2017, Voith Hydro GmbH &amp; Co KG from 2015 to 2017 and Mimica Labs from 2014 to 2017. Mr. Hall earned a M.Sc. &amp; B.Sc. from the University of Cape Town and an M.B.A. from the London Business School. Mr. Hall’s qualifications to serve on the board of directors include his extensive international experience leading large, capital-intensive businesses in the renewable energy sector.</w:t>
      </w:r>
    </w:p>
    <w:p>
      <w:pPr>
        <w:spacing w:after="0" w:line="170"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Christian Madsbjerg </w:t>
      </w:r>
      <w:r>
        <w:rPr>
          <w:rFonts w:ascii="Times New Roman" w:cs="Times New Roman" w:eastAsia="Times New Roman" w:hAnsi="Times New Roman"/>
          <w:sz w:val="17"/>
          <w:szCs w:val="17"/>
          <w:color w:val="auto"/>
        </w:rPr>
        <w:t>has served on our board of directors since the closing of the Business Combination in September 2021.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Christian currently serves as the Chair of the Nomination and Governance Committee. Since 2019, Mr. Madsbjerg has served on the board of directors of Fritz Hansen A/S Copenhagen. Since August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Times New Roman" w:cs="Times New Roman" w:eastAsia="Times New Roman" w:hAnsi="Times New Roman"/>
          <w:sz w:val="17"/>
          <w:szCs w:val="17"/>
          <w:i w:val="1"/>
          <w:iCs w:val="1"/>
          <w:color w:val="auto"/>
        </w:rPr>
        <w:t>The Wall Street Journal, Financial Times, The Washington Post, Der Spiegel</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Bloomberg Businessweek</w:t>
      </w:r>
      <w:r>
        <w:rPr>
          <w:rFonts w:ascii="Times New Roman" w:cs="Times New Roman" w:eastAsia="Times New Roman" w:hAnsi="Times New Roman"/>
          <w:sz w:val="17"/>
          <w:szCs w:val="17"/>
          <w:color w:val="auto"/>
        </w:rPr>
        <w:t xml:space="preserve">. His latest book, </w:t>
      </w:r>
      <w:r>
        <w:rPr>
          <w:rFonts w:ascii="Times New Roman" w:cs="Times New Roman" w:eastAsia="Times New Roman" w:hAnsi="Times New Roman"/>
          <w:sz w:val="17"/>
          <w:szCs w:val="17"/>
          <w:i w:val="1"/>
          <w:iCs w:val="1"/>
          <w:color w:val="auto"/>
        </w:rPr>
        <w:t>Sensemaking: The Power of the Humanities in the Age of the Algorithm</w:t>
      </w:r>
      <w:r>
        <w:rPr>
          <w:rFonts w:ascii="Times New Roman" w:cs="Times New Roman" w:eastAsia="Times New Roman" w:hAnsi="Times New Roman"/>
          <w:sz w:val="17"/>
          <w:szCs w:val="17"/>
          <w:color w:val="auto"/>
        </w:rPr>
        <w:t xml:space="preserve">, was published in the spring of 2017 by Hachette Book Group. His book </w:t>
      </w:r>
      <w:r>
        <w:rPr>
          <w:rFonts w:ascii="Times New Roman" w:cs="Times New Roman" w:eastAsia="Times New Roman" w:hAnsi="Times New Roman"/>
          <w:sz w:val="17"/>
          <w:szCs w:val="17"/>
          <w:i w:val="1"/>
          <w:iCs w:val="1"/>
          <w:color w:val="auto"/>
        </w:rPr>
        <w:t>The Moment of Clarity</w:t>
      </w:r>
      <w:r>
        <w:rPr>
          <w:rFonts w:ascii="Times New Roman" w:cs="Times New Roman" w:eastAsia="Times New Roman" w:hAnsi="Times New Roman"/>
          <w:sz w:val="17"/>
          <w:szCs w:val="17"/>
          <w:color w:val="auto"/>
        </w:rPr>
        <w:t>, co-written with ReD partner Mikkel B. Rasmussen, was published by Harvard Business Press in the fall of 2014. He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37" name="Shape 5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537" o:spid="_x0000_s15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164" w:name="page165"/>
    <w:bookmarkEnd w:id="164"/>
    <w:p>
      <w:pPr>
        <w:jc w:val="both"/>
        <w:ind w:firstLine="312"/>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35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356">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Sheila Khama </w:t>
      </w:r>
      <w:r>
        <w:rPr>
          <w:rFonts w:ascii="Times New Roman" w:cs="Times New Roman" w:eastAsia="Times New Roman" w:hAnsi="Times New Roman"/>
          <w:sz w:val="17"/>
          <w:szCs w:val="17"/>
          <w:color w:val="auto"/>
        </w:rPr>
        <w:t>has served on our board of directors since the closing of the Business Combination in September 2021. Ms. Khama is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consultant, policy advisor and former mining industry executive with expertise in corporate governance and sustainable development of minerals, oil and gas resources. Sheila currently serves as the Chair of the Sustainability and Innovation Committee. Since April 2019, Ms. Khama has been an independent consultant on oil and gas governance and policy reforms for SK Consulting Pty, Ltd. From November 2016 to March 2019, Ms. Khama served as Practice Manager and Coordinator of Donor Relations and Partnerships at The World Bank, where she led an international team of mineral, oil and gas specialists in implementing support programs ranging from policy reforms, technical assistance, research and knowledge dissemination for various countries. From November 2013 to November 2016, Ms. Khama served as Director African Natural Resources Center at the African Development Bank in Tunisia, where she led a support program for African governments to improve development outcomes from renewable and non-renewable resources. From 2010 to 2013, Ms. Khama served as Director of the Extractives Advisory Program at the African Center for Economic Transformation, a pan-African think tank based in Ghana. Ms. Khama also previously held a number of senior roles in the private sector, including Chief Executive Officer of De Beers Botswana from 2005 to 2010, Head of Marketing and Communication at the First National Bank of Botswana Ltd from 2002 to 2005, and Group Secretary of the Anglo-American Corporation Botswana from 1994 to 2002. Ms. Khama also currently serves as a Non-Executive Director for Tullow Oil plc, a position she has held since June 2019. Ms. Khama received an M.B.A. in General Management from Edinburgh University and a B.A. from the University of Botswana. Ms. Khama’s qualifications to serve on the board of directors include her extensive experience as a corporate strategist and her deep understanding of regulatory frameworks in the minerals, oil and gas industry.</w:t>
      </w:r>
    </w:p>
    <w:p>
      <w:pPr>
        <w:spacing w:after="0" w:line="384" w:lineRule="exact"/>
        <w:rPr>
          <w:sz w:val="20"/>
          <w:szCs w:val="20"/>
          <w:color w:val="auto"/>
        </w:rPr>
      </w:pPr>
    </w:p>
    <w:p>
      <w:pPr>
        <w:jc w:val="both"/>
        <w:ind w:firstLine="312"/>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Andrei Karkar </w:t>
      </w:r>
      <w:r>
        <w:rPr>
          <w:rFonts w:ascii="Times New Roman" w:cs="Times New Roman" w:eastAsia="Times New Roman" w:hAnsi="Times New Roman"/>
          <w:sz w:val="17"/>
          <w:szCs w:val="17"/>
          <w:color w:val="auto"/>
        </w:rPr>
        <w:t>has served on our board of directors since the closing of the Business Combination in September 2021 and served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of DeepGreen since March 2019. Andrei currently serves as the Chair of the Compensation Committee. Since 2006, Mr. Karkar has served as Chief Executive Officer of ERAS Holdings, The Karkar Family Office, with its origins in Karkar Electronics founded in 1959 by Edward Karkar. ERAS Holdings engages in a broad range of investment activities and invests in a wide variety of asset classes. Since July 2019, Mr. Karkar has served as a member of the board of directors of CognitionX, a private company based in the United Kingdom, and is a board member of Shepherd OÜ based in Estonia Mr. Karkar received a B.A. from Georgetown University. Mr. Karkar’s qualifications to serve on the board of directors include his experience as an advisor and investor in public and private companies.</w:t>
      </w:r>
    </w:p>
    <w:p>
      <w:pPr>
        <w:spacing w:after="0" w:line="165"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Amelia Kinahoi Siamomua </w:t>
      </w:r>
      <w:r>
        <w:rPr>
          <w:rFonts w:ascii="Times New Roman" w:cs="Times New Roman" w:eastAsia="Times New Roman" w:hAnsi="Times New Roman"/>
          <w:sz w:val="17"/>
          <w:szCs w:val="17"/>
          <w:color w:val="auto"/>
        </w:rPr>
        <w:t>has served on our board of directors since the closing of the Business Combination in September 2021.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Ms. Siamomua has over 35 years of experience as a development economist and an international civil servant with a strong focus on gender equality and sustainability issues. Since March 2021, Ms. Siamomua has been an independent consultant on gender and social inclusion for the Government of Nauru. From June 2015 until February 2021, Ms. Siamomua served as Head of Gender, Economic, Youth &amp; Sustainable Development Directorate of the Commonwealth Secretariat based in London, United Kingdom, where she represented the Secretary General at the United Nations (“UN”) High-level Group on Women’s Access to Justice and the UN Commission on the Status of Women. Between 2012 and 2014, Ms. Siamomua held a position as Inter-Regional Advisor (Small Island Developing States) within the Division for Sustainable Development at the UN Department of Economic and Social Affairs, where she analyzed best practices on sustainable development and provided policy advice to governments and relevant stakeholders in developing countries. Prior to that, Ms. Siamomua served as senior advisor in Papua New Guinea from 2010-2012 and as project coordinator in Fiji from 2008-2009 as part of the UN Development Programme. Ms. Siamomua has earned a B.A. in Economics and Politics and an M.B.A. from the University of the South Pacific. Ms. Siamomua’s qualifications to serve on the board of directors include her sustainable development expertise and her extensive knowledge of economic and social policies of developing countries.</w:t>
      </w:r>
    </w:p>
    <w:p>
      <w:pPr>
        <w:spacing w:after="0" w:line="171"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Kathleen McAllister </w:t>
      </w:r>
      <w:r>
        <w:rPr>
          <w:rFonts w:ascii="Times New Roman" w:cs="Times New Roman" w:eastAsia="Times New Roman" w:hAnsi="Times New Roman"/>
          <w:sz w:val="17"/>
          <w:szCs w:val="17"/>
          <w:color w:val="auto"/>
        </w:rPr>
        <w:t>has served on the board of directors since February 9, 2022, and currently serves as the Chair of the Audit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Committee. Ms. McAllister is a Certified Professional Accountant (CPA) and former President and CEO and CFO of Transocean Partners LLC. Ms. McAllister brings a broad strategic perspective to the complex challenges of operating cyclical businesses and raising capital and corporate governance in the global marketplace. She currently serves as an independent director for Black Hills Corporation, SilverBow Resources and Hoegh LNG Partners LP. She serves on the Audit Committees of Black Hills Corporation and SilverBow Resources, and Hoegh LNG Partners and the Hoegh LNG Conflicts Committee. Previously, Ms. McAllister served on the board of Maersk Drilling and chaired the Audit and Risk Committee. As a former CEO, CFO and treasurer of publicly traded companies, Ms. McAllister’s broad business perspective, financial acumen and experience in capital raising and capital allocation contributes to the Board’s oversight of strategy and risk. Her experience serving as a corporate director and audit and risk committee chair on other public companies provides a valuable perspective on the Board’s role in management oversight and corporate governance.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40" name="Shape 5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40" o:spid="_x0000_s15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65" w:name="page166"/>
    <w:bookmarkEnd w:id="165"/>
    <w:p>
      <w:pPr>
        <w:jc w:val="both"/>
        <w:ind w:firstLine="311"/>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35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358">
                      <a:extLst>
                        <a:ext uri="{28A0092B-C50C-407E-A947-70E740481C1C}"/>
                      </a:extLst>
                    </a:blip>
                    <a:srcRect/>
                    <a:stretch>
                      <a:fillRect/>
                    </a:stretch>
                  </pic:blipFill>
                  <pic:spPr bwMode="auto">
                    <a:xfrm>
                      <a:off x="0" y="0"/>
                      <a:ext cx="5080" cy="13970"/>
                    </a:xfrm>
                    <a:prstGeom prst="rect">
                      <a:avLst/>
                    </a:prstGeom>
                    <a:noFill/>
                  </pic:spPr>
                </pic:pic>
              </a:graphicData>
            </a:graphic>
          </wp:anchor>
        </w:drawing>
        <w:t xml:space="preserve">Andrew C Greig </w:t>
      </w:r>
      <w:r>
        <w:rPr>
          <w:rFonts w:ascii="Times New Roman" w:cs="Times New Roman" w:eastAsia="Times New Roman" w:hAnsi="Times New Roman"/>
          <w:sz w:val="17"/>
          <w:szCs w:val="17"/>
          <w:color w:val="auto"/>
        </w:rPr>
        <w:t>has served on the board of directors since October 3, 2022, and is currently the board’s Lead Independent Director.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Mr. Greig is the founder of ACAC Innovation and its Senior Director and previously worked for Bechtel Group for 34 years, leading its global mining business for 13 years. In addition, Mr. Greig was managing director for its Australian operations and was group Human Resources Manager. Mr. Greig was also Senior Vice President and Director of Bechtel Group, Inc. From 2001 to 2006, Mr. Greig served as President of Bechtel’s Mining &amp; Metals global business unit, prior to becoming Project Director for the Brass LNG Project in Nigeria. As President of Mining &amp; Metals, Mr. Greig was responsible for strategy, planning, execution and project delivery for the global business unit which peaked at 55,000 personnel across 14 countries and over $5 billion in annual revenue. Mr. Greig was elected as Principal Vice President in 1997 and as Senior Vice President in 2001. He was a member of Bechtel Group’s Board of Directors from 2011 until leaving Bechtel. Mr. Greig’s qualifications to be on the board include his long career in project development, overseeing major capital projects, his role leading the global HR team at Bechtel and his long tenure on Bechtel’s Board of Directors.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are no family relationships between or among any of our directors or executive officers.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Board in Risk Oversight</w:t>
      </w:r>
    </w:p>
    <w:p>
      <w:pPr>
        <w:spacing w:after="0" w:line="222"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The board of directors have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(including cybersecurity) and the appropriate mitigating factors. In addition, the board of directors will receive periodic detailed operating performance reviews from management.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Composition of the Board of Directors</w:t>
      </w:r>
    </w:p>
    <w:p>
      <w:pPr>
        <w:spacing w:after="0" w:line="22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Our board of directors is declassified, and the directors will be elected annually.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Independence of the Board of Directors</w:t>
      </w:r>
    </w:p>
    <w:p>
      <w:pPr>
        <w:spacing w:after="0" w:line="222"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Andrew Hall, Andrew Greig, Sheila Khama, Christian Madsbjerg, Amelia Kinahoi Siamomua, Andrei Karkar and Kathleen McAllister, representing seven (7) of the Company’s eight (8) directors, are “independent” as that term is defined under the applicable rules and regulations of the SEC and the listing requirements and rules of the Nasdaq. Andrew Greig serves as the Lead Independent Director of the board of directors.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22"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standing committees of the board of directors consist of an audit committee, a compensation committee, a nominating and corporate governance committee and the sustainability and innovation committee. The board of directors may from time to time establish other committees.</w:t>
      </w:r>
    </w:p>
    <w:p>
      <w:pPr>
        <w:spacing w:after="0" w:line="15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Our chief executive officer and other executive officers will regularly report to the non-executive directors and the audit, the compensation and the nominating and corporate governance committees to ensure effective and efficient oversight of our activities and to assist in proper risk management and the ongoing evaluation of management controls. We believe that the leadership structure of the board of directors will provide appropriate risk oversight of our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Our audit committee consists of Kathleen McAllister, who serves as the chairperson, Andrew Hall and Sheila Khama. Each member of the audit committee qualifies as an independent director under the Nasdaq Listing Rules and the independence requirements of Rule 10A-3 under the Exchange Act.</w:t>
      </w:r>
    </w:p>
    <w:p>
      <w:pPr>
        <w:sectPr>
          <w:pgSz w:w="12240" w:h="15840" w:orient="portrait"/>
          <w:cols w:equalWidth="0" w:num="1">
            <w:col w:w="9620"/>
          </w:cols>
          <w:pgMar w:left="1320" w:top="1337" w:right="130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43" name="Shape 5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43" o:spid="_x0000_s15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166" w:name="page167"/>
    <w:bookmarkEnd w:id="166"/>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35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360">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board of directors has determined that Ms. McAllister and Mr. Hall qualify as “audit committee financial experts”, as such term is defined in Item 407(d)(5) of Regulation S-K and possesses financial sophistication, as defined under the rules of Nasdaq.</w:t>
      </w:r>
    </w:p>
    <w:p>
      <w:pPr>
        <w:spacing w:after="0" w:line="137"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purpose of the audit committee is to prepare the audit committee report required by the SEC to be included in our proxy statement and to assist the board of directors in overseeing and monitoring (1) the quality and integrity of the financial statements, (2) compliance with legal and regulatory requirements, (3) our independent registered public accounting firm’s qualifications and independence, (4) the performance of our internal audit function and (5) the performance of our independent registered public accounting firm.</w:t>
      </w:r>
    </w:p>
    <w:p>
      <w:pPr>
        <w:spacing w:after="0" w:line="161"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 xml:space="preserve">The board of directors has adopted a written charter for the audit committee, which is available on the Company’s website at </w:t>
      </w:r>
      <w:r>
        <w:rPr>
          <w:rFonts w:ascii="Times New Roman" w:cs="Times New Roman" w:eastAsia="Times New Roman" w:hAnsi="Times New Roman"/>
          <w:sz w:val="17"/>
          <w:szCs w:val="17"/>
          <w:i w:val="1"/>
          <w:iCs w:val="1"/>
          <w:color w:val="auto"/>
        </w:rPr>
        <w:t>www.metals.co</w:t>
      </w:r>
      <w:r>
        <w:rPr>
          <w:rFonts w:ascii="Times New Roman" w:cs="Times New Roman" w:eastAsia="Times New Roman" w:hAnsi="Times New Roman"/>
          <w:sz w:val="17"/>
          <w:szCs w:val="17"/>
          <w:color w:val="auto"/>
        </w:rPr>
        <w:t xml:space="preserve"> under Investors — Governance — Governance Documents.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compensation committee consists of Andrei Karkar, who serves as the chairperson and Mr. Greig.</w:t>
      </w:r>
    </w:p>
    <w:p>
      <w:pPr>
        <w:spacing w:after="0" w:line="219"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 (3) preparing the compensation committee report required to be included in our proxy statement under the rules and regulations of the SEC.</w:t>
      </w:r>
    </w:p>
    <w:p>
      <w:pPr>
        <w:spacing w:after="0" w:line="160" w:lineRule="exact"/>
        <w:rPr>
          <w:sz w:val="20"/>
          <w:szCs w:val="20"/>
          <w:color w:val="auto"/>
        </w:rPr>
      </w:pPr>
    </w:p>
    <w:p>
      <w:pPr>
        <w:jc w:val="both"/>
        <w:ind w:firstLine="311"/>
        <w:spacing w:after="0" w:line="299" w:lineRule="auto"/>
        <w:rPr>
          <w:sz w:val="20"/>
          <w:szCs w:val="20"/>
          <w:color w:val="auto"/>
        </w:rPr>
      </w:pPr>
      <w:r>
        <w:rPr>
          <w:rFonts w:ascii="Times New Roman" w:cs="Times New Roman" w:eastAsia="Times New Roman" w:hAnsi="Times New Roman"/>
          <w:sz w:val="17"/>
          <w:szCs w:val="17"/>
          <w:color w:val="auto"/>
        </w:rPr>
        <w:t xml:space="preserve">The board of directors has adopted a written charter for the compensation committee, which is available on the Company’s website at </w:t>
      </w:r>
      <w:r>
        <w:rPr>
          <w:rFonts w:ascii="Times New Roman" w:cs="Times New Roman" w:eastAsia="Times New Roman" w:hAnsi="Times New Roman"/>
          <w:sz w:val="17"/>
          <w:szCs w:val="17"/>
          <w:i w:val="1"/>
          <w:iCs w:val="1"/>
          <w:color w:val="auto"/>
        </w:rPr>
        <w:t>www.metals.co</w:t>
      </w:r>
      <w:r>
        <w:rPr>
          <w:rFonts w:ascii="Times New Roman" w:cs="Times New Roman" w:eastAsia="Times New Roman" w:hAnsi="Times New Roman"/>
          <w:sz w:val="17"/>
          <w:szCs w:val="17"/>
          <w:color w:val="auto"/>
        </w:rPr>
        <w:t xml:space="preserve"> under Investors — Governance — Governance Documents.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Nominating and Corporate Governance Committee</w:t>
      </w:r>
    </w:p>
    <w:p>
      <w:pPr>
        <w:spacing w:after="0" w:line="218"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Christian Madsbjerg, who serves as the chairperson, Ms. Khama and Mr.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 (5) overseeing the evaluation of the board of directors and management and (6) handling such other matters that are specifically delegated to the committee by the board of directors from time to time.</w:t>
      </w:r>
    </w:p>
    <w:p>
      <w:pPr>
        <w:spacing w:after="0" w:line="382" w:lineRule="exact"/>
        <w:rPr>
          <w:sz w:val="20"/>
          <w:szCs w:val="20"/>
          <w:color w:val="auto"/>
        </w:rPr>
      </w:pPr>
    </w:p>
    <w:p>
      <w:pPr>
        <w:jc w:val="both"/>
        <w:ind w:right="20" w:firstLine="311"/>
        <w:spacing w:after="0" w:line="299" w:lineRule="auto"/>
        <w:rPr>
          <w:sz w:val="20"/>
          <w:szCs w:val="20"/>
          <w:color w:val="auto"/>
        </w:rPr>
      </w:pPr>
      <w:r>
        <w:rPr>
          <w:rFonts w:ascii="Times New Roman" w:cs="Times New Roman" w:eastAsia="Times New Roman" w:hAnsi="Times New Roman"/>
          <w:sz w:val="17"/>
          <w:szCs w:val="17"/>
          <w:color w:val="auto"/>
        </w:rPr>
        <w:t xml:space="preserve">The board of directors have adopted a written charter for the nominating and corporate governance committee, which is available on the Company’s website at </w:t>
      </w:r>
      <w:r>
        <w:rPr>
          <w:rFonts w:ascii="Times New Roman" w:cs="Times New Roman" w:eastAsia="Times New Roman" w:hAnsi="Times New Roman"/>
          <w:sz w:val="17"/>
          <w:szCs w:val="17"/>
          <w:i w:val="1"/>
          <w:iCs w:val="1"/>
          <w:color w:val="auto"/>
        </w:rPr>
        <w:t>www.metals.co</w:t>
      </w:r>
      <w:r>
        <w:rPr>
          <w:rFonts w:ascii="Times New Roman" w:cs="Times New Roman" w:eastAsia="Times New Roman" w:hAnsi="Times New Roman"/>
          <w:sz w:val="17"/>
          <w:szCs w:val="17"/>
          <w:color w:val="auto"/>
        </w:rPr>
        <w:t xml:space="preserve"> under Investors — Governance — Governance Documents.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Sustainability and Innovation Committee</w:t>
      </w:r>
    </w:p>
    <w:p>
      <w:pPr>
        <w:spacing w:after="0" w:line="218"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Our sustainability and innovation committee consists of Sheila Khama, who serves as the chairperson, Christian Madsbjerg and Amelia Kinahoi Siamomua.</w:t>
      </w:r>
    </w:p>
    <w:p>
      <w:pPr>
        <w:spacing w:after="0" w:line="137"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60" w:lineRule="exact"/>
        <w:rPr>
          <w:sz w:val="20"/>
          <w:szCs w:val="20"/>
          <w:color w:val="auto"/>
        </w:rPr>
      </w:pPr>
    </w:p>
    <w:p>
      <w:pPr>
        <w:jc w:val="both"/>
        <w:ind w:firstLine="311"/>
        <w:spacing w:after="0" w:line="299" w:lineRule="auto"/>
        <w:rPr>
          <w:sz w:val="20"/>
          <w:szCs w:val="20"/>
          <w:color w:val="auto"/>
        </w:rPr>
      </w:pPr>
      <w:r>
        <w:rPr>
          <w:rFonts w:ascii="Times New Roman" w:cs="Times New Roman" w:eastAsia="Times New Roman" w:hAnsi="Times New Roman"/>
          <w:sz w:val="17"/>
          <w:szCs w:val="17"/>
          <w:color w:val="auto"/>
        </w:rPr>
        <w:t xml:space="preserve">The board of directors have adopted a written charter for the sustainability and innovation committee, which is available on the Company’s website at </w:t>
      </w:r>
      <w:r>
        <w:rPr>
          <w:rFonts w:ascii="Times New Roman" w:cs="Times New Roman" w:eastAsia="Times New Roman" w:hAnsi="Times New Roman"/>
          <w:sz w:val="17"/>
          <w:szCs w:val="17"/>
          <w:i w:val="1"/>
          <w:iCs w:val="1"/>
          <w:color w:val="auto"/>
        </w:rPr>
        <w:t>www.metals.co</w:t>
      </w:r>
      <w:r>
        <w:rPr>
          <w:rFonts w:ascii="Times New Roman" w:cs="Times New Roman" w:eastAsia="Times New Roman" w:hAnsi="Times New Roman"/>
          <w:sz w:val="17"/>
          <w:szCs w:val="17"/>
          <w:color w:val="auto"/>
        </w:rPr>
        <w:t xml:space="preserve"> under Investors — Governance — Governance Documents.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46" name="Shape 5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546" o:spid="_x0000_s15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36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362">
                      <a:extLst>
                        <a:ext uri="{28A0092B-C50C-407E-A947-70E740481C1C}"/>
                      </a:extLst>
                    </a:blip>
                    <a:srcRect/>
                    <a:stretch>
                      <a:fillRect/>
                    </a:stretch>
                  </pic:blipFill>
                  <pic:spPr bwMode="auto">
                    <a:xfrm>
                      <a:off x="0" y="0"/>
                      <a:ext cx="5080" cy="13970"/>
                    </a:xfrm>
                    <a:prstGeom prst="rect">
                      <a:avLst/>
                    </a:prstGeom>
                    <a:noFill/>
                  </pic:spPr>
                </pic:pic>
              </a:graphicData>
            </a:graphic>
          </wp:anchor>
        </w:drawing>
        <w:t>Code of Business Conduct and Ethics</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Times New Roman" w:cs="Times New Roman" w:eastAsia="Times New Roman" w:hAnsi="Times New Roman"/>
          <w:sz w:val="17"/>
          <w:szCs w:val="17"/>
          <w:i w:val="1"/>
          <w:iCs w:val="1"/>
          <w:color w:val="auto"/>
        </w:rPr>
        <w:t>www.metals.co</w:t>
      </w:r>
      <w:r>
        <w:rPr>
          <w:rFonts w:ascii="Times New Roman" w:cs="Times New Roman" w:eastAsia="Times New Roman" w:hAnsi="Times New Roman"/>
          <w:sz w:val="17"/>
          <w:szCs w:val="17"/>
          <w:color w:val="auto"/>
        </w:rPr>
        <w:t xml:space="preserve"> under Investors — Governance — Governance Documents. Our code of business conduct is a “code of ethics,” as defined in Item 406(b) of Regulation S-K.</w:t>
      </w:r>
    </w:p>
    <w:p>
      <w:pPr>
        <w:spacing w:after="0" w:line="160"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222"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 xml:space="preserve">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management succession planning. A copy of our corporate governance guidelines is posted on our website at </w:t>
      </w:r>
      <w:r>
        <w:rPr>
          <w:rFonts w:ascii="Times New Roman" w:cs="Times New Roman" w:eastAsia="Times New Roman" w:hAnsi="Times New Roman"/>
          <w:sz w:val="17"/>
          <w:szCs w:val="17"/>
          <w:i w:val="1"/>
          <w:iCs w:val="1"/>
          <w:color w:val="auto"/>
        </w:rPr>
        <w:t>www.metals.co</w:t>
      </w:r>
      <w:r>
        <w:rPr>
          <w:rFonts w:ascii="Times New Roman" w:cs="Times New Roman" w:eastAsia="Times New Roman" w:hAnsi="Times New Roman"/>
          <w:sz w:val="17"/>
          <w:szCs w:val="17"/>
          <w:color w:val="auto"/>
        </w:rPr>
        <w:t xml:space="preserve"> under Investors — Governance — Governance Documents.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22" w:lineRule="exact"/>
        <w:rPr>
          <w:sz w:val="20"/>
          <w:szCs w:val="20"/>
          <w:color w:val="auto"/>
        </w:rPr>
      </w:pPr>
    </w:p>
    <w:p>
      <w:pPr>
        <w:jc w:val="both"/>
        <w:ind w:firstLine="311"/>
        <w:spacing w:after="0" w:line="259" w:lineRule="auto"/>
        <w:rPr>
          <w:sz w:val="20"/>
          <w:szCs w:val="20"/>
          <w:color w:val="auto"/>
        </w:rPr>
      </w:pPr>
      <w:r>
        <w:rPr>
          <w:rFonts w:ascii="Times New Roman" w:cs="Times New Roman" w:eastAsia="Times New Roman" w:hAnsi="Times New Roman"/>
          <w:sz w:val="17"/>
          <w:szCs w:val="17"/>
          <w:color w:val="auto"/>
        </w:rPr>
        <w:t>Pursuant to Section 16 of the Securities Exchange Act of 1934, executive officers, directors, and holders of more than 10% of our common shares are required to file reports of their transactions our equity securities with the SEC. Based solely on a review of the copies of such reports received by us, or written representations from certain reporting persons, we believe that all filings required to be made by its reporting persons complied with all applicable Section 16 filing requirements during the year ended December 31, 2022, with the exception of (a) a Form 4 filed on behalf of each of our then serving executive officers on February 22, 2022 for transactions that occurred on February 9, 2022, (b) a Form 4 filed on behalf of each of our then serving non-employee directors on July 18, 2022 for transactions that occurred on June 1, 2022, which the Form 4 filed on behalf of Andrei Karkar and ERAS Capital LLC was later amended on August 16, 2022, (c) a Form 4 filed on behalf of non-employee director Andrew Greig on October 12, 2022 for a transaction that occurred on September 30, 2022 and (d) a Form 4 filed on behalf of executive officer Craig Shesky on December 8, 2022 for a transaction that occurred on November 30, 2022.</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This section provides an overview of our executive compensation programs, including a narrative description of the material factors necessary to understand the information disclosed in the summary compensation table below.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160"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We are currently considered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or “NEOs,” which are the individuals who served as principal executive officer and the next two most highly compensated executive officers for the fiscal year ended December 31, 2022. As of December 31, 2022, our NEOs were:</w:t>
      </w:r>
    </w:p>
    <w:p>
      <w:pPr>
        <w:spacing w:after="0" w:line="166" w:lineRule="exact"/>
        <w:rPr>
          <w:sz w:val="20"/>
          <w:szCs w:val="20"/>
          <w:color w:val="auto"/>
        </w:rPr>
      </w:pPr>
    </w:p>
    <w:p>
      <w:pPr>
        <w:ind w:left="660" w:hanging="314"/>
        <w:spacing w:after="0"/>
        <w:tabs>
          <w:tab w:leader="none" w:pos="6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Gerard Barron, Chief Executive Officer;</w:t>
      </w:r>
    </w:p>
    <w:p>
      <w:pPr>
        <w:spacing w:after="0" w:line="141"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Anthony O’Sullivan, Chief Development Officer; and</w:t>
      </w:r>
    </w:p>
    <w:p>
      <w:pPr>
        <w:sectPr>
          <w:pgSz w:w="12240" w:h="15840" w:orient="portrait"/>
          <w:cols w:equalWidth="0" w:num="1">
            <w:col w:w="9620"/>
          </w:cols>
          <w:pgMar w:left="1320" w:top="1334" w:right="130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549" name="Shape 5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549" o:spid="_x0000_s15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334" w:right="1300" w:bottom="1440" w:gutter="0" w:footer="0" w:header="0"/>
          <w:type w:val="continuous"/>
        </w:sectPr>
      </w:pPr>
    </w:p>
    <w:bookmarkStart w:id="168" w:name="page169"/>
    <w:bookmarkEnd w:id="168"/>
    <w:p>
      <w:pPr>
        <w:ind w:left="660" w:hanging="315"/>
        <w:spacing w:after="0"/>
        <w:tabs>
          <w:tab w:leader="none" w:pos="66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36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364">
                      <a:extLst>
                        <a:ext uri="{28A0092B-C50C-407E-A947-70E740481C1C}"/>
                      </a:extLst>
                    </a:blip>
                    <a:srcRect/>
                    <a:stretch>
                      <a:fillRect/>
                    </a:stretch>
                  </pic:blipFill>
                  <pic:spPr bwMode="auto">
                    <a:xfrm>
                      <a:off x="0" y="0"/>
                      <a:ext cx="5080" cy="13970"/>
                    </a:xfrm>
                    <a:prstGeom prst="rect">
                      <a:avLst/>
                    </a:prstGeom>
                    <a:noFill/>
                  </pic:spPr>
                </pic:pic>
              </a:graphicData>
            </a:graphic>
          </wp:anchor>
        </w:drawing>
        <w:t>Craig Shesky, Chief Financial Officer</w:t>
      </w:r>
    </w:p>
    <w:p>
      <w:pPr>
        <w:spacing w:after="0" w:line="219"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Our current executive compensation plan has been in place since September 9, 2021 and is the ongoing compensation program post-Business Combination. Our current executive compensation plan includes base salaries, Short-Term Incentive Program (paid in restricted share units for 2022), and a Long-Term Incentive Program (granted in the form of restricted share units grants for 2022).</w:t>
      </w:r>
    </w:p>
    <w:p>
      <w:pPr>
        <w:spacing w:after="0" w:line="155" w:lineRule="exact"/>
        <w:rPr>
          <w:sz w:val="20"/>
          <w:szCs w:val="20"/>
          <w:color w:val="auto"/>
        </w:rPr>
      </w:pPr>
    </w:p>
    <w:p>
      <w:pPr>
        <w:jc w:val="both"/>
        <w:ind w:firstLine="311"/>
        <w:spacing w:after="0" w:line="262" w:lineRule="auto"/>
        <w:rPr>
          <w:sz w:val="20"/>
          <w:szCs w:val="20"/>
          <w:color w:val="auto"/>
        </w:rPr>
      </w:pPr>
      <w:r>
        <w:rPr>
          <w:rFonts w:ascii="Times New Roman" w:cs="Times New Roman" w:eastAsia="Times New Roman" w:hAnsi="Times New Roman"/>
          <w:sz w:val="17"/>
          <w:szCs w:val="17"/>
          <w:color w:val="auto"/>
        </w:rPr>
        <w:t>In 2022, our executive compensation program was designed to provide our named executive officers with meaningful incentives and rewards, while effectively balancing the short-term and long-term interests of our shareholders with our ability to attract and retain talented executives. The compensation committee of our board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performance-based contingent payments, in the proportions that we believe achieve these four guiding principles:</w:t>
      </w:r>
    </w:p>
    <w:p>
      <w:pPr>
        <w:spacing w:after="0" w:line="379" w:lineRule="exact"/>
        <w:rPr>
          <w:sz w:val="20"/>
          <w:szCs w:val="20"/>
          <w:color w:val="auto"/>
        </w:rPr>
      </w:pPr>
    </w:p>
    <w:p>
      <w:pPr>
        <w:ind w:left="660" w:hanging="314"/>
        <w:spacing w:after="0"/>
        <w:tabs>
          <w:tab w:leader="none" w:pos="6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shareholder value by aligning the financial interests of our named executive officers with those of our shareholders;</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enable us to attract, motivate and retain the people needed to define and lead our industry;</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integrate compensation closely with the achievement of our business and performance objectives; and</w:t>
      </w:r>
    </w:p>
    <w:p>
      <w:pPr>
        <w:spacing w:after="0" w:line="219"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reward the individual performance that contributes to our short-term and long-term success.</w:t>
      </w:r>
    </w:p>
    <w:p>
      <w:pPr>
        <w:spacing w:after="0" w:line="219"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The Compensation Committee utilized and relied significantly on a competitive market analysis when determining the size, components and mix of our named executive officers’ compensation packages.</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Our Named Executive Officers’ target annual compensation consists of three principal components: (a) base salary, (b) an annual performance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222"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Our executive compensation program consists of three principal components: base salary, STIP (together with base salary, “total cash compensation”), and the LTIP. The LTIP consists primarily of restricted share units (“RSUs”), and prior to the Business Combination, stock options, that each vest over time based on continued employment and, in some cases, the achievement of performance and market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52" name="Shape 5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52" o:spid="_x0000_s15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36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366">
                      <a:extLst>
                        <a:ext uri="{28A0092B-C50C-407E-A947-70E740481C1C}"/>
                      </a:extLst>
                    </a:blip>
                    <a:srcRect/>
                    <a:stretch>
                      <a:fillRect/>
                    </a:stretch>
                  </pic:blipFill>
                  <pic:spPr bwMode="auto">
                    <a:xfrm>
                      <a:off x="0" y="0"/>
                      <a:ext cx="5080" cy="13970"/>
                    </a:xfrm>
                    <a:prstGeom prst="rect">
                      <a:avLst/>
                    </a:prstGeom>
                    <a:noFill/>
                  </pic:spPr>
                </pic:pic>
              </a:graphicData>
            </a:graphic>
          </wp:anchor>
        </w:drawing>
        <w:t>Key Components of Our 2022 Compensation Plans</w:t>
      </w:r>
    </w:p>
    <w:p>
      <w:pPr>
        <w:spacing w:after="0" w:line="251"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2280" w:type="dxa"/>
            <w:vAlign w:val="bottom"/>
            <w:tcBorders>
              <w:top w:val="single" w:sz="8" w:color="auto"/>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Compensation Element</w:t>
            </w:r>
          </w:p>
        </w:tc>
        <w:tc>
          <w:tcPr>
            <w:tcW w:w="1900" w:type="dxa"/>
            <w:vAlign w:val="bottom"/>
            <w:tcBorders>
              <w:top w:val="single" w:sz="8" w:color="auto"/>
              <w:right w:val="single" w:sz="8" w:color="auto"/>
            </w:tcBorders>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Primary Purpose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4060" w:type="dxa"/>
            <w:vAlign w:val="bottom"/>
            <w:tcBorders>
              <w:top w:val="single" w:sz="8" w:color="auto"/>
              <w:right w:val="single" w:sz="8" w:color="auto"/>
            </w:tcBorders>
            <w:vMerge w:val="restart"/>
          </w:tcPr>
          <w:p>
            <w:pPr>
              <w:ind w:left="400"/>
              <w:spacing w:after="0"/>
              <w:rPr>
                <w:sz w:val="20"/>
                <w:szCs w:val="20"/>
                <w:color w:val="auto"/>
              </w:rPr>
            </w:pPr>
            <w:r>
              <w:rPr>
                <w:rFonts w:ascii="Times New Roman" w:cs="Times New Roman" w:eastAsia="Times New Roman" w:hAnsi="Times New Roman"/>
                <w:sz w:val="17"/>
                <w:szCs w:val="17"/>
                <w:b w:val="1"/>
                <w:bCs w:val="1"/>
                <w:color w:val="auto"/>
              </w:rPr>
              <w:t>Details</w:t>
            </w:r>
          </w:p>
        </w:tc>
        <w:tc>
          <w:tcPr>
            <w:tcW w:w="0" w:type="dxa"/>
            <w:vAlign w:val="bottom"/>
          </w:tcPr>
          <w:p>
            <w:pPr>
              <w:spacing w:after="0"/>
              <w:rPr>
                <w:sz w:val="1"/>
                <w:szCs w:val="1"/>
                <w:color w:val="auto"/>
              </w:rPr>
            </w:pPr>
          </w:p>
        </w:tc>
      </w:tr>
      <w:tr>
        <w:trPr>
          <w:trHeight w:val="135"/>
        </w:trPr>
        <w:tc>
          <w:tcPr>
            <w:tcW w:w="228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4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8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4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280" w:type="dxa"/>
            <w:vAlign w:val="bottom"/>
            <w:tcBorders>
              <w:left w:val="single" w:sz="8" w:color="auto"/>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4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280" w:type="dxa"/>
            <w:vAlign w:val="bottom"/>
            <w:tcBorders>
              <w:left w:val="single" w:sz="8" w:color="auto"/>
            </w:tcBorders>
          </w:tcPr>
          <w:p>
            <w:pPr>
              <w:spacing w:after="0"/>
              <w:rPr>
                <w:sz w:val="20"/>
                <w:szCs w:val="20"/>
                <w:color w:val="auto"/>
              </w:rPr>
            </w:pPr>
          </w:p>
        </w:tc>
        <w:tc>
          <w:tcPr>
            <w:tcW w:w="3280" w:type="dxa"/>
            <w:vAlign w:val="bottom"/>
            <w:gridSpan w:val="2"/>
          </w:tcPr>
          <w:p>
            <w:pPr>
              <w:ind w:left="1780"/>
              <w:spacing w:after="0"/>
              <w:rPr>
                <w:sz w:val="20"/>
                <w:szCs w:val="20"/>
                <w:color w:val="auto"/>
              </w:rPr>
            </w:pPr>
            <w:r>
              <w:rPr>
                <w:rFonts w:ascii="Times New Roman" w:cs="Times New Roman" w:eastAsia="Times New Roman" w:hAnsi="Times New Roman"/>
                <w:sz w:val="17"/>
                <w:szCs w:val="17"/>
                <w:b w:val="1"/>
                <w:bCs w:val="1"/>
                <w:color w:val="auto"/>
              </w:rPr>
              <w:t>Cash Compensation</w:t>
            </w: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280" w:type="dxa"/>
            <w:vAlign w:val="bottom"/>
            <w:tcBorders>
              <w:left w:val="single" w:sz="8" w:color="auto"/>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Reward for ongoing work</w:t>
            </w:r>
          </w:p>
        </w:tc>
        <w:tc>
          <w:tcPr>
            <w:tcW w:w="1380" w:type="dxa"/>
            <w:vAlign w:val="bottom"/>
            <w:tcBorders>
              <w:right w:val="single" w:sz="8" w:color="auto"/>
            </w:tcBorders>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28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Base Salary</w:t>
            </w: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performed, executive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Ongoing</w:t>
            </w: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Provided in cash each pay period.</w:t>
            </w: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tenure and role</w:t>
            </w:r>
          </w:p>
        </w:tc>
        <w:tc>
          <w:tcPr>
            <w:tcW w:w="1380" w:type="dxa"/>
            <w:vAlign w:val="bottom"/>
            <w:tcBorders>
              <w:right w:val="single" w:sz="8" w:color="auto"/>
            </w:tcBorders>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280" w:type="dxa"/>
            <w:vAlign w:val="bottom"/>
            <w:tcBorders>
              <w:left w:val="single" w:sz="8" w:color="auto"/>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4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280" w:type="dxa"/>
            <w:vAlign w:val="bottom"/>
            <w:tcBorders>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Short Term Incentive Plan</w:t>
            </w: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Reinforce and drive short-</w:t>
            </w:r>
          </w:p>
        </w:tc>
        <w:tc>
          <w:tcPr>
            <w:tcW w:w="1380" w:type="dxa"/>
            <w:vAlign w:val="bottom"/>
            <w:tcBorders>
              <w:right w:val="single" w:sz="8" w:color="auto"/>
            </w:tcBorders>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280" w:type="dxa"/>
            <w:vAlign w:val="bottom"/>
            <w:tcBorders>
              <w:left w:val="single" w:sz="8" w:color="auto"/>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term priorities and</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1 year</w:t>
            </w:r>
          </w:p>
        </w:tc>
        <w:tc>
          <w:tcPr>
            <w:tcW w:w="4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Target award based on a percentage of salary.</w:t>
            </w:r>
          </w:p>
        </w:tc>
        <w:tc>
          <w:tcPr>
            <w:tcW w:w="0" w:type="dxa"/>
            <w:vAlign w:val="bottom"/>
          </w:tcPr>
          <w:p>
            <w:pPr>
              <w:spacing w:after="0"/>
              <w:rPr>
                <w:sz w:val="1"/>
                <w:szCs w:val="1"/>
                <w:color w:val="auto"/>
              </w:rPr>
            </w:pPr>
          </w:p>
        </w:tc>
      </w:tr>
      <w:tr>
        <w:trPr>
          <w:trHeight w:val="104"/>
        </w:trPr>
        <w:tc>
          <w:tcPr>
            <w:tcW w:w="2280" w:type="dxa"/>
            <w:vAlign w:val="bottom"/>
            <w:tcBorders>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(STIP)</w:t>
            </w:r>
          </w:p>
        </w:tc>
        <w:tc>
          <w:tcPr>
            <w:tcW w:w="19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4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28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business results</w:t>
            </w:r>
          </w:p>
        </w:tc>
        <w:tc>
          <w:tcPr>
            <w:tcW w:w="1380" w:type="dxa"/>
            <w:vAlign w:val="bottom"/>
            <w:tcBorders>
              <w:right w:val="single" w:sz="8" w:color="auto"/>
            </w:tcBorders>
          </w:tcPr>
          <w:p>
            <w:pPr>
              <w:spacing w:after="0"/>
              <w:rPr>
                <w:sz w:val="11"/>
                <w:szCs w:val="11"/>
                <w:color w:val="auto"/>
              </w:rPr>
            </w:pPr>
          </w:p>
        </w:tc>
        <w:tc>
          <w:tcPr>
            <w:tcW w:w="4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28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4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280" w:type="dxa"/>
            <w:vAlign w:val="bottom"/>
            <w:tcBorders>
              <w:left w:val="single" w:sz="8" w:color="auto"/>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1380" w:type="dxa"/>
            <w:vAlign w:val="bottom"/>
            <w:tcBorders>
              <w:bottom w:val="single" w:sz="8" w:color="auto"/>
              <w:right w:val="single" w:sz="8" w:color="auto"/>
            </w:tcBorders>
          </w:tcPr>
          <w:p>
            <w:pPr>
              <w:spacing w:after="0"/>
              <w:rPr>
                <w:sz w:val="6"/>
                <w:szCs w:val="6"/>
                <w:color w:val="auto"/>
              </w:rPr>
            </w:pPr>
          </w:p>
        </w:tc>
        <w:tc>
          <w:tcPr>
            <w:tcW w:w="4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28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Awards may be earned from 0% to 100% of target based</w:t>
            </w:r>
          </w:p>
        </w:tc>
        <w:tc>
          <w:tcPr>
            <w:tcW w:w="0" w:type="dxa"/>
            <w:vAlign w:val="bottom"/>
          </w:tcPr>
          <w:p>
            <w:pPr>
              <w:spacing w:after="0"/>
              <w:rPr>
                <w:sz w:val="1"/>
                <w:szCs w:val="1"/>
                <w:color w:val="auto"/>
              </w:rPr>
            </w:pPr>
          </w:p>
        </w:tc>
      </w:tr>
      <w:tr>
        <w:trPr>
          <w:trHeight w:val="207"/>
        </w:trPr>
        <w:tc>
          <w:tcPr>
            <w:tcW w:w="228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on achievement of pre-determined corporate short-term</w:t>
            </w:r>
          </w:p>
        </w:tc>
        <w:tc>
          <w:tcPr>
            <w:tcW w:w="0" w:type="dxa"/>
            <w:vAlign w:val="bottom"/>
          </w:tcPr>
          <w:p>
            <w:pPr>
              <w:spacing w:after="0"/>
              <w:rPr>
                <w:sz w:val="1"/>
                <w:szCs w:val="1"/>
                <w:color w:val="auto"/>
              </w:rPr>
            </w:pPr>
          </w:p>
        </w:tc>
      </w:tr>
      <w:tr>
        <w:trPr>
          <w:trHeight w:val="219"/>
        </w:trPr>
        <w:tc>
          <w:tcPr>
            <w:tcW w:w="228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Recognize and reward</w:t>
            </w:r>
          </w:p>
        </w:tc>
        <w:tc>
          <w:tcPr>
            <w:tcW w:w="1380" w:type="dxa"/>
            <w:vAlign w:val="bottom"/>
            <w:tcBorders>
              <w:right w:val="single" w:sz="8" w:color="auto"/>
            </w:tcBorders>
          </w:tcPr>
          <w:p>
            <w:pPr>
              <w:spacing w:after="0"/>
              <w:rPr>
                <w:sz w:val="19"/>
                <w:szCs w:val="19"/>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objectives that are aligned with our strategic plan as well</w:t>
            </w:r>
          </w:p>
        </w:tc>
        <w:tc>
          <w:tcPr>
            <w:tcW w:w="0" w:type="dxa"/>
            <w:vAlign w:val="bottom"/>
          </w:tcPr>
          <w:p>
            <w:pPr>
              <w:spacing w:after="0"/>
              <w:rPr>
                <w:sz w:val="1"/>
                <w:szCs w:val="1"/>
                <w:color w:val="auto"/>
              </w:rPr>
            </w:pPr>
          </w:p>
        </w:tc>
      </w:tr>
      <w:tr>
        <w:trPr>
          <w:trHeight w:val="235"/>
        </w:trPr>
        <w:tc>
          <w:tcPr>
            <w:tcW w:w="228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corporate and individual</w:t>
            </w:r>
          </w:p>
        </w:tc>
        <w:tc>
          <w:tcPr>
            <w:tcW w:w="1380" w:type="dxa"/>
            <w:vAlign w:val="bottom"/>
            <w:tcBorders>
              <w:right w:val="single" w:sz="8" w:color="auto"/>
            </w:tcBorders>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as individual performance.</w:t>
            </w:r>
          </w:p>
        </w:tc>
        <w:tc>
          <w:tcPr>
            <w:tcW w:w="0" w:type="dxa"/>
            <w:vAlign w:val="bottom"/>
          </w:tcPr>
          <w:p>
            <w:pPr>
              <w:spacing w:after="0"/>
              <w:rPr>
                <w:sz w:val="1"/>
                <w:szCs w:val="1"/>
                <w:color w:val="auto"/>
              </w:rPr>
            </w:pPr>
          </w:p>
        </w:tc>
      </w:tr>
      <w:tr>
        <w:trPr>
          <w:trHeight w:val="246"/>
        </w:trPr>
        <w:tc>
          <w:tcPr>
            <w:tcW w:w="2280" w:type="dxa"/>
            <w:vAlign w:val="bottom"/>
            <w:tcBorders>
              <w:left w:val="single" w:sz="8" w:color="auto"/>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performance</w:t>
            </w:r>
          </w:p>
        </w:tc>
        <w:tc>
          <w:tcPr>
            <w:tcW w:w="1380" w:type="dxa"/>
            <w:vAlign w:val="bottom"/>
            <w:tcBorders>
              <w:right w:val="single" w:sz="8" w:color="auto"/>
            </w:tcBorders>
          </w:tcPr>
          <w:p>
            <w:pPr>
              <w:spacing w:after="0"/>
              <w:rPr>
                <w:sz w:val="21"/>
                <w:szCs w:val="21"/>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Awards are paid in cash upon the completion of the</w:t>
            </w:r>
          </w:p>
        </w:tc>
        <w:tc>
          <w:tcPr>
            <w:tcW w:w="0" w:type="dxa"/>
            <w:vAlign w:val="bottom"/>
          </w:tcPr>
          <w:p>
            <w:pPr>
              <w:spacing w:after="0"/>
              <w:rPr>
                <w:sz w:val="1"/>
                <w:szCs w:val="1"/>
                <w:color w:val="auto"/>
              </w:rPr>
            </w:pPr>
          </w:p>
        </w:tc>
      </w:tr>
      <w:tr>
        <w:trPr>
          <w:trHeight w:val="207"/>
        </w:trPr>
        <w:tc>
          <w:tcPr>
            <w:tcW w:w="228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fiscal year; however, for 2022, STIP awards were paid in</w:t>
            </w: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immediately-vested RSUs to conserve operating cash.</w:t>
            </w:r>
          </w:p>
        </w:tc>
        <w:tc>
          <w:tcPr>
            <w:tcW w:w="0" w:type="dxa"/>
            <w:vAlign w:val="bottom"/>
          </w:tcPr>
          <w:p>
            <w:pPr>
              <w:spacing w:after="0"/>
              <w:rPr>
                <w:sz w:val="1"/>
                <w:szCs w:val="1"/>
                <w:color w:val="auto"/>
              </w:rPr>
            </w:pPr>
          </w:p>
        </w:tc>
      </w:tr>
      <w:tr>
        <w:trPr>
          <w:trHeight w:val="84"/>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4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80" w:type="dxa"/>
            <w:vAlign w:val="bottom"/>
            <w:tcBorders>
              <w:left w:val="single" w:sz="8" w:color="auto"/>
            </w:tcBorders>
          </w:tcPr>
          <w:p>
            <w:pPr>
              <w:spacing w:after="0"/>
              <w:rPr>
                <w:sz w:val="20"/>
                <w:szCs w:val="20"/>
                <w:color w:val="auto"/>
              </w:rPr>
            </w:pPr>
          </w:p>
        </w:tc>
        <w:tc>
          <w:tcPr>
            <w:tcW w:w="7340" w:type="dxa"/>
            <w:vAlign w:val="bottom"/>
            <w:tcBorders>
              <w:right w:val="single" w:sz="8" w:color="auto"/>
            </w:tcBorders>
            <w:gridSpan w:val="3"/>
          </w:tcPr>
          <w:p>
            <w:pPr>
              <w:ind w:left="1720"/>
              <w:spacing w:after="0"/>
              <w:rPr>
                <w:sz w:val="20"/>
                <w:szCs w:val="20"/>
                <w:color w:val="auto"/>
              </w:rPr>
            </w:pPr>
            <w:r>
              <w:rPr>
                <w:rFonts w:ascii="Times New Roman" w:cs="Times New Roman" w:eastAsia="Times New Roman" w:hAnsi="Times New Roman"/>
                <w:sz w:val="17"/>
                <w:szCs w:val="17"/>
                <w:b w:val="1"/>
                <w:bCs w:val="1"/>
                <w:color w:val="auto"/>
              </w:rPr>
              <w:t>Equity Compensation</w:t>
            </w:r>
          </w:p>
        </w:tc>
        <w:tc>
          <w:tcPr>
            <w:tcW w:w="0" w:type="dxa"/>
            <w:vAlign w:val="bottom"/>
          </w:tcPr>
          <w:p>
            <w:pPr>
              <w:spacing w:after="0"/>
              <w:rPr>
                <w:sz w:val="1"/>
                <w:szCs w:val="1"/>
                <w:color w:val="auto"/>
              </w:rPr>
            </w:pPr>
          </w:p>
        </w:tc>
      </w:tr>
      <w:tr>
        <w:trPr>
          <w:trHeight w:val="66"/>
        </w:trPr>
        <w:tc>
          <w:tcPr>
            <w:tcW w:w="2280" w:type="dxa"/>
            <w:vAlign w:val="bottom"/>
            <w:tcBorders>
              <w:left w:val="single" w:sz="8" w:color="auto"/>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4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Reinforce and drive long-</w:t>
            </w:r>
          </w:p>
        </w:tc>
        <w:tc>
          <w:tcPr>
            <w:tcW w:w="1380" w:type="dxa"/>
            <w:vAlign w:val="bottom"/>
            <w:tcBorders>
              <w:right w:val="single" w:sz="8" w:color="auto"/>
            </w:tcBorders>
          </w:tcPr>
          <w:p>
            <w:pPr>
              <w:spacing w:after="0"/>
              <w:rPr>
                <w:sz w:val="17"/>
                <w:szCs w:val="17"/>
                <w:color w:val="auto"/>
              </w:rPr>
            </w:pPr>
          </w:p>
        </w:tc>
        <w:tc>
          <w:tcPr>
            <w:tcW w:w="4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term shareholder value</w:t>
            </w:r>
          </w:p>
        </w:tc>
        <w:tc>
          <w:tcPr>
            <w:tcW w:w="1380" w:type="dxa"/>
            <w:vAlign w:val="bottom"/>
            <w:tcBorders>
              <w:right w:val="single" w:sz="8" w:color="auto"/>
            </w:tcBorders>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2280" w:type="dxa"/>
            <w:vAlign w:val="bottom"/>
            <w:tcBorders>
              <w:left w:val="single" w:sz="8" w:color="auto"/>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Retain executives over a</w:t>
            </w:r>
          </w:p>
        </w:tc>
        <w:tc>
          <w:tcPr>
            <w:tcW w:w="1380" w:type="dxa"/>
            <w:vAlign w:val="bottom"/>
            <w:tcBorders>
              <w:right w:val="single" w:sz="8" w:color="auto"/>
            </w:tcBorders>
          </w:tcPr>
          <w:p>
            <w:pPr>
              <w:spacing w:after="0"/>
              <w:rPr>
                <w:sz w:val="22"/>
                <w:szCs w:val="22"/>
                <w:color w:val="auto"/>
              </w:rPr>
            </w:pPr>
          </w:p>
        </w:tc>
        <w:tc>
          <w:tcPr>
            <w:tcW w:w="4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Grants post-Business Combination were in the form of</w:t>
            </w:r>
          </w:p>
        </w:tc>
        <w:tc>
          <w:tcPr>
            <w:tcW w:w="0" w:type="dxa"/>
            <w:vAlign w:val="bottom"/>
          </w:tcPr>
          <w:p>
            <w:pPr>
              <w:spacing w:after="0"/>
              <w:rPr>
                <w:sz w:val="1"/>
                <w:szCs w:val="1"/>
                <w:color w:val="auto"/>
              </w:rPr>
            </w:pPr>
          </w:p>
        </w:tc>
      </w:tr>
      <w:tr>
        <w:trPr>
          <w:trHeight w:val="103"/>
        </w:trPr>
        <w:tc>
          <w:tcPr>
            <w:tcW w:w="2280" w:type="dxa"/>
            <w:vAlign w:val="bottom"/>
            <w:tcBorders>
              <w:left w:val="single" w:sz="8" w:color="auto"/>
              <w:right w:val="single" w:sz="8" w:color="auto"/>
            </w:tcBorders>
          </w:tcPr>
          <w:p>
            <w:pPr>
              <w:spacing w:after="0"/>
              <w:rPr>
                <w:sz w:val="8"/>
                <w:szCs w:val="8"/>
                <w:color w:val="auto"/>
              </w:rPr>
            </w:pPr>
          </w:p>
        </w:tc>
        <w:tc>
          <w:tcPr>
            <w:tcW w:w="1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multi-year period</w:t>
            </w:r>
          </w:p>
        </w:tc>
        <w:tc>
          <w:tcPr>
            <w:tcW w:w="1380" w:type="dxa"/>
            <w:vAlign w:val="bottom"/>
            <w:tcBorders>
              <w:right w:val="single" w:sz="8" w:color="auto"/>
            </w:tcBorders>
          </w:tcPr>
          <w:p>
            <w:pPr>
              <w:spacing w:after="0"/>
              <w:rPr>
                <w:sz w:val="8"/>
                <w:szCs w:val="8"/>
                <w:color w:val="auto"/>
              </w:rPr>
            </w:pPr>
          </w:p>
        </w:tc>
        <w:tc>
          <w:tcPr>
            <w:tcW w:w="4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280" w:type="dxa"/>
            <w:vAlign w:val="bottom"/>
            <w:tcBorders>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Long-term incentives (LTIP)</w:t>
            </w:r>
          </w:p>
        </w:tc>
        <w:tc>
          <w:tcPr>
            <w:tcW w:w="1900" w:type="dxa"/>
            <w:vAlign w:val="bottom"/>
            <w:tcBorders>
              <w:right w:val="single" w:sz="8" w:color="auto"/>
            </w:tcBorders>
            <w:vMerge w:val="continue"/>
          </w:tcPr>
          <w:p>
            <w:pPr>
              <w:spacing w:after="0"/>
              <w:rPr>
                <w:sz w:val="11"/>
                <w:szCs w:val="11"/>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 or 4 years</w:t>
            </w:r>
          </w:p>
        </w:tc>
        <w:tc>
          <w:tcPr>
            <w:tcW w:w="40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RSUs  that  generally  vest  one-third  per  year  over</w:t>
            </w:r>
          </w:p>
        </w:tc>
        <w:tc>
          <w:tcPr>
            <w:tcW w:w="0" w:type="dxa"/>
            <w:vAlign w:val="bottom"/>
          </w:tcPr>
          <w:p>
            <w:pPr>
              <w:spacing w:after="0"/>
              <w:rPr>
                <w:sz w:val="1"/>
                <w:szCs w:val="1"/>
                <w:color w:val="auto"/>
              </w:rPr>
            </w:pPr>
          </w:p>
        </w:tc>
      </w:tr>
      <w:tr>
        <w:trPr>
          <w:trHeight w:val="79"/>
        </w:trPr>
        <w:tc>
          <w:tcPr>
            <w:tcW w:w="2280" w:type="dxa"/>
            <w:vAlign w:val="bottom"/>
            <w:tcBorders>
              <w:left w:val="single" w:sz="8" w:color="auto"/>
              <w:right w:val="single" w:sz="8" w:color="auto"/>
            </w:tcBorders>
            <w:vMerge w:val="continue"/>
          </w:tcPr>
          <w:p>
            <w:pPr>
              <w:spacing w:after="0"/>
              <w:rPr>
                <w:sz w:val="6"/>
                <w:szCs w:val="6"/>
                <w:color w:val="auto"/>
              </w:rPr>
            </w:pPr>
          </w:p>
        </w:tc>
        <w:tc>
          <w:tcPr>
            <w:tcW w:w="19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Incentivize the</w:t>
            </w:r>
          </w:p>
        </w:tc>
        <w:tc>
          <w:tcPr>
            <w:tcW w:w="1380" w:type="dxa"/>
            <w:vAlign w:val="bottom"/>
            <w:tcBorders>
              <w:right w:val="single" w:sz="8" w:color="auto"/>
            </w:tcBorders>
            <w:vMerge w:val="continue"/>
          </w:tcPr>
          <w:p>
            <w:pPr>
              <w:spacing w:after="0"/>
              <w:rPr>
                <w:sz w:val="6"/>
                <w:szCs w:val="6"/>
                <w:color w:val="auto"/>
              </w:rPr>
            </w:pPr>
          </w:p>
        </w:tc>
        <w:tc>
          <w:tcPr>
            <w:tcW w:w="40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right w:val="single" w:sz="8" w:color="auto"/>
            </w:tcBorders>
          </w:tcPr>
          <w:p>
            <w:pPr>
              <w:spacing w:after="0"/>
              <w:rPr>
                <w:sz w:val="16"/>
                <w:szCs w:val="16"/>
                <w:color w:val="auto"/>
              </w:rPr>
            </w:pPr>
          </w:p>
        </w:tc>
        <w:tc>
          <w:tcPr>
            <w:tcW w:w="1900" w:type="dxa"/>
            <w:vAlign w:val="bottom"/>
            <w:tcBorders>
              <w:right w:val="single" w:sz="8" w:color="auto"/>
            </w:tcBorders>
            <w:vMerge w:val="continue"/>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4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three years or in fourths over four years.</w:t>
            </w:r>
          </w:p>
        </w:tc>
        <w:tc>
          <w:tcPr>
            <w:tcW w:w="0" w:type="dxa"/>
            <w:vAlign w:val="bottom"/>
          </w:tcPr>
          <w:p>
            <w:pPr>
              <w:spacing w:after="0"/>
              <w:rPr>
                <w:sz w:val="1"/>
                <w:szCs w:val="1"/>
                <w:color w:val="auto"/>
              </w:rPr>
            </w:pPr>
          </w:p>
        </w:tc>
      </w:tr>
      <w:tr>
        <w:trPr>
          <w:trHeight w:val="207"/>
        </w:trPr>
        <w:tc>
          <w:tcPr>
            <w:tcW w:w="228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achievement by</w:t>
            </w:r>
          </w:p>
        </w:tc>
        <w:tc>
          <w:tcPr>
            <w:tcW w:w="138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80" w:type="dxa"/>
            <w:vAlign w:val="bottom"/>
            <w:tcBorders>
              <w:left w:val="single" w:sz="8" w:color="auto"/>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management of multi-year</w:t>
            </w:r>
          </w:p>
        </w:tc>
        <w:tc>
          <w:tcPr>
            <w:tcW w:w="1380" w:type="dxa"/>
            <w:vAlign w:val="bottom"/>
            <w:tcBorders>
              <w:right w:val="single" w:sz="8" w:color="auto"/>
            </w:tcBorders>
          </w:tcPr>
          <w:p>
            <w:pPr>
              <w:spacing w:after="0"/>
              <w:rPr>
                <w:sz w:val="18"/>
                <w:szCs w:val="18"/>
                <w:color w:val="auto"/>
              </w:rPr>
            </w:pP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28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performance goals</w:t>
            </w:r>
          </w:p>
        </w:tc>
        <w:tc>
          <w:tcPr>
            <w:tcW w:w="1380" w:type="dxa"/>
            <w:vAlign w:val="bottom"/>
            <w:tcBorders>
              <w:right w:val="single" w:sz="8" w:color="auto"/>
            </w:tcBorders>
          </w:tcPr>
          <w:p>
            <w:pPr>
              <w:spacing w:after="0"/>
              <w:rPr>
                <w:sz w:val="20"/>
                <w:szCs w:val="20"/>
                <w:color w:val="auto"/>
              </w:rPr>
            </w:pP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4"/>
        </w:trPr>
        <w:tc>
          <w:tcPr>
            <w:tcW w:w="2280" w:type="dxa"/>
            <w:vAlign w:val="bottom"/>
            <w:tcBorders>
              <w:left w:val="single" w:sz="8" w:color="auto"/>
              <w:bottom w:val="single" w:sz="8" w:color="auto"/>
              <w:right w:val="single" w:sz="8" w:color="auto"/>
            </w:tcBorders>
          </w:tcPr>
          <w:p>
            <w:pPr>
              <w:spacing w:after="0"/>
              <w:rPr>
                <w:sz w:val="7"/>
                <w:szCs w:val="7"/>
                <w:color w:val="auto"/>
              </w:rPr>
            </w:pPr>
          </w:p>
        </w:tc>
        <w:tc>
          <w:tcPr>
            <w:tcW w:w="190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40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Compensation</w:t>
      </w:r>
    </w:p>
    <w:p>
      <w:pPr>
        <w:spacing w:after="0" w:line="222" w:lineRule="exact"/>
        <w:rPr>
          <w:sz w:val="20"/>
          <w:szCs w:val="20"/>
          <w:color w:val="auto"/>
        </w:rPr>
      </w:pPr>
    </w:p>
    <w:p>
      <w:pPr>
        <w:jc w:val="both"/>
        <w:ind w:right="20" w:firstLine="310"/>
        <w:spacing w:after="0" w:line="276" w:lineRule="auto"/>
        <w:rPr>
          <w:sz w:val="20"/>
          <w:szCs w:val="20"/>
          <w:color w:val="auto"/>
        </w:rPr>
      </w:pPr>
      <w:r>
        <w:rPr>
          <w:rFonts w:ascii="Times New Roman" w:cs="Times New Roman" w:eastAsia="Times New Roman" w:hAnsi="Times New Roman"/>
          <w:sz w:val="17"/>
          <w:szCs w:val="17"/>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Compensation Committee determines the size of equity award grants after considering the following factors:</w:t>
      </w:r>
    </w:p>
    <w:p>
      <w:pPr>
        <w:spacing w:after="0" w:line="219" w:lineRule="exact"/>
        <w:rPr>
          <w:sz w:val="20"/>
          <w:szCs w:val="20"/>
          <w:color w:val="auto"/>
        </w:rPr>
      </w:pPr>
    </w:p>
    <w:p>
      <w:pPr>
        <w:ind w:left="660" w:hanging="314"/>
        <w:spacing w:after="0"/>
        <w:tabs>
          <w:tab w:leader="none" w:pos="6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competitive equity compensation practices for comparable positions identified in the applicable market analysis;</w:t>
      </w:r>
    </w:p>
    <w:p>
      <w:pPr>
        <w:spacing w:after="0" w:line="180"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executive’s level of responsibility and duties;</w:t>
      </w:r>
    </w:p>
    <w:p>
      <w:pPr>
        <w:spacing w:after="0" w:line="180"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comparison to grant levels of other executive officers;</w:t>
      </w:r>
    </w:p>
    <w:p>
      <w:pPr>
        <w:spacing w:after="0" w:line="193"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named executive officers’ performance;</w:t>
      </w:r>
    </w:p>
    <w:p>
      <w:pPr>
        <w:spacing w:after="0" w:line="180"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corporate performance;</w:t>
      </w:r>
    </w:p>
    <w:p>
      <w:pPr>
        <w:spacing w:after="0" w:line="180"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total equity compensation costs relative to total expenses;</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555" name="Shape 5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555" o:spid="_x0000_s15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40"/>
          </w:cols>
          <w:pgMar w:left="1320" w:top="1334" w:right="1280" w:bottom="1440" w:gutter="0" w:footer="0" w:header="0"/>
        </w:sectPr>
      </w:pPr>
    </w:p>
    <w:bookmarkStart w:id="170" w:name="page171"/>
    <w:bookmarkEnd w:id="170"/>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36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368">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Compensation Committee does not take into consideration an executive’s aggregate equity holdings or equity carrying value in determining annual long-term equity incentive awards.</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2022, our Compensation Committee approved the grant of equity awards to our Named Executive Officers. They considered, to the extent applicable, our corporate performance and individual contributions in 2022 as well as in prior years. The Compensation Committee determined the value of each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an independent compensation consulting firm engaged by our Compensation Committee to provide competitive market data as well as advice on pay levels and compensation program structure.</w:t>
      </w:r>
    </w:p>
    <w:p>
      <w:pPr>
        <w:spacing w:after="0" w:line="16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stock awards disclosed in the summary compensation table below represent the RSUs approved by our Compensation Committee, which were issued and valued on November 22, 2021, using a share price of $3.20. Option awards disclosed in the summary compensation table below were granted by the DeepGreen board on March 4, 2021 and were valued on that date using a Black-Scholes valuation model, which ascribed a fair value between $5.42 and $5.59 per option. No stock awards were issued to our NEOs in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2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The following table shows information concerning the annual compensation for services provided to us by our NEOs for the fiscal year ended December 31, 2022 and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20" w:type="dxa"/>
            <w:vAlign w:val="bottom"/>
          </w:tcPr>
          <w:p>
            <w:pPr>
              <w:spacing w:after="0"/>
              <w:rPr>
                <w:sz w:val="13"/>
                <w:szCs w:val="13"/>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2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86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 w:type="dxa"/>
            <w:vAlign w:val="bottom"/>
          </w:tcPr>
          <w:p>
            <w:pPr>
              <w:spacing w:after="0"/>
              <w:rPr>
                <w:sz w:val="12"/>
                <w:szCs w:val="12"/>
                <w:color w:val="auto"/>
              </w:rPr>
            </w:pPr>
          </w:p>
        </w:tc>
        <w:tc>
          <w:tcPr>
            <w:tcW w:w="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8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4"/>
              </w:rPr>
              <w:t>Awards</w:t>
            </w:r>
          </w:p>
        </w:tc>
        <w:tc>
          <w:tcPr>
            <w:tcW w:w="20" w:type="dxa"/>
            <w:vAlign w:val="bottom"/>
          </w:tcPr>
          <w:p>
            <w:pPr>
              <w:spacing w:after="0"/>
              <w:rPr>
                <w:sz w:val="12"/>
                <w:szCs w:val="12"/>
                <w:color w:val="auto"/>
              </w:rPr>
            </w:pPr>
          </w:p>
        </w:tc>
        <w:tc>
          <w:tcPr>
            <w:tcW w:w="10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6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4"/>
                <w:szCs w:val="14"/>
                <w:color w:val="auto"/>
              </w:rPr>
            </w:pPr>
          </w:p>
        </w:tc>
        <w:tc>
          <w:tcPr>
            <w:tcW w:w="660" w:type="dxa"/>
            <w:vAlign w:val="bottom"/>
            <w:gridSpan w:val="2"/>
          </w:tcPr>
          <w:p>
            <w:pPr>
              <w:jc w:val="right"/>
              <w:ind w:right="96"/>
              <w:spacing w:after="0" w:line="168"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9"/>
                <w:szCs w:val="19"/>
                <w:b w:val="1"/>
                <w:bCs w:val="1"/>
                <w:color w:val="auto"/>
                <w:vertAlign w:val="superscript"/>
              </w:rPr>
              <w:t>(1)</w:t>
            </w:r>
          </w:p>
        </w:tc>
        <w:tc>
          <w:tcPr>
            <w:tcW w:w="140" w:type="dxa"/>
            <w:vAlign w:val="bottom"/>
          </w:tcPr>
          <w:p>
            <w:pPr>
              <w:spacing w:after="0"/>
              <w:rPr>
                <w:sz w:val="14"/>
                <w:szCs w:val="14"/>
                <w:color w:val="auto"/>
              </w:rPr>
            </w:pPr>
          </w:p>
        </w:tc>
        <w:tc>
          <w:tcPr>
            <w:tcW w:w="800" w:type="dxa"/>
            <w:vAlign w:val="bottom"/>
          </w:tcPr>
          <w:p>
            <w:pPr>
              <w:jc w:val="center"/>
              <w:spacing w:after="0" w:line="168"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19"/>
                <w:szCs w:val="19"/>
                <w:b w:val="1"/>
                <w:bCs w:val="1"/>
                <w:color w:val="auto"/>
                <w:w w:val="93"/>
                <w:vertAlign w:val="superscript"/>
              </w:rPr>
              <w:t>(2)</w:t>
            </w:r>
          </w:p>
        </w:tc>
        <w:tc>
          <w:tcPr>
            <w:tcW w:w="160" w:type="dxa"/>
            <w:vAlign w:val="bottom"/>
          </w:tcPr>
          <w:p>
            <w:pPr>
              <w:spacing w:after="0"/>
              <w:rPr>
                <w:sz w:val="14"/>
                <w:szCs w:val="14"/>
                <w:color w:val="auto"/>
              </w:rPr>
            </w:pPr>
          </w:p>
        </w:tc>
        <w:tc>
          <w:tcPr>
            <w:tcW w:w="840" w:type="dxa"/>
            <w:vAlign w:val="bottom"/>
          </w:tcPr>
          <w:p>
            <w:pPr>
              <w:jc w:val="center"/>
              <w:spacing w:after="0" w:line="168"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19"/>
                <w:szCs w:val="19"/>
                <w:b w:val="1"/>
                <w:bCs w:val="1"/>
                <w:color w:val="auto"/>
                <w:w w:val="93"/>
                <w:vertAlign w:val="superscript"/>
              </w:rPr>
              <w:t>(3)</w:t>
            </w:r>
          </w:p>
        </w:tc>
        <w:tc>
          <w:tcPr>
            <w:tcW w:w="140" w:type="dxa"/>
            <w:vAlign w:val="bottom"/>
          </w:tcPr>
          <w:p>
            <w:pPr>
              <w:spacing w:after="0"/>
              <w:rPr>
                <w:sz w:val="14"/>
                <w:szCs w:val="14"/>
                <w:color w:val="auto"/>
              </w:rPr>
            </w:pPr>
          </w:p>
        </w:tc>
        <w:tc>
          <w:tcPr>
            <w:tcW w:w="920" w:type="dxa"/>
            <w:vAlign w:val="bottom"/>
            <w:gridSpan w:val="2"/>
          </w:tcPr>
          <w:p>
            <w:pPr>
              <w:jc w:val="center"/>
              <w:spacing w:after="0" w:line="168"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19"/>
                <w:szCs w:val="19"/>
                <w:b w:val="1"/>
                <w:bCs w:val="1"/>
                <w:color w:val="auto"/>
                <w:w w:val="93"/>
                <w:vertAlign w:val="superscript"/>
              </w:rPr>
              <w:t>(4)</w:t>
            </w:r>
          </w:p>
        </w:tc>
        <w:tc>
          <w:tcPr>
            <w:tcW w:w="140" w:type="dxa"/>
            <w:vAlign w:val="bottom"/>
          </w:tcPr>
          <w:p>
            <w:pPr>
              <w:spacing w:after="0"/>
              <w:rPr>
                <w:sz w:val="14"/>
                <w:szCs w:val="14"/>
                <w:color w:val="auto"/>
              </w:rPr>
            </w:pPr>
          </w:p>
        </w:tc>
        <w:tc>
          <w:tcPr>
            <w:tcW w:w="8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1"/>
        </w:trPr>
        <w:tc>
          <w:tcPr>
            <w:tcW w:w="35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Gerard Barron,</w:t>
            </w:r>
          </w:p>
        </w:tc>
        <w:tc>
          <w:tcPr>
            <w:tcW w:w="140" w:type="dxa"/>
            <w:vAlign w:val="bottom"/>
            <w:tcBorders>
              <w:top w:val="single" w:sz="8" w:color="C7EAF2"/>
            </w:tcBorders>
            <w:shd w:val="clear" w:color="auto" w:fill="C7EAF2"/>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40" w:type="dxa"/>
            <w:vAlign w:val="bottom"/>
            <w:tcBorders>
              <w:top w:val="single" w:sz="8" w:color="C7EAF2"/>
            </w:tcBorders>
            <w:shd w:val="clear" w:color="auto" w:fill="C7EAF2"/>
          </w:tcPr>
          <w:p>
            <w:pPr>
              <w:spacing w:after="0"/>
              <w:rPr>
                <w:sz w:val="17"/>
                <w:szCs w:val="17"/>
                <w:color w:val="auto"/>
              </w:rPr>
            </w:pPr>
          </w:p>
        </w:tc>
        <w:tc>
          <w:tcPr>
            <w:tcW w:w="66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565,000</w:t>
            </w:r>
          </w:p>
        </w:tc>
        <w:tc>
          <w:tcPr>
            <w:tcW w:w="160" w:type="dxa"/>
            <w:vAlign w:val="bottom"/>
            <w:tcBorders>
              <w:top w:val="single" w:sz="8" w:color="C7EAF2"/>
            </w:tcBorders>
            <w:shd w:val="clear" w:color="auto" w:fill="C7EAF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317,813</w:t>
            </w:r>
          </w:p>
        </w:tc>
        <w:tc>
          <w:tcPr>
            <w:tcW w:w="140" w:type="dxa"/>
            <w:vAlign w:val="bottom"/>
            <w:tcBorders>
              <w:top w:val="single" w:sz="8" w:color="C7EAF2"/>
            </w:tcBorders>
            <w:shd w:val="clear" w:color="auto" w:fill="C7EAF2"/>
          </w:tcPr>
          <w:p>
            <w:pPr>
              <w:spacing w:after="0"/>
              <w:rPr>
                <w:sz w:val="17"/>
                <w:szCs w:val="17"/>
                <w:color w:val="auto"/>
              </w:rPr>
            </w:pPr>
          </w:p>
        </w:tc>
        <w:tc>
          <w:tcPr>
            <w:tcW w:w="8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7EAF2"/>
            </w:tcBorders>
            <w:shd w:val="clear" w:color="auto" w:fill="C7EAF2"/>
          </w:tcPr>
          <w:p>
            <w:pPr>
              <w:spacing w:after="0"/>
              <w:rPr>
                <w:sz w:val="17"/>
                <w:szCs w:val="17"/>
                <w:color w:val="auto"/>
              </w:rPr>
            </w:pPr>
          </w:p>
        </w:tc>
        <w:tc>
          <w:tcPr>
            <w:tcW w:w="8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7EAF2"/>
            </w:tcBorders>
            <w:shd w:val="clear" w:color="auto" w:fill="C7EAF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7EAF2"/>
            </w:tcBorders>
            <w:shd w:val="clear" w:color="auto" w:fill="C7EAF2"/>
          </w:tcPr>
          <w:p>
            <w:pPr>
              <w:spacing w:after="0"/>
              <w:rPr>
                <w:sz w:val="17"/>
                <w:szCs w:val="17"/>
                <w:color w:val="auto"/>
              </w:rPr>
            </w:pPr>
          </w:p>
        </w:tc>
        <w:tc>
          <w:tcPr>
            <w:tcW w:w="8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882,813</w:t>
            </w:r>
          </w:p>
        </w:tc>
        <w:tc>
          <w:tcPr>
            <w:tcW w:w="0" w:type="dxa"/>
            <w:vAlign w:val="bottom"/>
          </w:tcPr>
          <w:p>
            <w:pPr>
              <w:spacing w:after="0"/>
              <w:rPr>
                <w:sz w:val="1"/>
                <w:szCs w:val="1"/>
                <w:color w:val="auto"/>
              </w:rPr>
            </w:pPr>
          </w:p>
        </w:tc>
      </w:tr>
      <w:tr>
        <w:trPr>
          <w:trHeight w:val="207"/>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20" w:type="dxa"/>
            <w:vAlign w:val="bottom"/>
          </w:tcPr>
          <w:p>
            <w:pPr>
              <w:spacing w:after="0"/>
              <w:rPr>
                <w:sz w:val="18"/>
                <w:szCs w:val="18"/>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2021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565,000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296,625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10,833,401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14,195,026</w:t>
            </w:r>
          </w:p>
        </w:tc>
        <w:tc>
          <w:tcPr>
            <w:tcW w:w="0" w:type="dxa"/>
            <w:vAlign w:val="bottom"/>
          </w:tcPr>
          <w:p>
            <w:pPr>
              <w:spacing w:after="0"/>
              <w:rPr>
                <w:sz w:val="1"/>
                <w:szCs w:val="1"/>
                <w:color w:val="auto"/>
              </w:rPr>
            </w:pPr>
          </w:p>
        </w:tc>
      </w:tr>
      <w:tr>
        <w:trPr>
          <w:trHeight w:val="207"/>
        </w:trPr>
        <w:tc>
          <w:tcPr>
            <w:tcW w:w="35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20" w:type="dxa"/>
            <w:vAlign w:val="bottom"/>
            <w:vMerge w:val="restart"/>
          </w:tcPr>
          <w:p>
            <w:pPr>
              <w:spacing w:after="0"/>
              <w:rPr>
                <w:sz w:val="18"/>
                <w:szCs w:val="18"/>
                <w:color w:val="auto"/>
              </w:rPr>
            </w:pPr>
          </w:p>
        </w:tc>
        <w:tc>
          <w:tcPr>
            <w:tcW w:w="34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66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20" w:type="dxa"/>
            <w:vAlign w:val="bottom"/>
            <w:vMerge w:val="restart"/>
          </w:tcPr>
          <w:p>
            <w:pPr>
              <w:spacing w:after="0"/>
              <w:rPr>
                <w:sz w:val="18"/>
                <w:szCs w:val="18"/>
                <w:color w:val="auto"/>
              </w:rPr>
            </w:pPr>
          </w:p>
        </w:tc>
        <w:tc>
          <w:tcPr>
            <w:tcW w:w="64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80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84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20" w:type="dxa"/>
            <w:vAlign w:val="bottom"/>
            <w:vMerge w:val="restart"/>
          </w:tcPr>
          <w:p>
            <w:pPr>
              <w:spacing w:after="0"/>
              <w:rPr>
                <w:sz w:val="18"/>
                <w:szCs w:val="18"/>
                <w:color w:val="auto"/>
              </w:rPr>
            </w:pPr>
          </w:p>
        </w:tc>
        <w:tc>
          <w:tcPr>
            <w:tcW w:w="9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8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Anthony O’Sullivan,</w:t>
            </w:r>
          </w:p>
        </w:tc>
        <w:tc>
          <w:tcPr>
            <w:tcW w:w="20" w:type="dxa"/>
            <w:vAlign w:val="bottom"/>
            <w:vMerge w:val="continue"/>
          </w:tcPr>
          <w:p>
            <w:pPr>
              <w:spacing w:after="0"/>
              <w:rPr>
                <w:sz w:val="18"/>
                <w:szCs w:val="18"/>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2022</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475,000</w:t>
            </w:r>
          </w:p>
        </w:tc>
        <w:tc>
          <w:tcPr>
            <w:tcW w:w="16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178,125</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661,376</w:t>
            </w:r>
          </w:p>
        </w:tc>
        <w:tc>
          <w:tcPr>
            <w:tcW w:w="0" w:type="dxa"/>
            <w:vAlign w:val="bottom"/>
          </w:tcPr>
          <w:p>
            <w:pPr>
              <w:spacing w:after="0"/>
              <w:rPr>
                <w:sz w:val="1"/>
                <w:szCs w:val="1"/>
                <w:color w:val="auto"/>
              </w:rPr>
            </w:pPr>
          </w:p>
        </w:tc>
      </w:tr>
      <w:tr>
        <w:trPr>
          <w:trHeight w:val="207"/>
        </w:trPr>
        <w:tc>
          <w:tcPr>
            <w:tcW w:w="3640" w:type="dxa"/>
            <w:vAlign w:val="bottom"/>
            <w:gridSpan w:val="2"/>
            <w:shd w:val="clear" w:color="auto" w:fill="C7EAF2"/>
          </w:tcPr>
          <w:p>
            <w:pPr>
              <w:ind w:left="120"/>
              <w:spacing w:after="0"/>
              <w:rPr>
                <w:sz w:val="20"/>
                <w:szCs w:val="20"/>
                <w:color w:val="auto"/>
              </w:rPr>
            </w:pPr>
            <w:r>
              <w:rPr>
                <w:rFonts w:ascii="Times New Roman" w:cs="Times New Roman" w:eastAsia="Times New Roman" w:hAnsi="Times New Roman"/>
                <w:sz w:val="17"/>
                <w:szCs w:val="17"/>
                <w:i w:val="1"/>
                <w:iCs w:val="1"/>
                <w:color w:val="auto"/>
              </w:rPr>
              <w:t>Chief Development Officer</w:t>
            </w:r>
          </w:p>
        </w:tc>
        <w:tc>
          <w:tcPr>
            <w:tcW w:w="20" w:type="dxa"/>
            <w:vAlign w:val="bottom"/>
          </w:tcPr>
          <w:p>
            <w:pPr>
              <w:spacing w:after="0"/>
              <w:rPr>
                <w:sz w:val="18"/>
                <w:szCs w:val="18"/>
                <w:color w:val="auto"/>
              </w:rPr>
            </w:pPr>
          </w:p>
        </w:tc>
        <w:tc>
          <w:tcPr>
            <w:tcW w:w="480" w:type="dxa"/>
            <w:vAlign w:val="bottom"/>
            <w:gridSpan w:val="2"/>
            <w:shd w:val="clear" w:color="auto" w:fill="C7EAF2"/>
          </w:tcPr>
          <w:p>
            <w:pPr>
              <w:jc w:val="center"/>
              <w:ind w:right="140"/>
              <w:spacing w:after="0"/>
              <w:rPr>
                <w:sz w:val="20"/>
                <w:szCs w:val="20"/>
                <w:color w:val="auto"/>
              </w:rPr>
            </w:pPr>
            <w:r>
              <w:rPr>
                <w:rFonts w:ascii="Times New Roman" w:cs="Times New Roman" w:eastAsia="Times New Roman" w:hAnsi="Times New Roman"/>
                <w:sz w:val="17"/>
                <w:szCs w:val="17"/>
                <w:color w:val="auto"/>
                <w:w w:val="99"/>
              </w:rPr>
              <w:t>2021</w:t>
            </w:r>
          </w:p>
        </w:tc>
        <w:tc>
          <w:tcPr>
            <w:tcW w:w="6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475,000</w:t>
            </w:r>
          </w:p>
        </w:tc>
        <w:tc>
          <w:tcPr>
            <w:tcW w:w="16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166,250</w:t>
            </w:r>
          </w:p>
        </w:tc>
        <w:tc>
          <w:tcPr>
            <w:tcW w:w="140" w:type="dxa"/>
            <w:vAlign w:val="bottom"/>
            <w:shd w:val="clear" w:color="auto" w:fill="C7EAF2"/>
          </w:tcPr>
          <w:p>
            <w:pPr>
              <w:spacing w:after="0"/>
              <w:rPr>
                <w:sz w:val="18"/>
                <w:szCs w:val="18"/>
                <w:color w:val="auto"/>
              </w:rPr>
            </w:pP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60" w:type="dxa"/>
            <w:vAlign w:val="bottom"/>
            <w:shd w:val="clear" w:color="auto" w:fill="C7EAF2"/>
          </w:tcPr>
          <w:p>
            <w:pPr>
              <w:spacing w:after="0"/>
              <w:rPr>
                <w:sz w:val="18"/>
                <w:szCs w:val="18"/>
                <w:color w:val="auto"/>
              </w:rPr>
            </w:pPr>
          </w:p>
        </w:tc>
        <w:tc>
          <w:tcPr>
            <w:tcW w:w="8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4,539,262</w:t>
            </w:r>
          </w:p>
        </w:tc>
        <w:tc>
          <w:tcPr>
            <w:tcW w:w="140" w:type="dxa"/>
            <w:vAlign w:val="bottom"/>
            <w:shd w:val="clear" w:color="auto" w:fill="C7EAF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12,838</w:t>
            </w:r>
          </w:p>
        </w:tc>
        <w:tc>
          <w:tcPr>
            <w:tcW w:w="140" w:type="dxa"/>
            <w:vAlign w:val="bottom"/>
            <w:shd w:val="clear" w:color="auto" w:fill="C7EAF2"/>
          </w:tcPr>
          <w:p>
            <w:pPr>
              <w:spacing w:after="0"/>
              <w:rPr>
                <w:sz w:val="18"/>
                <w:szCs w:val="18"/>
                <w:color w:val="auto"/>
              </w:rPr>
            </w:pP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6,193,350</w:t>
            </w: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Craig Shesky</w:t>
            </w:r>
          </w:p>
        </w:tc>
        <w:tc>
          <w:tcPr>
            <w:tcW w:w="20" w:type="dxa"/>
            <w:vAlign w:val="bottom"/>
            <w:vMerge w:val="continue"/>
          </w:tcPr>
          <w:p>
            <w:pPr>
              <w:spacing w:after="0"/>
              <w:rPr>
                <w:sz w:val="18"/>
                <w:szCs w:val="18"/>
                <w:color w:val="auto"/>
              </w:rPr>
            </w:pPr>
          </w:p>
        </w:tc>
        <w:tc>
          <w:tcPr>
            <w:tcW w:w="480" w:type="dxa"/>
            <w:vAlign w:val="bottom"/>
            <w:gridSpan w:val="2"/>
            <w:shd w:val="clear" w:color="auto" w:fill="C7EAF2"/>
          </w:tcPr>
          <w:p>
            <w:pPr>
              <w:jc w:val="center"/>
              <w:ind w:right="140"/>
              <w:spacing w:after="0"/>
              <w:rPr>
                <w:sz w:val="20"/>
                <w:szCs w:val="20"/>
                <w:color w:val="auto"/>
              </w:rPr>
            </w:pPr>
            <w:r>
              <w:rPr>
                <w:rFonts w:ascii="Times New Roman" w:cs="Times New Roman" w:eastAsia="Times New Roman" w:hAnsi="Times New Roman"/>
                <w:sz w:val="17"/>
                <w:szCs w:val="17"/>
                <w:color w:val="auto"/>
                <w:w w:val="99"/>
              </w:rPr>
              <w:t>2022</w:t>
            </w:r>
          </w:p>
        </w:tc>
        <w:tc>
          <w:tcPr>
            <w:tcW w:w="66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350,000</w:t>
            </w:r>
          </w:p>
        </w:tc>
        <w:tc>
          <w:tcPr>
            <w:tcW w:w="160" w:type="dxa"/>
            <w:vAlign w:val="bottom"/>
            <w:shd w:val="clear" w:color="auto" w:fill="C7EAF2"/>
          </w:tcPr>
          <w:p>
            <w:pPr>
              <w:spacing w:after="0"/>
              <w:rPr>
                <w:sz w:val="18"/>
                <w:szCs w:val="18"/>
                <w:color w:val="auto"/>
              </w:rPr>
            </w:pPr>
          </w:p>
        </w:tc>
        <w:tc>
          <w:tcPr>
            <w:tcW w:w="20" w:type="dxa"/>
            <w:vAlign w:val="bottom"/>
            <w:vMerge w:val="continue"/>
          </w:tcPr>
          <w:p>
            <w:pPr>
              <w:spacing w:after="0"/>
              <w:rPr>
                <w:sz w:val="18"/>
                <w:szCs w:val="18"/>
                <w:color w:val="auto"/>
              </w:rPr>
            </w:pPr>
          </w:p>
        </w:tc>
        <w:tc>
          <w:tcPr>
            <w:tcW w:w="6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186,250</w:t>
            </w:r>
          </w:p>
        </w:tc>
        <w:tc>
          <w:tcPr>
            <w:tcW w:w="140" w:type="dxa"/>
            <w:vAlign w:val="bottom"/>
            <w:shd w:val="clear" w:color="auto" w:fill="C7EAF2"/>
          </w:tcPr>
          <w:p>
            <w:pPr>
              <w:spacing w:after="0"/>
              <w:rPr>
                <w:sz w:val="18"/>
                <w:szCs w:val="18"/>
                <w:color w:val="auto"/>
              </w:rPr>
            </w:pPr>
          </w:p>
        </w:tc>
        <w:tc>
          <w:tcPr>
            <w:tcW w:w="96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continue"/>
          </w:tcPr>
          <w:p>
            <w:pPr>
              <w:spacing w:after="0"/>
              <w:rPr>
                <w:sz w:val="18"/>
                <w:szCs w:val="18"/>
                <w:color w:val="auto"/>
              </w:rPr>
            </w:pPr>
          </w:p>
        </w:tc>
        <w:tc>
          <w:tcPr>
            <w:tcW w:w="9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32,339</w:t>
            </w:r>
          </w:p>
        </w:tc>
        <w:tc>
          <w:tcPr>
            <w:tcW w:w="140" w:type="dxa"/>
            <w:vAlign w:val="bottom"/>
            <w:shd w:val="clear" w:color="auto" w:fill="C7EAF2"/>
          </w:tcPr>
          <w:p>
            <w:pPr>
              <w:spacing w:after="0"/>
              <w:rPr>
                <w:sz w:val="18"/>
                <w:szCs w:val="18"/>
                <w:color w:val="auto"/>
              </w:rPr>
            </w:pP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605,256</w:t>
            </w:r>
          </w:p>
        </w:tc>
        <w:tc>
          <w:tcPr>
            <w:tcW w:w="0" w:type="dxa"/>
            <w:vAlign w:val="bottom"/>
          </w:tcPr>
          <w:p>
            <w:pPr>
              <w:spacing w:after="0"/>
              <w:rPr>
                <w:sz w:val="1"/>
                <w:szCs w:val="1"/>
                <w:color w:val="auto"/>
              </w:rPr>
            </w:pPr>
          </w:p>
        </w:tc>
      </w:tr>
      <w:tr>
        <w:trPr>
          <w:trHeight w:val="232"/>
        </w:trPr>
        <w:tc>
          <w:tcPr>
            <w:tcW w:w="3640" w:type="dxa"/>
            <w:vAlign w:val="bottom"/>
            <w:gridSpan w:val="2"/>
          </w:tcPr>
          <w:p>
            <w:pPr>
              <w:ind w:left="1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20" w:type="dxa"/>
            <w:vAlign w:val="bottom"/>
          </w:tcPr>
          <w:p>
            <w:pPr>
              <w:spacing w:after="0"/>
              <w:rPr>
                <w:sz w:val="20"/>
                <w:szCs w:val="20"/>
                <w:color w:val="auto"/>
              </w:rPr>
            </w:pPr>
          </w:p>
        </w:tc>
        <w:tc>
          <w:tcPr>
            <w:tcW w:w="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9"/>
              </w:rPr>
              <w:t>2021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234,896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82,214</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2,328,589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23,490</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3,419,188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53975</wp:posOffset>
                </wp:positionV>
                <wp:extent cx="1529715" cy="0"/>
                <wp:wrapNone/>
                <wp:docPr id="558" name="Shape 5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558" o:spid="_x0000_s15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4.25pt" to="120.6pt,4.25pt" o:allowincell="f" strokecolor="#000000" strokeweight="0.648pt"/>
            </w:pict>
          </mc:Fallback>
        </mc:AlternateContent>
      </w:r>
    </w:p>
    <w:p>
      <w:pPr>
        <w:spacing w:after="0" w:line="144" w:lineRule="exact"/>
        <w:rPr>
          <w:sz w:val="20"/>
          <w:szCs w:val="20"/>
          <w:color w:val="auto"/>
        </w:rPr>
      </w:pPr>
    </w:p>
    <w:p>
      <w:pPr>
        <w:jc w:val="both"/>
        <w:ind w:left="420" w:hanging="411"/>
        <w:spacing w:after="0" w:line="258" w:lineRule="auto"/>
        <w:tabs>
          <w:tab w:leader="none" w:pos="4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For the year ended December 31, 2022, the Company awarded an annual STIP bonus at 75% of target. The executives received their entire 2022 STIP bonus in the form of immediately vested RSUs. The number of RSUs granted was 369,549 units for Gerard Barron, 234,738 units for Anthony O’Sullivan, and 228,924 units for Craig Shesky. The RSUs will be granted on March 29, 2023 and the number of RSUs to be issued to each executive will be based on the closing price of our common shares on the approval date of $0.86. For the year ended December 31, 2021, the Company awarded an annual STIP bonus at 70% of target. The executives received their entire 2021 STIP bonus in the form of immediately vested RSUs. The number of RSUs granted was 180,869 units for Gerard Barron, 101,372 units for Anthony O’Sullivan, and 50,130 units for Craig Shesky. The RSUs were granted on February 2, 2022 and the number of RSUs received by each executive was based on the closing price of our common shares on the grant date of $1.64.</w:t>
      </w:r>
    </w:p>
    <w:p>
      <w:pPr>
        <w:spacing w:after="0" w:line="102" w:lineRule="exact"/>
        <w:rPr>
          <w:rFonts w:ascii="Times New Roman" w:cs="Times New Roman" w:eastAsia="Times New Roman" w:hAnsi="Times New Roman"/>
          <w:sz w:val="14"/>
          <w:szCs w:val="14"/>
          <w:color w:val="auto"/>
        </w:rPr>
      </w:pPr>
    </w:p>
    <w:p>
      <w:pPr>
        <w:jc w:val="both"/>
        <w:ind w:left="420" w:hanging="411"/>
        <w:spacing w:after="0" w:line="269" w:lineRule="auto"/>
        <w:tabs>
          <w:tab w:leader="none" w:pos="4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xml:space="preserve">Stock awards consists of RSUs granted during the year ended December 31, 2021. The grant date fair value is computed based on the closing market price on the date of grant in accordance with FASB ASC Topic 718, </w:t>
      </w:r>
      <w:r>
        <w:rPr>
          <w:rFonts w:ascii="Times New Roman" w:cs="Times New Roman" w:eastAsia="Times New Roman" w:hAnsi="Times New Roman"/>
          <w:sz w:val="16"/>
          <w:szCs w:val="16"/>
          <w:i w:val="1"/>
          <w:iCs w:val="1"/>
          <w:color w:val="auto"/>
        </w:rPr>
        <w:t>Compensation – Stock Compensation</w:t>
      </w:r>
      <w:r>
        <w:rPr>
          <w:rFonts w:ascii="Times New Roman" w:cs="Times New Roman" w:eastAsia="Times New Roman" w:hAnsi="Times New Roman"/>
          <w:sz w:val="16"/>
          <w:szCs w:val="16"/>
          <w:color w:val="auto"/>
        </w:rPr>
        <w:t xml:space="preserve"> (“ASC 718”). There were no stock awards granted in 2022.</w:t>
      </w:r>
    </w:p>
    <w:p>
      <w:pPr>
        <w:spacing w:after="0" w:line="107" w:lineRule="exact"/>
        <w:rPr>
          <w:rFonts w:ascii="Times New Roman" w:cs="Times New Roman" w:eastAsia="Times New Roman" w:hAnsi="Times New Roman"/>
          <w:sz w:val="14"/>
          <w:szCs w:val="14"/>
          <w:color w:val="auto"/>
        </w:rPr>
      </w:pPr>
    </w:p>
    <w:p>
      <w:pPr>
        <w:jc w:val="both"/>
        <w:ind w:left="420" w:hanging="411"/>
        <w:spacing w:after="0" w:line="301" w:lineRule="auto"/>
        <w:tabs>
          <w:tab w:leader="none" w:pos="42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amounts shown in this column represent the aggregate grant date fair value of the time-based stock option awards and performance-based stock option awards granted by DeepGreen prior to the Business Combination, computed in accordance with FASB ASC Topic 718. Under SEC rules, these performance-based option awards are valued based on the probable outcome of the performance conditions associated with these awards, which a portion was determined to be not probable at grant. As a result, the amount determined to be not probable at grant in respect to the performance-based stock options granted in 2021 has been excluded in the table above. The grant date fair value of these performance-based stock option awards, assuming the performance conditions are achieved in full, is $12,618,997 for Gerard Barron, $5,608,440 for Anthony O’Sullivan, and $1,402,106 for Craig Shesky. Additional information can be found in note 15 to the audited consolidated financial statements included in our annual report on Form 10-K for the year ended December 31, 2022. There were no stock option awards granted in 2022.</w:t>
      </w:r>
    </w:p>
    <w:p>
      <w:pPr>
        <w:spacing w:after="0" w:line="284" w:lineRule="exact"/>
        <w:rPr>
          <w:rFonts w:ascii="Times New Roman" w:cs="Times New Roman" w:eastAsia="Times New Roman" w:hAnsi="Times New Roman"/>
          <w:sz w:val="13"/>
          <w:szCs w:val="13"/>
          <w:color w:val="auto"/>
        </w:rPr>
      </w:pPr>
    </w:p>
    <w:p>
      <w:pPr>
        <w:ind w:left="420" w:right="20" w:hanging="411"/>
        <w:spacing w:after="0" w:line="284" w:lineRule="auto"/>
        <w:tabs>
          <w:tab w:leader="none" w:pos="4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Australian superannuation contributions made by TMC/DeepGreen during the years 2022 and 2021 for Anthony O’Sullivan and U.S. 401(k) benefits made by TMC/DeepGreen during the years 2022 and 2021 for Craig Shesky.</w:t>
      </w:r>
    </w:p>
    <w:p>
      <w:pPr>
        <w:sectPr>
          <w:pgSz w:w="12240" w:h="15840" w:orient="portrait"/>
          <w:cols w:equalWidth="0" w:num="1">
            <w:col w:w="9620"/>
          </w:cols>
          <w:pgMar w:left="1320" w:top="1337" w:right="130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59" name="Shape 5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559" o:spid="_x0000_s15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36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370">
                      <a:extLst>
                        <a:ext uri="{28A0092B-C50C-407E-A947-70E740481C1C}"/>
                      </a:extLst>
                    </a:blip>
                    <a:srcRect/>
                    <a:stretch>
                      <a:fillRect/>
                    </a:stretch>
                  </pic:blipFill>
                  <pic:spPr bwMode="auto">
                    <a:xfrm>
                      <a:off x="0" y="0"/>
                      <a:ext cx="5080" cy="13970"/>
                    </a:xfrm>
                    <a:prstGeom prst="rect">
                      <a:avLst/>
                    </a:prstGeom>
                    <a:noFill/>
                  </pic:spPr>
                </pic:pic>
              </a:graphicData>
            </a:graphic>
          </wp:anchor>
        </w:drawing>
        <w:t>Outstanding Equity Awards at 2022 Fiscal Year-End</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outstanding equity awards held by the NEOs as of December 31, 2022. The number of securities and exercise prices, as applicable, described in this section have been adjusted based on the exchange ratio calculated pursuant to the terms of the Business Combination Agreement to reflect the number of securities and exercise prices following the Business Combination.</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40"/>
              <w:spacing w:after="0" w:line="13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Market value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or</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shares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60" w:type="dxa"/>
            <w:vAlign w:val="bottom"/>
          </w:tcPr>
          <w:p>
            <w:pPr>
              <w:spacing w:after="0"/>
              <w:rPr>
                <w:sz w:val="12"/>
                <w:szCs w:val="12"/>
                <w:color w:val="auto"/>
              </w:rPr>
            </w:pPr>
          </w:p>
        </w:tc>
        <w:tc>
          <w:tcPr>
            <w:tcW w:w="68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5"/>
              </w:rPr>
              <w:t>Option</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units of stock</w:t>
            </w:r>
          </w:p>
        </w:tc>
        <w:tc>
          <w:tcPr>
            <w:tcW w:w="14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units of stock</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2"/>
                <w:szCs w:val="12"/>
                <w:color w:val="auto"/>
              </w:rPr>
            </w:pPr>
          </w:p>
        </w:tc>
        <w:tc>
          <w:tcPr>
            <w:tcW w:w="680" w:type="dxa"/>
            <w:vAlign w:val="bottom"/>
            <w:gridSpan w:val="3"/>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60" w:type="dxa"/>
            <w:vAlign w:val="bottom"/>
            <w:gridSpan w:val="2"/>
            <w:vMerge w:val="continue"/>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43"/>
        </w:trPr>
        <w:tc>
          <w:tcPr>
            <w:tcW w:w="32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9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Unexercisable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Price</w:t>
            </w:r>
          </w:p>
        </w:tc>
        <w:tc>
          <w:tcPr>
            <w:tcW w:w="9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vested</w:t>
            </w:r>
          </w:p>
        </w:tc>
        <w:tc>
          <w:tcPr>
            <w:tcW w:w="1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vested</w:t>
            </w:r>
          </w:p>
        </w:tc>
        <w:tc>
          <w:tcPr>
            <w:tcW w:w="0" w:type="dxa"/>
            <w:vAlign w:val="bottom"/>
          </w:tcPr>
          <w:p>
            <w:pPr>
              <w:spacing w:after="0"/>
              <w:rPr>
                <w:sz w:val="1"/>
                <w:szCs w:val="1"/>
                <w:color w:val="auto"/>
              </w:rPr>
            </w:pPr>
          </w:p>
        </w:tc>
      </w:tr>
      <w:tr>
        <w:trPr>
          <w:trHeight w:val="168"/>
        </w:trPr>
        <w:tc>
          <w:tcPr>
            <w:tcW w:w="326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4"/>
                <w:szCs w:val="14"/>
                <w:color w:val="auto"/>
              </w:rPr>
            </w:pPr>
          </w:p>
        </w:tc>
        <w:tc>
          <w:tcPr>
            <w:tcW w:w="840" w:type="dxa"/>
            <w:vAlign w:val="bottom"/>
          </w:tcPr>
          <w:p>
            <w:pPr>
              <w:jc w:val="center"/>
              <w:spacing w:after="0" w:line="168"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19"/>
                <w:szCs w:val="19"/>
                <w:b w:val="1"/>
                <w:bCs w:val="1"/>
                <w:color w:val="auto"/>
                <w:w w:val="93"/>
                <w:vertAlign w:val="superscript"/>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tcPr>
          <w:p>
            <w:pPr>
              <w:jc w:val="center"/>
              <w:spacing w:after="0" w:line="168"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19"/>
                <w:szCs w:val="19"/>
                <w:b w:val="1"/>
                <w:bCs w:val="1"/>
                <w:color w:val="auto"/>
                <w:w w:val="93"/>
                <w:vertAlign w:val="superscript"/>
              </w:rPr>
              <w:t>(2)</w:t>
            </w:r>
          </w:p>
        </w:tc>
        <w:tc>
          <w:tcPr>
            <w:tcW w:w="960" w:type="dxa"/>
            <w:vAlign w:val="bottom"/>
            <w:gridSpan w:val="2"/>
          </w:tcPr>
          <w:p>
            <w:pPr>
              <w:jc w:val="center"/>
              <w:ind w:left="39"/>
              <w:spacing w:after="0" w:line="168"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19"/>
                <w:szCs w:val="19"/>
                <w:b w:val="1"/>
                <w:bCs w:val="1"/>
                <w:color w:val="auto"/>
                <w:w w:val="93"/>
                <w:vertAlign w:val="superscript"/>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Gerard Barron</w:t>
            </w:r>
          </w:p>
        </w:tc>
        <w:tc>
          <w:tcPr>
            <w:tcW w:w="140" w:type="dxa"/>
            <w:vAlign w:val="bottom"/>
            <w:tcBorders>
              <w:top w:val="single" w:sz="8" w:color="C7EAF2"/>
            </w:tcBorders>
            <w:shd w:val="clear" w:color="auto" w:fill="C7EAF2"/>
          </w:tcPr>
          <w:p>
            <w:pPr>
              <w:spacing w:after="0"/>
              <w:rPr>
                <w:sz w:val="17"/>
                <w:szCs w:val="17"/>
                <w:color w:val="auto"/>
              </w:rPr>
            </w:pPr>
          </w:p>
        </w:tc>
        <w:tc>
          <w:tcPr>
            <w:tcW w:w="80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05/16/2019</w:t>
            </w:r>
          </w:p>
        </w:tc>
        <w:tc>
          <w:tcPr>
            <w:tcW w:w="140" w:type="dxa"/>
            <w:vAlign w:val="bottom"/>
            <w:tcBorders>
              <w:top w:val="single" w:sz="8" w:color="C7EAF2"/>
            </w:tcBorders>
            <w:shd w:val="clear" w:color="auto" w:fill="C7EAF2"/>
          </w:tcPr>
          <w:p>
            <w:pPr>
              <w:spacing w:after="0"/>
              <w:rPr>
                <w:sz w:val="17"/>
                <w:szCs w:val="17"/>
                <w:color w:val="auto"/>
              </w:rPr>
            </w:pPr>
          </w:p>
        </w:tc>
        <w:tc>
          <w:tcPr>
            <w:tcW w:w="8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3,473,586</w:t>
            </w:r>
          </w:p>
        </w:tc>
        <w:tc>
          <w:tcPr>
            <w:tcW w:w="140" w:type="dxa"/>
            <w:vAlign w:val="bottom"/>
            <w:tcBorders>
              <w:top w:val="single" w:sz="8" w:color="C7EAF2"/>
            </w:tcBorders>
            <w:shd w:val="clear" w:color="auto" w:fill="C7EAF2"/>
          </w:tcPr>
          <w:p>
            <w:pPr>
              <w:spacing w:after="0"/>
              <w:rPr>
                <w:sz w:val="17"/>
                <w:szCs w:val="17"/>
                <w:color w:val="auto"/>
              </w:rPr>
            </w:pPr>
          </w:p>
        </w:tc>
        <w:tc>
          <w:tcPr>
            <w:tcW w:w="8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7EAF2"/>
            </w:tcBorders>
            <w:shd w:val="clear" w:color="auto" w:fill="C7EAF2"/>
          </w:tcPr>
          <w:p>
            <w:pPr>
              <w:spacing w:after="0"/>
              <w:rPr>
                <w:sz w:val="17"/>
                <w:szCs w:val="17"/>
                <w:color w:val="auto"/>
              </w:rPr>
            </w:pPr>
          </w:p>
        </w:tc>
        <w:tc>
          <w:tcPr>
            <w:tcW w:w="1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Borders>
              <w:top w:val="single" w:sz="8" w:color="C7EAF2"/>
            </w:tcBorders>
            <w:shd w:val="clear" w:color="auto" w:fill="C7EAF2"/>
          </w:tcPr>
          <w:p>
            <w:pPr>
              <w:spacing w:after="0"/>
              <w:rPr>
                <w:sz w:val="17"/>
                <w:szCs w:val="17"/>
                <w:color w:val="auto"/>
              </w:rPr>
            </w:pPr>
          </w:p>
        </w:tc>
        <w:tc>
          <w:tcPr>
            <w:tcW w:w="820" w:type="dxa"/>
            <w:vAlign w:val="bottom"/>
            <w:tcBorders>
              <w:top w:val="single" w:sz="8" w:color="auto"/>
            </w:tcBorders>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06/01/2028</w:t>
            </w:r>
          </w:p>
        </w:tc>
        <w:tc>
          <w:tcPr>
            <w:tcW w:w="140" w:type="dxa"/>
            <w:vAlign w:val="bottom"/>
            <w:tcBorders>
              <w:top w:val="single" w:sz="8" w:color="C7EAF2"/>
            </w:tcBorders>
            <w:shd w:val="clear" w:color="auto" w:fill="C7EAF2"/>
          </w:tcPr>
          <w:p>
            <w:pPr>
              <w:spacing w:after="0"/>
              <w:rPr>
                <w:sz w:val="17"/>
                <w:szCs w:val="17"/>
                <w:color w:val="auto"/>
              </w:rPr>
            </w:pPr>
          </w:p>
        </w:tc>
        <w:tc>
          <w:tcPr>
            <w:tcW w:w="88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7EAF2"/>
            </w:tcBorders>
            <w:shd w:val="clear" w:color="auto" w:fill="C7EAF2"/>
          </w:tcPr>
          <w:p>
            <w:pPr>
              <w:spacing w:after="0"/>
              <w:rPr>
                <w:sz w:val="17"/>
                <w:szCs w:val="17"/>
                <w:color w:val="auto"/>
              </w:rPr>
            </w:pPr>
          </w:p>
        </w:tc>
        <w:tc>
          <w:tcPr>
            <w:tcW w:w="8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03/04/2021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604,458</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2,275,334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06/01/2028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8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11/22/2021</w:t>
            </w:r>
          </w:p>
        </w:tc>
        <w:tc>
          <w:tcPr>
            <w:tcW w:w="140" w:type="dxa"/>
            <w:vAlign w:val="bottom"/>
            <w:shd w:val="clear" w:color="auto" w:fill="C7EAF2"/>
          </w:tcPr>
          <w:p>
            <w:pPr>
              <w:spacing w:after="0"/>
              <w:rPr>
                <w:sz w:val="18"/>
                <w:szCs w:val="18"/>
                <w:color w:val="auto"/>
              </w:rPr>
            </w:pPr>
          </w:p>
        </w:tc>
        <w:tc>
          <w:tcPr>
            <w:tcW w:w="9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58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7EAF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520,833</w:t>
            </w:r>
          </w:p>
        </w:tc>
        <w:tc>
          <w:tcPr>
            <w:tcW w:w="96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401,042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Anthony O’Sullivan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05/16/2019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466,965</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06/01/2028</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8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03/04/2021</w:t>
            </w:r>
          </w:p>
        </w:tc>
        <w:tc>
          <w:tcPr>
            <w:tcW w:w="140" w:type="dxa"/>
            <w:vAlign w:val="bottom"/>
            <w:shd w:val="clear" w:color="auto" w:fill="C7EAF2"/>
          </w:tcPr>
          <w:p>
            <w:pPr>
              <w:spacing w:after="0"/>
              <w:rPr>
                <w:sz w:val="18"/>
                <w:szCs w:val="18"/>
                <w:color w:val="auto"/>
              </w:rPr>
            </w:pP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218,707</w:t>
            </w:r>
          </w:p>
        </w:tc>
        <w:tc>
          <w:tcPr>
            <w:tcW w:w="140" w:type="dxa"/>
            <w:vAlign w:val="bottom"/>
            <w:shd w:val="clear" w:color="auto" w:fill="C7EAF2"/>
          </w:tcPr>
          <w:p>
            <w:pPr>
              <w:spacing w:after="0"/>
              <w:rPr>
                <w:sz w:val="18"/>
                <w:szCs w:val="18"/>
                <w:color w:val="auto"/>
              </w:rPr>
            </w:pPr>
          </w:p>
        </w:tc>
        <w:tc>
          <w:tcPr>
            <w:tcW w:w="8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1,011,259</w:t>
            </w: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4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shd w:val="clear" w:color="auto" w:fill="C7EAF2"/>
          </w:tcPr>
          <w:p>
            <w:pPr>
              <w:spacing w:after="0"/>
              <w:rPr>
                <w:sz w:val="18"/>
                <w:szCs w:val="18"/>
                <w:color w:val="auto"/>
              </w:rPr>
            </w:pPr>
          </w:p>
        </w:tc>
        <w:tc>
          <w:tcPr>
            <w:tcW w:w="82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06/01/2028</w:t>
            </w:r>
          </w:p>
        </w:tc>
        <w:tc>
          <w:tcPr>
            <w:tcW w:w="140" w:type="dxa"/>
            <w:vAlign w:val="bottom"/>
            <w:shd w:val="clear" w:color="auto" w:fill="C7EAF2"/>
          </w:tcPr>
          <w:p>
            <w:pPr>
              <w:spacing w:after="0"/>
              <w:rPr>
                <w:sz w:val="18"/>
                <w:szCs w:val="18"/>
                <w:color w:val="auto"/>
              </w:rPr>
            </w:pPr>
          </w:p>
        </w:tc>
        <w:tc>
          <w:tcPr>
            <w:tcW w:w="8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7EAF2"/>
          </w:tcPr>
          <w:p>
            <w:pPr>
              <w:spacing w:after="0"/>
              <w:rPr>
                <w:sz w:val="18"/>
                <w:szCs w:val="18"/>
                <w:color w:val="auto"/>
              </w:rPr>
            </w:pPr>
          </w:p>
        </w:tc>
        <w:tc>
          <w:tcPr>
            <w:tcW w:w="8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11/22/2021</w:t>
            </w:r>
          </w:p>
        </w:tc>
        <w:tc>
          <w:tcPr>
            <w:tcW w:w="14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160,417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4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Craig Shesky</w:t>
            </w:r>
          </w:p>
        </w:tc>
        <w:tc>
          <w:tcPr>
            <w:tcW w:w="8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03/04/2021</w:t>
            </w:r>
          </w:p>
        </w:tc>
        <w:tc>
          <w:tcPr>
            <w:tcW w:w="140" w:type="dxa"/>
            <w:vAlign w:val="bottom"/>
            <w:shd w:val="clear" w:color="auto" w:fill="C7EAF2"/>
          </w:tcPr>
          <w:p>
            <w:pPr>
              <w:spacing w:after="0"/>
              <w:rPr>
                <w:sz w:val="18"/>
                <w:szCs w:val="18"/>
                <w:color w:val="auto"/>
              </w:rPr>
            </w:pPr>
          </w:p>
        </w:tc>
        <w:tc>
          <w:tcPr>
            <w:tcW w:w="8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135,084</w:t>
            </w:r>
          </w:p>
        </w:tc>
        <w:tc>
          <w:tcPr>
            <w:tcW w:w="140" w:type="dxa"/>
            <w:vAlign w:val="bottom"/>
            <w:shd w:val="clear" w:color="auto" w:fill="C7EAF2"/>
          </w:tcPr>
          <w:p>
            <w:pPr>
              <w:spacing w:after="0"/>
              <w:rPr>
                <w:sz w:val="18"/>
                <w:szCs w:val="18"/>
                <w:color w:val="auto"/>
              </w:rPr>
            </w:pPr>
          </w:p>
        </w:tc>
        <w:tc>
          <w:tcPr>
            <w:tcW w:w="84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shd w:val="clear" w:color="auto" w:fill="C7EAF2"/>
          </w:tcPr>
          <w:p>
            <w:pPr>
              <w:spacing w:after="0"/>
              <w:rPr>
                <w:sz w:val="18"/>
                <w:szCs w:val="18"/>
                <w:color w:val="auto"/>
              </w:rPr>
            </w:pPr>
          </w:p>
        </w:tc>
        <w:tc>
          <w:tcPr>
            <w:tcW w:w="82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06/01/2028</w:t>
            </w:r>
          </w:p>
        </w:tc>
        <w:tc>
          <w:tcPr>
            <w:tcW w:w="140" w:type="dxa"/>
            <w:vAlign w:val="bottom"/>
            <w:shd w:val="clear" w:color="auto" w:fill="C7EAF2"/>
          </w:tcPr>
          <w:p>
            <w:pPr>
              <w:spacing w:after="0"/>
              <w:rPr>
                <w:sz w:val="18"/>
                <w:szCs w:val="18"/>
                <w:color w:val="auto"/>
              </w:rPr>
            </w:pPr>
          </w:p>
        </w:tc>
        <w:tc>
          <w:tcPr>
            <w:tcW w:w="8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7EAF2"/>
          </w:tcPr>
          <w:p>
            <w:pPr>
              <w:spacing w:after="0"/>
              <w:rPr>
                <w:sz w:val="18"/>
                <w:szCs w:val="18"/>
                <w:color w:val="auto"/>
              </w:rPr>
            </w:pPr>
          </w:p>
        </w:tc>
        <w:tc>
          <w:tcPr>
            <w:tcW w:w="8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03/04/2021</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270,167</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06/01/2028</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100" w:type="dxa"/>
            <w:vAlign w:val="bottom"/>
            <w:shd w:val="clear" w:color="auto" w:fill="C7EAF2"/>
          </w:tcPr>
          <w:p>
            <w:pPr>
              <w:spacing w:after="0"/>
              <w:rPr>
                <w:sz w:val="18"/>
                <w:szCs w:val="18"/>
                <w:color w:val="auto"/>
              </w:rPr>
            </w:pPr>
          </w:p>
        </w:tc>
        <w:tc>
          <w:tcPr>
            <w:tcW w:w="140" w:type="dxa"/>
            <w:vAlign w:val="bottom"/>
            <w:shd w:val="clear" w:color="auto" w:fill="C7EAF2"/>
          </w:tcPr>
          <w:p>
            <w:pPr>
              <w:spacing w:after="0"/>
              <w:rPr>
                <w:sz w:val="18"/>
                <w:szCs w:val="18"/>
                <w:color w:val="auto"/>
              </w:rPr>
            </w:pPr>
          </w:p>
        </w:tc>
        <w:tc>
          <w:tcPr>
            <w:tcW w:w="80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03/04/2021</w:t>
            </w:r>
          </w:p>
        </w:tc>
        <w:tc>
          <w:tcPr>
            <w:tcW w:w="140" w:type="dxa"/>
            <w:vAlign w:val="bottom"/>
            <w:shd w:val="clear" w:color="auto" w:fill="C7EAF2"/>
          </w:tcPr>
          <w:p>
            <w:pPr>
              <w:spacing w:after="0"/>
              <w:rPr>
                <w:sz w:val="18"/>
                <w:szCs w:val="18"/>
                <w:color w:val="auto"/>
              </w:rPr>
            </w:pPr>
          </w:p>
        </w:tc>
        <w:tc>
          <w:tcPr>
            <w:tcW w:w="940" w:type="dxa"/>
            <w:vAlign w:val="bottom"/>
            <w:gridSpan w:val="2"/>
            <w:shd w:val="clear" w:color="auto" w:fill="C7EAF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252,814</w:t>
            </w:r>
          </w:p>
        </w:tc>
        <w:tc>
          <w:tcPr>
            <w:tcW w:w="160" w:type="dxa"/>
            <w:vAlign w:val="bottom"/>
            <w:shd w:val="clear" w:color="auto" w:fill="C7EAF2"/>
          </w:tcPr>
          <w:p>
            <w:pPr>
              <w:spacing w:after="0"/>
              <w:rPr>
                <w:sz w:val="18"/>
                <w:szCs w:val="18"/>
                <w:color w:val="auto"/>
              </w:rPr>
            </w:pPr>
          </w:p>
        </w:tc>
        <w:tc>
          <w:tcPr>
            <w:tcW w:w="100" w:type="dxa"/>
            <w:vAlign w:val="bottom"/>
            <w:shd w:val="clear" w:color="auto" w:fill="C7EAF2"/>
          </w:tcPr>
          <w:p>
            <w:pPr>
              <w:spacing w:after="0"/>
              <w:rPr>
                <w:sz w:val="18"/>
                <w:szCs w:val="18"/>
                <w:color w:val="auto"/>
              </w:rPr>
            </w:pPr>
          </w:p>
        </w:tc>
        <w:tc>
          <w:tcPr>
            <w:tcW w:w="4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0.65</w:t>
            </w:r>
          </w:p>
        </w:tc>
        <w:tc>
          <w:tcPr>
            <w:tcW w:w="140" w:type="dxa"/>
            <w:vAlign w:val="bottom"/>
            <w:shd w:val="clear" w:color="auto" w:fill="C7EAF2"/>
          </w:tcPr>
          <w:p>
            <w:pPr>
              <w:spacing w:after="0"/>
              <w:rPr>
                <w:sz w:val="18"/>
                <w:szCs w:val="18"/>
                <w:color w:val="auto"/>
              </w:rPr>
            </w:pPr>
          </w:p>
        </w:tc>
        <w:tc>
          <w:tcPr>
            <w:tcW w:w="820" w:type="dxa"/>
            <w:vAlign w:val="bottom"/>
            <w:shd w:val="clear" w:color="auto" w:fill="C7EAF2"/>
          </w:tcPr>
          <w:p>
            <w:pPr>
              <w:jc w:val="center"/>
              <w:spacing w:after="0"/>
              <w:rPr>
                <w:sz w:val="20"/>
                <w:szCs w:val="20"/>
                <w:color w:val="auto"/>
              </w:rPr>
            </w:pPr>
            <w:r>
              <w:rPr>
                <w:rFonts w:ascii="Times New Roman" w:cs="Times New Roman" w:eastAsia="Times New Roman" w:hAnsi="Times New Roman"/>
                <w:sz w:val="17"/>
                <w:szCs w:val="17"/>
                <w:color w:val="auto"/>
              </w:rPr>
              <w:t>06/01/2028</w:t>
            </w:r>
          </w:p>
        </w:tc>
        <w:tc>
          <w:tcPr>
            <w:tcW w:w="140" w:type="dxa"/>
            <w:vAlign w:val="bottom"/>
            <w:shd w:val="clear" w:color="auto" w:fill="C7EAF2"/>
          </w:tcPr>
          <w:p>
            <w:pPr>
              <w:spacing w:after="0"/>
              <w:rPr>
                <w:sz w:val="18"/>
                <w:szCs w:val="18"/>
                <w:color w:val="auto"/>
              </w:rPr>
            </w:pPr>
          </w:p>
        </w:tc>
        <w:tc>
          <w:tcPr>
            <w:tcW w:w="88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7EAF2"/>
          </w:tcPr>
          <w:p>
            <w:pPr>
              <w:spacing w:after="0"/>
              <w:rPr>
                <w:sz w:val="18"/>
                <w:szCs w:val="18"/>
                <w:color w:val="auto"/>
              </w:rPr>
            </w:pPr>
          </w:p>
        </w:tc>
        <w:tc>
          <w:tcPr>
            <w:tcW w:w="8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11/22/2021</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120,313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53975</wp:posOffset>
                </wp:positionV>
                <wp:extent cx="1529715" cy="0"/>
                <wp:wrapNone/>
                <wp:docPr id="562" name="Shape 5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562" o:spid="_x0000_s15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4.25pt" to="120.6pt,4.25pt" o:allowincell="f" strokecolor="#000000" strokeweight="0.648pt"/>
            </w:pict>
          </mc:Fallback>
        </mc:AlternateContent>
      </w:r>
    </w:p>
    <w:p>
      <w:pPr>
        <w:spacing w:after="0" w:line="144" w:lineRule="exact"/>
        <w:rPr>
          <w:sz w:val="20"/>
          <w:szCs w:val="20"/>
          <w:color w:val="auto"/>
        </w:rPr>
      </w:pPr>
    </w:p>
    <w:p>
      <w:pPr>
        <w:jc w:val="both"/>
        <w:ind w:left="320" w:hanging="311"/>
        <w:spacing w:after="0" w:line="324" w:lineRule="auto"/>
        <w:tabs>
          <w:tab w:leader="none" w:pos="32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138" w:lineRule="exact"/>
        <w:rPr>
          <w:rFonts w:ascii="Times New Roman" w:cs="Times New Roman" w:eastAsia="Times New Roman" w:hAnsi="Times New Roman"/>
          <w:sz w:val="13"/>
          <w:szCs w:val="13"/>
          <w:color w:val="auto"/>
        </w:rPr>
      </w:pPr>
    </w:p>
    <w:p>
      <w:pPr>
        <w:ind w:left="320" w:hanging="311"/>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Stock awards consists of RSUs that were granted on November 22, 2021 and vest one third on each anniversary of the grant date.</w:t>
      </w:r>
    </w:p>
    <w:p>
      <w:pPr>
        <w:spacing w:after="0" w:line="217" w:lineRule="exact"/>
        <w:rPr>
          <w:rFonts w:ascii="Times New Roman" w:cs="Times New Roman" w:eastAsia="Times New Roman" w:hAnsi="Times New Roman"/>
          <w:sz w:val="14"/>
          <w:szCs w:val="14"/>
          <w:color w:val="auto"/>
        </w:rPr>
      </w:pPr>
    </w:p>
    <w:p>
      <w:pPr>
        <w:ind w:left="320" w:hanging="311"/>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Market value of shares based on TMC’s closing market share price at December 31, 2022.</w:t>
      </w:r>
    </w:p>
    <w:p>
      <w:pPr>
        <w:spacing w:after="0" w:line="217" w:lineRule="exact"/>
        <w:rPr>
          <w:rFonts w:ascii="Times New Roman" w:cs="Times New Roman" w:eastAsia="Times New Roman" w:hAnsi="Times New Roman"/>
          <w:sz w:val="14"/>
          <w:szCs w:val="14"/>
          <w:color w:val="auto"/>
        </w:rPr>
      </w:pPr>
    </w:p>
    <w:p>
      <w:pPr>
        <w:ind w:left="320" w:hanging="311"/>
        <w:spacing w:after="0"/>
        <w:tabs>
          <w:tab w:leader="none" w:pos="3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These stock options vest as follows: 135,084 units on February 20, 2023 and 135,084 units on February 20,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Compensation and Benefits</w:t>
      </w:r>
    </w:p>
    <w:p>
      <w:pPr>
        <w:spacing w:after="0" w:line="222"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We believe that establishing a competitive benefit package consistent with companies with which we compete for employees is an important factor in attracting and retaining talented employees. Thus, we provide our Named Executive Officers with employee benefits on the same basis as offered to our full time non-executive employees, including health and dental benefits and a 401(k) plan (or equivalent as determined by employee’s jurisdiction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Arrangements</w:t>
      </w:r>
    </w:p>
    <w:p>
      <w:pPr>
        <w:spacing w:after="0" w:line="222" w:lineRule="exact"/>
        <w:rPr>
          <w:sz w:val="20"/>
          <w:szCs w:val="20"/>
          <w:color w:val="auto"/>
        </w:rPr>
      </w:pPr>
    </w:p>
    <w:p>
      <w:pPr>
        <w:jc w:val="both"/>
        <w:ind w:firstLine="311"/>
        <w:spacing w:after="0" w:line="273" w:lineRule="auto"/>
        <w:rPr>
          <w:sz w:val="20"/>
          <w:szCs w:val="20"/>
          <w:color w:val="auto"/>
        </w:rPr>
      </w:pPr>
      <w:r>
        <w:rPr>
          <w:rFonts w:ascii="Times New Roman" w:cs="Times New Roman" w:eastAsia="Times New Roman" w:hAnsi="Times New Roman"/>
          <w:sz w:val="17"/>
          <w:szCs w:val="17"/>
          <w:color w:val="auto"/>
        </w:rPr>
        <w:t>We have employment agreements with our NEOs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370"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Mr. Barron began his current position as our Chief Executive Officer in January 2018 with DeepGreen. Mr. O’Sullivan began his current position as our Chief Development Officer in July 2017 with DeepGreen. Mr. Shesky began his current position as our Chief Financial Officer in May 2021 with DeepGreen.</w:t>
      </w:r>
    </w:p>
    <w:p>
      <w:pPr>
        <w:sectPr>
          <w:pgSz w:w="12240" w:h="15840" w:orient="portrait"/>
          <w:cols w:equalWidth="0" w:num="1">
            <w:col w:w="9620"/>
          </w:cols>
          <w:pgMar w:left="1320" w:top="1334" w:right="130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63" name="Shape 5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63" o:spid="_x0000_s15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37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372">
                      <a:extLst>
                        <a:ext uri="{28A0092B-C50C-407E-A947-70E740481C1C}"/>
                      </a:extLst>
                    </a:blip>
                    <a:srcRect/>
                    <a:stretch>
                      <a:fillRect/>
                    </a:stretch>
                  </pic:blipFill>
                  <pic:spPr bwMode="auto">
                    <a:xfrm>
                      <a:off x="0" y="0"/>
                      <a:ext cx="5080" cy="13970"/>
                    </a:xfrm>
                    <a:prstGeom prst="rect">
                      <a:avLst/>
                    </a:prstGeom>
                    <a:noFill/>
                  </pic:spPr>
                </pic:pic>
              </a:graphicData>
            </a:graphic>
          </wp:anchor>
        </w:drawing>
        <w:t>Gerard Barron</w:t>
      </w:r>
    </w:p>
    <w:p>
      <w:pPr>
        <w:spacing w:after="0" w:line="218" w:lineRule="exact"/>
        <w:rPr>
          <w:sz w:val="20"/>
          <w:szCs w:val="20"/>
          <w:color w:val="auto"/>
        </w:rPr>
      </w:pPr>
    </w:p>
    <w:p>
      <w:pPr>
        <w:jc w:val="both"/>
        <w:ind w:firstLine="312"/>
        <w:spacing w:after="0" w:line="259" w:lineRule="auto"/>
        <w:rPr>
          <w:sz w:val="20"/>
          <w:szCs w:val="20"/>
          <w:color w:val="auto"/>
        </w:rPr>
      </w:pPr>
      <w:r>
        <w:rPr>
          <w:rFonts w:ascii="Times New Roman" w:cs="Times New Roman" w:eastAsia="Times New Roman" w:hAnsi="Times New Roman"/>
          <w:sz w:val="17"/>
          <w:szCs w:val="17"/>
          <w:color w:val="auto"/>
        </w:rPr>
        <w:t>DeepGreen entered into an employment agreement with Mr. Barron, who accepted and commenced his role as DeepGreen’s Chief Executive Officer on the agreement effective date, January 1, 2018 (the “Barron Employment Agreement”). Under the Barron Employment Agreement, Mr. Barron’s initial annual base salary was $450,000, which DeepGreen agreed to review on a year-to-year basis, in accordance with DeepGreen’s payroll practices. Mr. Barron’s current annual base salary is $565,000. In addition, DeepGreen issued Mr. Barron up to 187,500 common shares, upon the execution of the Barron Employment Agreement, to be paid in lieu of cash for services provided by Mr. Barron from July 2017 through November 2017. Mr. Barron is eligible to participate in our benefit plans and to be considered for an annual performance incentive bonus, to be granted at the discretion of the board of directors on a year-to-year basis (the “Employment Bonus”). Under the Barron Employment Agreement, if Mr. Barron is deemed eligible to receive an Employment Bonus for a particular year, then the terms of such Employment Bonus shall be provided under a separate agreement and paid as soon as practicable after the first quarter of the first financial year following the year that Mr. Barron earns such bonus.</w:t>
      </w:r>
    </w:p>
    <w:p>
      <w:pPr>
        <w:spacing w:after="0" w:line="172" w:lineRule="exact"/>
        <w:rPr>
          <w:sz w:val="20"/>
          <w:szCs w:val="20"/>
          <w:color w:val="auto"/>
        </w:rPr>
      </w:pPr>
    </w:p>
    <w:p>
      <w:pPr>
        <w:jc w:val="both"/>
        <w:ind w:firstLine="312"/>
        <w:spacing w:after="0" w:line="254" w:lineRule="auto"/>
        <w:rPr>
          <w:sz w:val="20"/>
          <w:szCs w:val="20"/>
          <w:color w:val="auto"/>
        </w:rPr>
      </w:pPr>
      <w:r>
        <w:rPr>
          <w:rFonts w:ascii="Times New Roman" w:cs="Times New Roman" w:eastAsia="Times New Roman" w:hAnsi="Times New Roman"/>
          <w:sz w:val="17"/>
          <w:szCs w:val="17"/>
          <w:color w:val="auto"/>
        </w:rPr>
        <w:t>Pursuant to the Barron Employment Agreement, Mr. Barron also received an option grant for 3,473,586 shares of common shares, at an exercise price of $0.65 per share, subject to the terms and conditions set forth in a stock option agreement between the parties, dated July 23, 2018 (the “Barron Stock Option Agreement”). Under the Barron Stock Option Agreement, the parties agreed that (i) 2,894,655 options would be issued as part of DeepGreen’s Long-Term Incentive Plan, with (x) 60% of such shares vesting in equal 20% installments on each of January 1, 2019, January 1, 2020 and January 1, 2021, and (y) 20% of such shares vesting upon the DeepGreen raising $20,000,000 in cash following the date of grant and (z) 20% of such shares vesting upon DeepGreen raising a total of $40,000,000 in cash following the date of grant, provided that Mr. Barron remained an employee of DeepGreen on such dates, and (ii) 578,931 options would be issued as part of Mr. Barron’s board of directors remuneration, with 50% of such shares vesting as of the grant date and 50% of such shares vesting as of January 1, 2019. This option is currently fully vested and exercisable for all of the 3,473,586 common shares. Any vested options under the Barron Stock Option Agreement are set to expire on June 1, 2028. All stock options granted to Mr. Barron are governed by the terms of the DeepGreen Plan (as defined below), as well as the Barron Stock Option Agreement. In the event that Mr. Barron’s employment with DeepGreen is terminated without cause, Mr. Barron will receive a payment equal to either (i) 3 months of his then annual base salary, or (ii) in the event that DeepGreen had raised (y) $20,000,000 in equity as of January 1, 2018 and</w:t>
      </w:r>
    </w:p>
    <w:p>
      <w:pPr>
        <w:spacing w:after="0" w:line="6" w:lineRule="exact"/>
        <w:rPr>
          <w:sz w:val="20"/>
          <w:szCs w:val="20"/>
          <w:color w:val="auto"/>
        </w:rPr>
      </w:pPr>
    </w:p>
    <w:p>
      <w:pPr>
        <w:jc w:val="both"/>
        <w:ind w:firstLine="10"/>
        <w:spacing w:after="0" w:line="265" w:lineRule="auto"/>
        <w:tabs>
          <w:tab w:leader="none" w:pos="253"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DeepGreen has greater than $10,000,000 cash-on-hand as of the date of such termination, then Mr. Barron shall receive an amount equal to 12 months of his base salary as a salary continuance in accordance with the Barron Employment Agreement and DeepGreen’s standard monthly payroll practices (the “Barron Severance Benefits”). In the event that, following a change of control of DeepGreen, Mr. Barron is terminated without “cause” or resigns as a result of a “triggering event,” Mr. Baron will also be eligible to receive the Barron Severance Benefits.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Anthony O’Sullivan</w:t>
      </w:r>
    </w:p>
    <w:p>
      <w:pPr>
        <w:spacing w:after="0" w:line="218"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May 8, 2022, our subsidiary, The Metals Company Australia Pty. Ltd, entered into an amended and restated employment agreement with Mr. O’Sullivan in connection with his continued role as our Chief Development Officer, a role he started in July 2017 with DeepGreen (the “O’Sullivan Employment Agreement”). Under the O’Sullivan Employment Agreement, Mr. O’Sullivan will receive an annual base salary of $670,985 AUD ($475,000 USD), which will be reviewed annually by our Chief Executive Officer. In addition, Mr. O’Sullivan is eligible to participate in our LTIP, subject to the combination of his achieving certain individual performance objectives, and achievement of certain company-based financial results. Mr. O’Sullivan is eligible to participate in our benefit plans and to be considered for an annual performance incentive bonus targeted at 50% of his annual base salary, to be granted at the discretion of the board of directors on a year-to-year basis (the “O’Sullivan Employment Bonus”). The O’Sullivan Employment Agreement has an indefinite term.</w:t>
      </w:r>
    </w:p>
    <w:p>
      <w:pPr>
        <w:spacing w:after="0" w:line="172"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In general, during his employment and for a period of six months thereafter, Mr. O’Sullivan is prohibited from (a) competing with us within Australia; (b) soliciting our customers for a competing business; and (c) soliciting our employees for a competing business.</w:t>
      </w:r>
    </w:p>
    <w:p>
      <w:pPr>
        <w:spacing w:after="0" w:line="137"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the event that Mr. O’Sullivan’s employment is terminated without “Cause” as defined in the O’Sullivan Employment Agreement or if Mr. O’Sullivan resigns for “Good Reason” as defined in the O’Sullivan Employment Agreement, Mr. O’Sullivan will receive (a) a payment equal to a pro-rata portion of the O’Sullivan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O’Sullivan’s participation in the benefits plans in which he participates for the minimum period required by applicable law.</w:t>
      </w:r>
    </w:p>
    <w:p>
      <w:pPr>
        <w:sectPr>
          <w:pgSz w:w="12240" w:h="15840" w:orient="portrait"/>
          <w:cols w:equalWidth="0" w:num="1">
            <w:col w:w="9620"/>
          </w:cols>
          <w:pgMar w:left="1320" w:top="1338" w:right="130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66" name="Shape 5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66" o:spid="_x0000_s15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type w:val="continuous"/>
        </w:sectPr>
      </w:pPr>
    </w:p>
    <w:bookmarkStart w:id="173" w:name="page174"/>
    <w:bookmarkEnd w:id="173"/>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37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374">
                      <a:extLst>
                        <a:ext uri="{28A0092B-C50C-407E-A947-70E740481C1C}"/>
                      </a:extLst>
                    </a:blip>
                    <a:srcRect/>
                    <a:stretch>
                      <a:fillRect/>
                    </a:stretch>
                  </pic:blipFill>
                  <pic:spPr bwMode="auto">
                    <a:xfrm>
                      <a:off x="0" y="0"/>
                      <a:ext cx="5080" cy="13970"/>
                    </a:xfrm>
                    <a:prstGeom prst="rect">
                      <a:avLst/>
                    </a:prstGeom>
                    <a:noFill/>
                  </pic:spPr>
                </pic:pic>
              </a:graphicData>
            </a:graphic>
          </wp:anchor>
        </w:drawing>
        <w:t>In the event that Mr. O’Sullivan’s employment is terminated without “Cause” or if Mr. O’Sullivan resigns for “Good Reason” following the resignation, termination, or replacement of our Chief Executive Officer, Mr. O’Sullivan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O’Sullivan Employment Bonus; and (e) continued payment of the premiums required to maintain Mr. O’Sullivan’s participation in the benefits plans in which he participates for the minimum period required by applicable law.</w:t>
      </w:r>
    </w:p>
    <w:p>
      <w:pPr>
        <w:spacing w:after="0" w:line="17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the event that, within 24 months following a “Fundamental Change” as defined in the O’Sullivan Employment Agreement, Mr. O’Sullivan’s employment is terminated without “Cause”, Mr. O’Sullivan will receive (a) a payment equal to 12 months of his then annual base salary; (b) 1.5 times the O’Sullivan Employment Bonus paid for the previous year; and (c) immediate vesting of all unvested equity awards, subject to Mr. O’Sullivan agreeing that the non-competition period described above be extended to 12 months from the date of termination.</w:t>
      </w:r>
    </w:p>
    <w:p>
      <w:pPr>
        <w:spacing w:after="0" w:line="165" w:lineRule="exact"/>
        <w:rPr>
          <w:sz w:val="20"/>
          <w:szCs w:val="20"/>
          <w:color w:val="auto"/>
        </w:rPr>
      </w:pPr>
    </w:p>
    <w:p>
      <w:pPr>
        <w:jc w:val="both"/>
        <w:ind w:firstLine="310"/>
        <w:spacing w:after="0" w:line="265" w:lineRule="auto"/>
        <w:rPr>
          <w:sz w:val="20"/>
          <w:szCs w:val="20"/>
          <w:color w:val="auto"/>
        </w:rPr>
      </w:pPr>
      <w:r>
        <w:rPr>
          <w:rFonts w:ascii="Times New Roman" w:cs="Times New Roman" w:eastAsia="Times New Roman" w:hAnsi="Times New Roman"/>
          <w:sz w:val="17"/>
          <w:szCs w:val="17"/>
          <w:color w:val="auto"/>
        </w:rPr>
        <w:t>In connection with his hiring by DeepGreen in July 2017, Mr. O’Sullivan was granted certain stock options pursuant to the DeepGreen Plan. Subject to the terms and conditions set forth by that certain stock option agreement, made effective July 23, 2018, by and between DeepGreen and Mr. O’Sullivan (the “Sullivan Stock Option Agreement”), Mr. Sullivan was granted 2,026,258 common shares at an exercise price of $0.65 per share which vested in three installments ending on on June 1, 2020. The vested options are set to expire on June 1, 2028 under the expiration conditions of the Sullivan Stock Option Agreement.</w:t>
      </w:r>
    </w:p>
    <w:p>
      <w:pPr>
        <w:spacing w:after="0" w:line="165" w:lineRule="exact"/>
        <w:rPr>
          <w:sz w:val="20"/>
          <w:szCs w:val="20"/>
          <w:color w:val="auto"/>
        </w:rPr>
      </w:pPr>
    </w:p>
    <w:p>
      <w:pPr>
        <w:jc w:val="both"/>
        <w:ind w:firstLine="311"/>
        <w:spacing w:after="0" w:line="298" w:lineRule="auto"/>
        <w:rPr>
          <w:sz w:val="20"/>
          <w:szCs w:val="20"/>
          <w:color w:val="auto"/>
        </w:rPr>
      </w:pPr>
      <w:r>
        <w:rPr>
          <w:rFonts w:ascii="Times New Roman" w:cs="Times New Roman" w:eastAsia="Times New Roman" w:hAnsi="Times New Roman"/>
          <w:sz w:val="17"/>
          <w:szCs w:val="17"/>
          <w:color w:val="auto"/>
        </w:rPr>
        <w:t>On October 14, 2022, Mr. O’Sullivan notified us that he was resigning as our Chief Development Officer, though he will remain in the position through a twelve-month transition period ending in the fall of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Craig Shesky</w:t>
      </w:r>
    </w:p>
    <w:p>
      <w:pPr>
        <w:spacing w:after="0" w:line="218"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On May 6, 2022, our subsidiary, DeepGreen Resources, LLC, entered into an amended and restated employment agreement with Mr. Shesky in connection with his continued role as our Chief Financial Officer, a role he started in May 2021 with DeepGreen (the “Shesky Employment Agreement”). Under the Shesky Employment Agreement, Mr. Shesky will receive an annual base salary of $350,000, which will be reviewed annually by our Chief Executive Officer. Mr. Shesky is also entitled to a signing payment in the amount of $91,667 under the Shesky Employment Agreement. In addition, Mr. Shesky is eligible to participate in our LTIP, subject to the combination of his achieving certain individual performance objectives, and achievement of certain company-based financial results. Mr. Shesky is eligible to participate in our benefit plans and to be considered for an annual performance incentive bonus targeted at 50% of his annual base salary, to be granted at the discretion of the board of directors on a year-to-year basis (the “Shesky Employment Bonus”). The Shesky Employment Agreement has an indefinite term.</w:t>
      </w:r>
    </w:p>
    <w:p>
      <w:pPr>
        <w:spacing w:after="0" w:line="168" w:lineRule="exact"/>
        <w:rPr>
          <w:sz w:val="20"/>
          <w:szCs w:val="20"/>
          <w:color w:val="auto"/>
        </w:rPr>
      </w:pPr>
    </w:p>
    <w:p>
      <w:pPr>
        <w:jc w:val="both"/>
        <w:ind w:firstLine="311"/>
        <w:spacing w:after="0" w:line="299" w:lineRule="auto"/>
        <w:rPr>
          <w:sz w:val="20"/>
          <w:szCs w:val="20"/>
          <w:color w:val="auto"/>
        </w:rPr>
      </w:pPr>
      <w:r>
        <w:rPr>
          <w:rFonts w:ascii="Times New Roman" w:cs="Times New Roman" w:eastAsia="Times New Roman" w:hAnsi="Times New Roman"/>
          <w:sz w:val="17"/>
          <w:szCs w:val="17"/>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135"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16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In the event that Mr. Shesky’s employment is terminated without “Cause” or if Mr. Shesky resigns for “Good Reason” following the resignation, termination, or replacement of our Chief Executive Officer, Mr. Shesky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ectPr>
          <w:pgSz w:w="12240" w:h="15840" w:orient="portrait"/>
          <w:cols w:equalWidth="0" w:num="1">
            <w:col w:w="9620"/>
          </w:cols>
          <w:pgMar w:left="1320" w:top="1337" w:right="1300"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69" name="Shape 5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69" o:spid="_x0000_s15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174" w:name="page175"/>
    <w:bookmarkEnd w:id="174"/>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37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376">
                      <a:extLst>
                        <a:ext uri="{28A0092B-C50C-407E-A947-70E740481C1C}"/>
                      </a:extLst>
                    </a:blip>
                    <a:srcRect/>
                    <a:stretch>
                      <a:fillRect/>
                    </a:stretch>
                  </pic:blipFill>
                  <pic:spPr bwMode="auto">
                    <a:xfrm>
                      <a:off x="0" y="0"/>
                      <a:ext cx="5080" cy="13970"/>
                    </a:xfrm>
                    <a:prstGeom prst="rect">
                      <a:avLst/>
                    </a:prstGeom>
                    <a:noFill/>
                  </pic:spPr>
                </pic:pic>
              </a:graphicData>
            </a:graphic>
          </wp:anchor>
        </w:drawing>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Benefits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NEOs participate in employee benefit programs available to our employees generally.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 Plans and Stock Option Awards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DeepGreen Plan</w:t>
      </w:r>
    </w:p>
    <w:p>
      <w:pPr>
        <w:spacing w:after="0" w:line="218" w:lineRule="exact"/>
        <w:rPr>
          <w:sz w:val="20"/>
          <w:szCs w:val="20"/>
          <w:color w:val="auto"/>
        </w:rPr>
      </w:pPr>
    </w:p>
    <w:p>
      <w:pPr>
        <w:jc w:val="both"/>
        <w:ind w:firstLine="312"/>
        <w:spacing w:after="0" w:line="260" w:lineRule="auto"/>
        <w:rPr>
          <w:sz w:val="20"/>
          <w:szCs w:val="20"/>
          <w:color w:val="auto"/>
        </w:rPr>
      </w:pPr>
      <w:r>
        <w:rPr>
          <w:rFonts w:ascii="Times New Roman" w:cs="Times New Roman" w:eastAsia="Times New Roman" w:hAnsi="Times New Roman"/>
          <w:sz w:val="17"/>
          <w:szCs w:val="17"/>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No further awards will be granted out of the DeepGreen Plan.</w:t>
      </w:r>
    </w:p>
    <w:p>
      <w:pPr>
        <w:spacing w:after="0" w:line="172"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director, senior officer, employee of DeepGreen, (ii) a company that is wholly-owned by any of the foregoing, or (iii) a consultant of DeepGreen. The board of directors, in its sole discretion, may accelerate the vesting of any unexercised options in accordance with the change of control provisions set forth in the DeepGreen Plan.</w:t>
      </w:r>
    </w:p>
    <w:p>
      <w:pPr>
        <w:spacing w:after="0" w:line="172"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60" w:lineRule="exact"/>
        <w:rPr>
          <w:sz w:val="20"/>
          <w:szCs w:val="20"/>
          <w:color w:val="auto"/>
        </w:rPr>
      </w:pPr>
    </w:p>
    <w:p>
      <w:pPr>
        <w:jc w:val="both"/>
        <w:ind w:firstLine="311"/>
        <w:spacing w:after="0" w:line="254" w:lineRule="auto"/>
        <w:rPr>
          <w:sz w:val="20"/>
          <w:szCs w:val="20"/>
          <w:color w:val="auto"/>
        </w:rPr>
      </w:pPr>
      <w:r>
        <w:rPr>
          <w:rFonts w:ascii="Times New Roman" w:cs="Times New Roman" w:eastAsia="Times New Roman" w:hAnsi="Times New Roman"/>
          <w:sz w:val="17"/>
          <w:szCs w:val="17"/>
          <w:color w:val="auto"/>
        </w:rPr>
        <w:t>Upon any time when an Option granted under the DeepGreen Plan remains unexercised with respect to any common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DeepGreen accelerate the vesting of the Option and the time for the fulfilment of any conditions or restrictions on such vesting;</w:t>
      </w:r>
    </w:p>
    <w:p>
      <w:pPr>
        <w:spacing w:after="0" w:line="2" w:lineRule="exact"/>
        <w:rPr>
          <w:sz w:val="20"/>
          <w:szCs w:val="20"/>
          <w:color w:val="auto"/>
        </w:rPr>
      </w:pPr>
    </w:p>
    <w:p>
      <w:pPr>
        <w:jc w:val="both"/>
        <w:ind w:firstLine="8"/>
        <w:spacing w:after="0" w:line="260" w:lineRule="auto"/>
        <w:tabs>
          <w:tab w:leader="none" w:pos="25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68" w:lineRule="exact"/>
        <w:rPr>
          <w:sz w:val="20"/>
          <w:szCs w:val="20"/>
          <w:color w:val="auto"/>
        </w:rPr>
      </w:pPr>
    </w:p>
    <w:p>
      <w:pPr>
        <w:ind w:firstLine="310"/>
        <w:spacing w:after="0" w:line="298" w:lineRule="auto"/>
        <w:rPr>
          <w:sz w:val="20"/>
          <w:szCs w:val="20"/>
          <w:color w:val="auto"/>
        </w:rPr>
      </w:pPr>
      <w:r>
        <w:rPr>
          <w:rFonts w:ascii="Times New Roman" w:cs="Times New Roman" w:eastAsia="Times New Roman" w:hAnsi="Times New Roman"/>
          <w:sz w:val="17"/>
          <w:szCs w:val="17"/>
          <w:color w:val="auto"/>
        </w:rPr>
        <w:t>The board of directors may amend, suspend, or terminate the DeepGreen Plan at any time. The board of directors Board must obtain shareholder approval of any plan amendment to the extent required by the DeepGreen Plan.</w:t>
      </w:r>
    </w:p>
    <w:p>
      <w:pPr>
        <w:sectPr>
          <w:pgSz w:w="12240" w:h="15840" w:orient="portrait"/>
          <w:cols w:equalWidth="0" w:num="1">
            <w:col w:w="9620"/>
          </w:cols>
          <w:pgMar w:left="1320" w:top="1337" w:right="1300"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72" name="Shape 5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572" o:spid="_x0000_s15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37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378">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Incentive Equity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Eligibility</w:t>
      </w:r>
    </w:p>
    <w:p>
      <w:pPr>
        <w:spacing w:after="0" w:line="216"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Shares Available for Issuance</w:t>
      </w:r>
    </w:p>
    <w:p>
      <w:pPr>
        <w:spacing w:after="0" w:line="21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TMC Incentive Equity Plan provides for the future issuance of 44,372,170 Common Shares, including 10,672,485 shares added to the plan in January 2023 pursuant to the plan’s evergreen provision, provided that 2,243,853 of the Common Shares available under the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 (a) 4% of the number of outstanding Common Shares on such date, and (b) an amount determined by the plan administrator.</w:t>
      </w:r>
    </w:p>
    <w:p>
      <w:pPr>
        <w:spacing w:after="0" w:line="166" w:lineRule="exact"/>
        <w:rPr>
          <w:sz w:val="20"/>
          <w:szCs w:val="20"/>
          <w:color w:val="auto"/>
        </w:rPr>
      </w:pPr>
    </w:p>
    <w:p>
      <w:pPr>
        <w:jc w:val="both"/>
        <w:ind w:firstLine="310"/>
        <w:spacing w:after="0" w:line="269" w:lineRule="auto"/>
        <w:rPr>
          <w:sz w:val="20"/>
          <w:szCs w:val="20"/>
          <w:color w:val="auto"/>
        </w:rPr>
      </w:pPr>
      <w:r>
        <w:rPr>
          <w:rFonts w:ascii="Times New Roman" w:cs="Times New Roman" w:eastAsia="Times New Roman" w:hAnsi="Times New Roman"/>
          <w:sz w:val="17"/>
          <w:szCs w:val="17"/>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61"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aggregate grant date fair value of shares granted to any non-employee director under the TMC Incentive Equity Plan and any other cash compensation paid to any non-employee director in any calendar year may not exceed $500,000; increased to $750,000 in the year in which such non-employee director initially joins the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216" w:lineRule="exact"/>
        <w:rPr>
          <w:sz w:val="20"/>
          <w:szCs w:val="20"/>
          <w:color w:val="auto"/>
        </w:rPr>
      </w:pPr>
    </w:p>
    <w:p>
      <w:pPr>
        <w:jc w:val="both"/>
        <w:ind w:firstLine="311"/>
        <w:spacing w:after="0" w:line="258" w:lineRule="auto"/>
        <w:rPr>
          <w:sz w:val="20"/>
          <w:szCs w:val="20"/>
          <w:color w:val="auto"/>
        </w:rPr>
      </w:pPr>
      <w:r>
        <w:rPr>
          <w:rFonts w:ascii="Times New Roman" w:cs="Times New Roman" w:eastAsia="Times New Roman" w:hAnsi="Times New Roman"/>
          <w:sz w:val="17"/>
          <w:szCs w:val="17"/>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U.S. Internal Revenue Code of 1986, as amended, or non-qualified stock options. Incentive stock options may be granted to employees of TMC and its affiliates,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17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75" name="Shape 5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75" o:spid="_x0000_s16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37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380">
                      <a:extLst>
                        <a:ext uri="{28A0092B-C50C-407E-A947-70E740481C1C}"/>
                      </a:extLst>
                    </a:blip>
                    <a:srcRect/>
                    <a:stretch>
                      <a:fillRect/>
                    </a:stretch>
                  </pic:blipFill>
                  <pic:spPr bwMode="auto">
                    <a:xfrm>
                      <a:off x="0" y="0"/>
                      <a:ext cx="5080" cy="13970"/>
                    </a:xfrm>
                    <a:prstGeom prst="rect">
                      <a:avLst/>
                    </a:prstGeom>
                    <a:noFill/>
                  </pic:spPr>
                </pic:pic>
              </a:graphicData>
            </a:graphic>
          </wp:anchor>
        </w:drawing>
        <w:t>Restricted Stock</w:t>
      </w:r>
    </w:p>
    <w:p>
      <w:pPr>
        <w:spacing w:after="0" w:line="216"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Share Units</w:t>
      </w:r>
    </w:p>
    <w:p>
      <w:pPr>
        <w:spacing w:after="0" w:line="216"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Share-Based Awards and Performance-Based Awards</w:t>
      </w:r>
    </w:p>
    <w:p>
      <w:pPr>
        <w:spacing w:after="0" w:line="216" w:lineRule="exact"/>
        <w:rPr>
          <w:sz w:val="20"/>
          <w:szCs w:val="20"/>
          <w:color w:val="auto"/>
        </w:rPr>
      </w:pPr>
    </w:p>
    <w:p>
      <w:pPr>
        <w:jc w:val="both"/>
        <w:ind w:firstLine="312"/>
        <w:spacing w:after="0" w:line="263" w:lineRule="auto"/>
        <w:rPr>
          <w:sz w:val="20"/>
          <w:szCs w:val="20"/>
          <w:color w:val="auto"/>
        </w:rPr>
      </w:pPr>
      <w:r>
        <w:rPr>
          <w:rFonts w:ascii="Times New Roman" w:cs="Times New Roman" w:eastAsia="Times New Roman" w:hAnsi="Times New Roman"/>
          <w:sz w:val="17"/>
          <w:szCs w:val="17"/>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 Any dividends or dividend equivalents payable or credited to a participant with respect to any unvested performance-based award will be subject to the same performance goals as the shares or units underlying the performance-based award.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Plan Administration</w:t>
      </w:r>
    </w:p>
    <w:p>
      <w:pPr>
        <w:spacing w:after="0" w:line="216"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Exchange Act.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7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Dividends and Stock Splits</w:t>
      </w:r>
    </w:p>
    <w:p>
      <w:pPr>
        <w:spacing w:after="0" w:line="216"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78" name="Shape 5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78" o:spid="_x0000_s16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40" w:right="130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38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382">
                      <a:extLst>
                        <a:ext uri="{28A0092B-C50C-407E-A947-70E740481C1C}"/>
                      </a:extLst>
                    </a:blip>
                    <a:srcRect/>
                    <a:stretch>
                      <a:fillRect/>
                    </a:stretch>
                  </pic:blipFill>
                  <pic:spPr bwMode="auto">
                    <a:xfrm>
                      <a:off x="0" y="0"/>
                      <a:ext cx="5080" cy="13970"/>
                    </a:xfrm>
                    <a:prstGeom prst="rect">
                      <a:avLst/>
                    </a:prstGeom>
                    <a:noFill/>
                  </pic:spPr>
                </pic:pic>
              </a:graphicData>
            </a:graphic>
          </wp:anchor>
        </w:drawing>
        <w:t>Corporate Transactions</w:t>
      </w:r>
    </w:p>
    <w:p>
      <w:pPr>
        <w:spacing w:after="0" w:line="216" w:lineRule="exact"/>
        <w:rPr>
          <w:sz w:val="20"/>
          <w:szCs w:val="20"/>
          <w:color w:val="auto"/>
        </w:rPr>
      </w:pPr>
    </w:p>
    <w:p>
      <w:pPr>
        <w:jc w:val="both"/>
        <w:ind w:firstLine="311"/>
        <w:spacing w:after="0" w:line="289" w:lineRule="auto"/>
        <w:rPr>
          <w:sz w:val="20"/>
          <w:szCs w:val="20"/>
          <w:color w:val="auto"/>
        </w:rPr>
      </w:pPr>
      <w:r>
        <w:rPr>
          <w:rFonts w:ascii="Times New Roman" w:cs="Times New Roman" w:eastAsia="Times New Roman" w:hAnsi="Times New Roman"/>
          <w:sz w:val="17"/>
          <w:szCs w:val="17"/>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359" w:lineRule="exact"/>
        <w:rPr>
          <w:sz w:val="20"/>
          <w:szCs w:val="20"/>
          <w:color w:val="auto"/>
        </w:rPr>
      </w:pPr>
    </w:p>
    <w:p>
      <w:pPr>
        <w:ind w:left="660" w:hanging="314"/>
        <w:spacing w:after="0"/>
        <w:tabs>
          <w:tab w:leader="none" w:pos="6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all outstanding options will be assumed or substituted by the successor corporation;</w:t>
      </w:r>
    </w:p>
    <w:p>
      <w:pPr>
        <w:spacing w:after="0" w:line="219" w:lineRule="exact"/>
        <w:rPr>
          <w:rFonts w:ascii="Times New Roman" w:cs="Times New Roman" w:eastAsia="Times New Roman" w:hAnsi="Times New Roman"/>
          <w:sz w:val="17"/>
          <w:szCs w:val="17"/>
          <w:color w:val="auto"/>
        </w:rPr>
      </w:pPr>
    </w:p>
    <w:p>
      <w:pPr>
        <w:ind w:left="660" w:hanging="314"/>
        <w:spacing w:after="0" w:line="298" w:lineRule="auto"/>
        <w:tabs>
          <w:tab w:leader="none" w:pos="6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136" w:lineRule="exact"/>
        <w:rPr>
          <w:rFonts w:ascii="Times New Roman" w:cs="Times New Roman" w:eastAsia="Times New Roman" w:hAnsi="Times New Roman"/>
          <w:sz w:val="17"/>
          <w:szCs w:val="17"/>
          <w:color w:val="auto"/>
        </w:rPr>
      </w:pPr>
    </w:p>
    <w:p>
      <w:pPr>
        <w:jc w:val="both"/>
        <w:ind w:left="660" w:hanging="314"/>
        <w:spacing w:after="0" w:line="269" w:lineRule="auto"/>
        <w:tabs>
          <w:tab w:leader="none" w:pos="6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160"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other stock awards, provide that outstanding awards will be assumed or substituted by the successor corporation;</w:t>
      </w:r>
    </w:p>
    <w:p>
      <w:pPr>
        <w:spacing w:after="0" w:line="219" w:lineRule="exact"/>
        <w:rPr>
          <w:rFonts w:ascii="Times New Roman" w:cs="Times New Roman" w:eastAsia="Times New Roman" w:hAnsi="Times New Roman"/>
          <w:sz w:val="17"/>
          <w:szCs w:val="17"/>
          <w:color w:val="auto"/>
        </w:rPr>
      </w:pPr>
    </w:p>
    <w:p>
      <w:pPr>
        <w:jc w:val="both"/>
        <w:ind w:left="660" w:hanging="314"/>
        <w:spacing w:after="0" w:line="265" w:lineRule="auto"/>
        <w:tabs>
          <w:tab w:leader="none" w:pos="6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165" w:lineRule="exact"/>
        <w:rPr>
          <w:rFonts w:ascii="Times New Roman" w:cs="Times New Roman" w:eastAsia="Times New Roman" w:hAnsi="Times New Roman"/>
          <w:sz w:val="17"/>
          <w:szCs w:val="17"/>
          <w:color w:val="auto"/>
        </w:rPr>
      </w:pPr>
    </w:p>
    <w:p>
      <w:pPr>
        <w:ind w:left="660" w:hanging="314"/>
        <w:spacing w:after="0" w:line="298" w:lineRule="auto"/>
        <w:tabs>
          <w:tab w:leader="none" w:pos="6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a Corporate Transaction, to the extent not assumed or substituted by the successor or cashed out, the outstanding awards will terminate.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Amendment and Termination</w:t>
      </w:r>
    </w:p>
    <w:p>
      <w:pPr>
        <w:spacing w:after="0" w:line="216"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Duration of Plan</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TMC Incentive Equity Plan will expire by its terms in April 2031.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81" name="Shape 5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581" o:spid="_x0000_s16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40" w:right="130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38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384">
                      <a:extLst>
                        <a:ext uri="{28A0092B-C50C-407E-A947-70E740481C1C}"/>
                      </a:extLst>
                    </a:blip>
                    <a:srcRect/>
                    <a:stretch>
                      <a:fillRect/>
                    </a:stretch>
                  </pic:blipFill>
                  <pic:spPr bwMode="auto">
                    <a:xfrm>
                      <a:off x="0" y="0"/>
                      <a:ext cx="5080" cy="13970"/>
                    </a:xfrm>
                    <a:prstGeom prst="rect">
                      <a:avLst/>
                    </a:prstGeom>
                    <a:noFill/>
                  </pic:spPr>
                </pic:pic>
              </a:graphicData>
            </a:graphic>
          </wp:anchor>
        </w:drawing>
        <w:t>Director Compensation</w:t>
      </w:r>
    </w:p>
    <w:p>
      <w:pPr>
        <w:spacing w:after="0" w:line="222" w:lineRule="exact"/>
        <w:rPr>
          <w:sz w:val="20"/>
          <w:szCs w:val="20"/>
          <w:color w:val="auto"/>
        </w:rPr>
      </w:pPr>
    </w:p>
    <w:p>
      <w:pPr>
        <w:jc w:val="both"/>
        <w:ind w:firstLine="310"/>
        <w:spacing w:after="0" w:line="298" w:lineRule="auto"/>
        <w:rPr>
          <w:sz w:val="20"/>
          <w:szCs w:val="20"/>
          <w:color w:val="auto"/>
        </w:rPr>
      </w:pPr>
      <w:r>
        <w:rPr>
          <w:rFonts w:ascii="Times New Roman" w:cs="Times New Roman" w:eastAsia="Times New Roman" w:hAnsi="Times New Roman"/>
          <w:sz w:val="17"/>
          <w:szCs w:val="17"/>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Retainer</w:t>
            </w:r>
          </w:p>
        </w:tc>
      </w:tr>
      <w:tr>
        <w:trPr>
          <w:trHeight w:val="201"/>
        </w:trPr>
        <w:tc>
          <w:tcPr>
            <w:tcW w:w="20" w:type="dxa"/>
            <w:vAlign w:val="bottom"/>
          </w:tcPr>
          <w:p>
            <w:pPr>
              <w:spacing w:after="0"/>
              <w:rPr>
                <w:sz w:val="17"/>
                <w:szCs w:val="17"/>
                <w:color w:val="auto"/>
              </w:rPr>
            </w:pPr>
          </w:p>
        </w:tc>
        <w:tc>
          <w:tcPr>
            <w:tcW w:w="798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Lead director</w:t>
            </w:r>
          </w:p>
        </w:tc>
        <w:tc>
          <w:tcPr>
            <w:tcW w:w="340" w:type="dxa"/>
            <w:vAlign w:val="bottom"/>
            <w:tcBorders>
              <w:top w:val="single" w:sz="8" w:color="C7EAF2"/>
            </w:tcBorders>
            <w:shd w:val="clear" w:color="auto" w:fill="C7EAF2"/>
          </w:tcPr>
          <w:p>
            <w:pPr>
              <w:spacing w:after="0"/>
              <w:rPr>
                <w:sz w:val="17"/>
                <w:szCs w:val="17"/>
                <w:color w:val="auto"/>
              </w:rPr>
            </w:pPr>
          </w:p>
        </w:tc>
        <w:tc>
          <w:tcPr>
            <w:tcW w:w="180" w:type="dxa"/>
            <w:vAlign w:val="bottom"/>
            <w:tcBorders>
              <w:top w:val="single" w:sz="8" w:color="auto"/>
            </w:tcBorders>
            <w:shd w:val="clear" w:color="auto" w:fill="C7EAF2"/>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30,000</w:t>
            </w:r>
          </w:p>
        </w:tc>
      </w:tr>
      <w:tr>
        <w:trPr>
          <w:trHeight w:val="207"/>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Audit Committee chairperson</w:t>
            </w:r>
          </w:p>
        </w:tc>
        <w:tc>
          <w:tcPr>
            <w:tcW w:w="5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22,500</w:t>
            </w:r>
          </w:p>
        </w:tc>
      </w:tr>
      <w:tr>
        <w:trPr>
          <w:trHeight w:val="207"/>
        </w:trPr>
        <w:tc>
          <w:tcPr>
            <w:tcW w:w="20" w:type="dxa"/>
            <w:vAlign w:val="bottom"/>
          </w:tcPr>
          <w:p>
            <w:pPr>
              <w:spacing w:after="0"/>
              <w:rPr>
                <w:sz w:val="18"/>
                <w:szCs w:val="18"/>
                <w:color w:val="auto"/>
              </w:rPr>
            </w:pPr>
          </w:p>
        </w:tc>
        <w:tc>
          <w:tcPr>
            <w:tcW w:w="798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Audit Committee member</w:t>
            </w:r>
          </w:p>
        </w:tc>
        <w:tc>
          <w:tcPr>
            <w:tcW w:w="520" w:type="dxa"/>
            <w:vAlign w:val="bottom"/>
            <w:gridSpan w:val="2"/>
            <w:shd w:val="clear" w:color="auto" w:fill="C7EAF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7,500</w:t>
            </w:r>
          </w:p>
        </w:tc>
      </w:tr>
      <w:tr>
        <w:trPr>
          <w:trHeight w:val="207"/>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Committee chairperson</w:t>
            </w:r>
          </w:p>
        </w:tc>
        <w:tc>
          <w:tcPr>
            <w:tcW w:w="5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08"/>
        </w:trPr>
        <w:tc>
          <w:tcPr>
            <w:tcW w:w="20" w:type="dxa"/>
            <w:vAlign w:val="bottom"/>
          </w:tcPr>
          <w:p>
            <w:pPr>
              <w:spacing w:after="0"/>
              <w:rPr>
                <w:sz w:val="18"/>
                <w:szCs w:val="18"/>
                <w:color w:val="auto"/>
              </w:rPr>
            </w:pPr>
          </w:p>
        </w:tc>
        <w:tc>
          <w:tcPr>
            <w:tcW w:w="798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Compensation Committee member</w:t>
            </w:r>
          </w:p>
        </w:tc>
        <w:tc>
          <w:tcPr>
            <w:tcW w:w="520" w:type="dxa"/>
            <w:vAlign w:val="bottom"/>
            <w:gridSpan w:val="2"/>
            <w:shd w:val="clear" w:color="auto" w:fill="C7EAF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07"/>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chairperson</w:t>
            </w:r>
          </w:p>
        </w:tc>
        <w:tc>
          <w:tcPr>
            <w:tcW w:w="5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07"/>
        </w:trPr>
        <w:tc>
          <w:tcPr>
            <w:tcW w:w="20" w:type="dxa"/>
            <w:vAlign w:val="bottom"/>
          </w:tcPr>
          <w:p>
            <w:pPr>
              <w:spacing w:after="0"/>
              <w:rPr>
                <w:sz w:val="18"/>
                <w:szCs w:val="18"/>
                <w:color w:val="auto"/>
              </w:rPr>
            </w:pPr>
          </w:p>
        </w:tc>
        <w:tc>
          <w:tcPr>
            <w:tcW w:w="798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member</w:t>
            </w:r>
          </w:p>
        </w:tc>
        <w:tc>
          <w:tcPr>
            <w:tcW w:w="520" w:type="dxa"/>
            <w:vAlign w:val="bottom"/>
            <w:gridSpan w:val="2"/>
            <w:shd w:val="clear" w:color="auto" w:fill="C7EAF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Sustainability and Innovation Committee chairperson</w:t>
            </w:r>
          </w:p>
        </w:tc>
        <w:tc>
          <w:tcPr>
            <w:tcW w:w="5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07"/>
        </w:trPr>
        <w:tc>
          <w:tcPr>
            <w:tcW w:w="20" w:type="dxa"/>
            <w:vAlign w:val="bottom"/>
          </w:tcPr>
          <w:p>
            <w:pPr>
              <w:spacing w:after="0"/>
              <w:rPr>
                <w:sz w:val="18"/>
                <w:szCs w:val="18"/>
                <w:color w:val="auto"/>
              </w:rPr>
            </w:pPr>
          </w:p>
        </w:tc>
        <w:tc>
          <w:tcPr>
            <w:tcW w:w="798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Sustainability and Innovation Committee member</w:t>
            </w:r>
          </w:p>
        </w:tc>
        <w:tc>
          <w:tcPr>
            <w:tcW w:w="520" w:type="dxa"/>
            <w:vAlign w:val="bottom"/>
            <w:gridSpan w:val="2"/>
            <w:shd w:val="clear" w:color="auto" w:fill="C7EAF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5,000</w:t>
            </w:r>
          </w:p>
        </w:tc>
      </w:tr>
    </w:tbl>
    <w:p>
      <w:pPr>
        <w:spacing w:after="0" w:line="183"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164"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Initial Grant </w:t>
      </w:r>
      <w:r>
        <w:rPr>
          <w:rFonts w:ascii="Times New Roman" w:cs="Times New Roman" w:eastAsia="Times New Roman" w:hAnsi="Times New Roman"/>
          <w:sz w:val="17"/>
          <w:szCs w:val="17"/>
          <w:color w:val="auto"/>
        </w:rPr>
        <w:t>- In addition, we grant to new non-employee directors upon their initial election to the board of directors a number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restricted share units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62" w:lineRule="exact"/>
        <w:rPr>
          <w:sz w:val="20"/>
          <w:szCs w:val="20"/>
          <w:color w:val="auto"/>
        </w:rPr>
      </w:pPr>
    </w:p>
    <w:p>
      <w:pPr>
        <w:jc w:val="both"/>
        <w:ind w:firstLine="311"/>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Annual Grant </w:t>
      </w:r>
      <w:r>
        <w:rPr>
          <w:rFonts w:ascii="Times New Roman" w:cs="Times New Roman" w:eastAsia="Times New Roman" w:hAnsi="Times New Roman"/>
          <w:sz w:val="17"/>
          <w:szCs w:val="17"/>
          <w:color w:val="auto"/>
        </w:rPr>
        <w:t>- We also grant each non-employee director annually a number of RSUs (each RSU relating to one Common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having an aggregate fair market value equal to $100,000, determined by dividing (A) $100,000 by (B) the closing price of the Common Shares on the Nasdaq on the date of the grant (rounded down to the nearest whole share), each year on the first business day after our annual meeting of shareholders (the “Annual Grant”); provided, however, that if there has been no annual meeting of shareholders held by the first business day of the third fiscal quarter, we make the Annual Grant to each non-employee director on the first business day of the third fiscal quarter of such year.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84" name="Shape 5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624">
                          <a:solidFill>
                            <a:srgbClr val="000000"/>
                          </a:solidFill>
                          <a:miter lim="800000"/>
                          <a:headEnd/>
                          <a:tailEnd/>
                        </a:ln>
                      </wps:spPr>
                      <wps:bodyPr/>
                    </wps:wsp>
                  </a:graphicData>
                </a:graphic>
              </wp:anchor>
            </w:drawing>
          </mc:Choice>
          <mc:Fallback>
            <w:pict>
              <v:line id="Shape 584" o:spid="_x0000_s16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309pt"/>
            </w:pict>
          </mc:Fallback>
        </mc:AlternateContent>
      </w:r>
    </w:p>
    <w:p>
      <w:pPr>
        <w:sectPr>
          <w:pgSz w:w="12240" w:h="15840" w:orient="portrait"/>
          <w:cols w:equalWidth="0" w:num="1">
            <w:col w:w="9620"/>
          </w:cols>
          <w:pgMar w:left="1320" w:top="1334" w:right="1300" w:bottom="1440" w:gutter="0" w:footer="0" w:header="0"/>
        </w:sectPr>
      </w:pPr>
    </w:p>
    <w:bookmarkStart w:id="179" w:name="page180"/>
    <w:bookmarkEnd w:id="179"/>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38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386">
                      <a:extLst>
                        <a:ext uri="{28A0092B-C50C-407E-A947-70E740481C1C}"/>
                      </a:extLst>
                    </a:blip>
                    <a:srcRect/>
                    <a:stretch>
                      <a:fillRect/>
                    </a:stretch>
                  </pic:blipFill>
                  <pic:spPr bwMode="auto">
                    <a:xfrm>
                      <a:off x="0" y="0"/>
                      <a:ext cx="5080" cy="13970"/>
                    </a:xfrm>
                    <a:prstGeom prst="rect">
                      <a:avLst/>
                    </a:prstGeom>
                    <a:noFill/>
                  </pic:spPr>
                </pic:pic>
              </a:graphicData>
            </a:graphic>
          </wp:anchor>
        </w:drawing>
        <w:t>The table below summarizes the compensation of each person serving as a non-employee director of TMC for the fiscal year ended December 31, 2022. Gerard Barron, our Chief Executive Officer, did not receive any additional compensation for his service as a director of TMC in 2022. The compensation of Mr. Barron as a NEO is set forth above under “</w:t>
      </w:r>
      <w:r>
        <w:rPr>
          <w:rFonts w:ascii="Times New Roman" w:cs="Times New Roman" w:eastAsia="Times New Roman" w:hAnsi="Times New Roman"/>
          <w:sz w:val="17"/>
          <w:szCs w:val="17"/>
          <w:i w:val="1"/>
          <w:iCs w:val="1"/>
          <w:color w:val="auto"/>
        </w:rPr>
        <w:t>— Summary Compensation Table</w:t>
      </w:r>
      <w:r>
        <w:rPr>
          <w:rFonts w:ascii="Times New Roman" w:cs="Times New Roman" w:eastAsia="Times New Roman" w:hAnsi="Times New Roman"/>
          <w:sz w:val="17"/>
          <w:szCs w:val="17"/>
          <w:color w:val="auto"/>
        </w:rPr>
        <w: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Fees Earned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99"/>
              <w:spacing w:after="0" w:line="143" w:lineRule="exact"/>
              <w:rPr>
                <w:sz w:val="20"/>
                <w:szCs w:val="20"/>
                <w:color w:val="auto"/>
              </w:rPr>
            </w:pPr>
            <w:r>
              <w:rPr>
                <w:rFonts w:ascii="Times New Roman" w:cs="Times New Roman" w:eastAsia="Times New Roman" w:hAnsi="Times New Roman"/>
                <w:sz w:val="14"/>
                <w:szCs w:val="14"/>
                <w:b w:val="1"/>
                <w:bCs w:val="1"/>
                <w:color w:val="auto"/>
                <w:w w:val="98"/>
              </w:rPr>
              <w:t>or Paid in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3"/>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9"/>
              <w:spacing w:after="0" w:line="143"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19"/>
              <w:spacing w:after="0" w:line="143"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39"/>
              <w:spacing w:after="0" w:line="169" w:lineRule="exact"/>
              <w:rPr>
                <w:sz w:val="20"/>
                <w:szCs w:val="20"/>
                <w:color w:val="auto"/>
              </w:rPr>
            </w:pPr>
            <w:r>
              <w:rPr>
                <w:rFonts w:ascii="Times New Roman" w:cs="Times New Roman" w:eastAsia="Times New Roman" w:hAnsi="Times New Roman"/>
                <w:sz w:val="13"/>
                <w:szCs w:val="13"/>
                <w:b w:val="1"/>
                <w:bCs w:val="1"/>
                <w:color w:val="auto"/>
                <w:w w:val="93"/>
              </w:rPr>
              <w:t>($)</w:t>
            </w:r>
            <w:r>
              <w:rPr>
                <w:rFonts w:ascii="Times New Roman" w:cs="Times New Roman" w:eastAsia="Times New Roman" w:hAnsi="Times New Roman"/>
                <w:sz w:val="19"/>
                <w:szCs w:val="19"/>
                <w:b w:val="1"/>
                <w:bCs w:val="1"/>
                <w:color w:val="auto"/>
                <w:w w:val="93"/>
                <w:vertAlign w:val="superscript"/>
              </w:rPr>
              <w:t>(1)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Andrew Hall</w:t>
            </w:r>
          </w:p>
        </w:tc>
        <w:tc>
          <w:tcPr>
            <w:tcW w:w="220" w:type="dxa"/>
            <w:vAlign w:val="bottom"/>
            <w:tcBorders>
              <w:top w:val="single" w:sz="8" w:color="C7EAF2"/>
            </w:tcBorders>
            <w:shd w:val="clear" w:color="auto" w:fill="C7EAF2"/>
          </w:tcPr>
          <w:p>
            <w:pPr>
              <w:spacing w:after="0"/>
              <w:rPr>
                <w:sz w:val="17"/>
                <w:szCs w:val="17"/>
                <w:color w:val="auto"/>
              </w:rPr>
            </w:pPr>
          </w:p>
        </w:tc>
        <w:tc>
          <w:tcPr>
            <w:tcW w:w="1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127,092</w:t>
            </w:r>
          </w:p>
        </w:tc>
        <w:tc>
          <w:tcPr>
            <w:tcW w:w="220" w:type="dxa"/>
            <w:vAlign w:val="bottom"/>
            <w:tcBorders>
              <w:top w:val="single" w:sz="8" w:color="C7EAF2"/>
            </w:tcBorders>
            <w:shd w:val="clear" w:color="auto" w:fill="C7EAF2"/>
          </w:tcPr>
          <w:p>
            <w:pPr>
              <w:spacing w:after="0"/>
              <w:rPr>
                <w:sz w:val="17"/>
                <w:szCs w:val="17"/>
                <w:color w:val="auto"/>
              </w:rPr>
            </w:pPr>
          </w:p>
        </w:tc>
        <w:tc>
          <w:tcPr>
            <w:tcW w:w="200" w:type="dxa"/>
            <w:vAlign w:val="bottom"/>
            <w:tcBorders>
              <w:top w:val="single" w:sz="8" w:color="auto"/>
            </w:tcBorders>
            <w:shd w:val="clear" w:color="auto" w:fill="C7EAF2"/>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240" w:type="dxa"/>
            <w:vAlign w:val="bottom"/>
            <w:tcBorders>
              <w:top w:val="single" w:sz="8" w:color="C7EAF2"/>
            </w:tcBorders>
            <w:shd w:val="clear" w:color="auto" w:fill="C7EAF2"/>
          </w:tcPr>
          <w:p>
            <w:pPr>
              <w:spacing w:after="0"/>
              <w:rPr>
                <w:sz w:val="17"/>
                <w:szCs w:val="17"/>
                <w:color w:val="auto"/>
              </w:rPr>
            </w:pPr>
          </w:p>
        </w:tc>
        <w:tc>
          <w:tcPr>
            <w:tcW w:w="1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227,092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Sheila Khama</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116,937</w:t>
            </w:r>
          </w:p>
        </w:tc>
        <w:tc>
          <w:tcPr>
            <w:tcW w:w="220" w:type="dxa"/>
            <w:vAlign w:val="bottom"/>
          </w:tcPr>
          <w:p>
            <w:pPr>
              <w:spacing w:after="0"/>
              <w:rPr>
                <w:sz w:val="18"/>
                <w:szCs w:val="18"/>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Andrei Karkar</w:t>
            </w:r>
          </w:p>
        </w:tc>
        <w:tc>
          <w:tcPr>
            <w:tcW w:w="34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220" w:type="dxa"/>
            <w:vAlign w:val="bottom"/>
            <w:shd w:val="clear" w:color="auto" w:fill="C7EAF2"/>
          </w:tcPr>
          <w:p>
            <w:pPr>
              <w:spacing w:after="0"/>
              <w:rPr>
                <w:sz w:val="18"/>
                <w:szCs w:val="18"/>
                <w:color w:val="auto"/>
              </w:rPr>
            </w:pPr>
          </w:p>
        </w:tc>
        <w:tc>
          <w:tcPr>
            <w:tcW w:w="200" w:type="dxa"/>
            <w:vAlign w:val="bottom"/>
            <w:shd w:val="clear" w:color="auto" w:fill="C7EAF2"/>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3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Gina Stryker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76,033</w:t>
            </w:r>
          </w:p>
        </w:tc>
        <w:tc>
          <w:tcPr>
            <w:tcW w:w="220" w:type="dxa"/>
            <w:vAlign w:val="bottom"/>
          </w:tcPr>
          <w:p>
            <w:pPr>
              <w:spacing w:after="0"/>
              <w:rPr>
                <w:sz w:val="18"/>
                <w:szCs w:val="18"/>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color w:val="auto"/>
              </w:rPr>
              <w:t>Amelia Kinahoi-Saimomua</w:t>
            </w:r>
          </w:p>
        </w:tc>
        <w:tc>
          <w:tcPr>
            <w:tcW w:w="34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95,000</w:t>
            </w:r>
          </w:p>
        </w:tc>
        <w:tc>
          <w:tcPr>
            <w:tcW w:w="220" w:type="dxa"/>
            <w:vAlign w:val="bottom"/>
            <w:shd w:val="clear" w:color="auto" w:fill="C7EAF2"/>
          </w:tcPr>
          <w:p>
            <w:pPr>
              <w:spacing w:after="0"/>
              <w:rPr>
                <w:sz w:val="18"/>
                <w:szCs w:val="18"/>
                <w:color w:val="auto"/>
              </w:rPr>
            </w:pPr>
          </w:p>
        </w:tc>
        <w:tc>
          <w:tcPr>
            <w:tcW w:w="200" w:type="dxa"/>
            <w:vAlign w:val="bottom"/>
            <w:shd w:val="clear" w:color="auto" w:fill="C7EAF2"/>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3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195,000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Christian Madsbjerg</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110,000</w:t>
            </w:r>
          </w:p>
        </w:tc>
        <w:tc>
          <w:tcPr>
            <w:tcW w:w="220" w:type="dxa"/>
            <w:vAlign w:val="bottom"/>
          </w:tcPr>
          <w:p>
            <w:pPr>
              <w:spacing w:after="0"/>
              <w:rPr>
                <w:sz w:val="18"/>
                <w:szCs w:val="18"/>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700" w:type="dxa"/>
            <w:vAlign w:val="bottom"/>
            <w:shd w:val="clear" w:color="auto" w:fill="C7EAF2"/>
          </w:tcPr>
          <w:p>
            <w:pPr>
              <w:spacing w:after="0" w:line="207" w:lineRule="exact"/>
              <w:rPr>
                <w:sz w:val="20"/>
                <w:szCs w:val="20"/>
                <w:color w:val="auto"/>
              </w:rPr>
            </w:pPr>
            <w:r>
              <w:rPr>
                <w:rFonts w:ascii="Times New Roman" w:cs="Times New Roman" w:eastAsia="Times New Roman" w:hAnsi="Times New Roman"/>
                <w:sz w:val="17"/>
                <w:szCs w:val="17"/>
                <w:color w:val="auto"/>
              </w:rPr>
              <w:t xml:space="preserve">Kathleen McAllister </w:t>
            </w:r>
            <w:r>
              <w:rPr>
                <w:rFonts w:ascii="Times New Roman" w:cs="Times New Roman" w:eastAsia="Times New Roman" w:hAnsi="Times New Roman"/>
                <w:sz w:val="24"/>
                <w:szCs w:val="24"/>
                <w:color w:val="auto"/>
                <w:vertAlign w:val="superscript"/>
              </w:rPr>
              <w:t>(2)</w:t>
            </w:r>
          </w:p>
        </w:tc>
        <w:tc>
          <w:tcPr>
            <w:tcW w:w="34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96,950</w:t>
            </w:r>
          </w:p>
        </w:tc>
        <w:tc>
          <w:tcPr>
            <w:tcW w:w="220" w:type="dxa"/>
            <w:vAlign w:val="bottom"/>
            <w:shd w:val="clear" w:color="auto" w:fill="C7EAF2"/>
          </w:tcPr>
          <w:p>
            <w:pPr>
              <w:spacing w:after="0"/>
              <w:rPr>
                <w:sz w:val="18"/>
                <w:szCs w:val="18"/>
                <w:color w:val="auto"/>
              </w:rPr>
            </w:pPr>
          </w:p>
        </w:tc>
        <w:tc>
          <w:tcPr>
            <w:tcW w:w="200" w:type="dxa"/>
            <w:vAlign w:val="bottom"/>
            <w:shd w:val="clear" w:color="auto" w:fill="C7EAF2"/>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199,999</w:t>
            </w:r>
          </w:p>
        </w:tc>
        <w:tc>
          <w:tcPr>
            <w:tcW w:w="3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296,950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7"/>
                <w:szCs w:val="17"/>
                <w:color w:val="auto"/>
              </w:rPr>
              <w:t>Andrew Greig</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57,351</w:t>
            </w:r>
          </w:p>
        </w:tc>
        <w:tc>
          <w:tcPr>
            <w:tcW w:w="220" w:type="dxa"/>
            <w:vAlign w:val="bottom"/>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157,351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53975</wp:posOffset>
                </wp:positionV>
                <wp:extent cx="1529715" cy="0"/>
                <wp:wrapNone/>
                <wp:docPr id="587" name="Shape 5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8229">
                          <a:solidFill>
                            <a:srgbClr val="000000"/>
                          </a:solidFill>
                          <a:miter lim="800000"/>
                          <a:headEnd/>
                          <a:tailEnd/>
                        </a:ln>
                      </wps:spPr>
                      <wps:bodyPr/>
                    </wps:wsp>
                  </a:graphicData>
                </a:graphic>
              </wp:anchor>
            </w:drawing>
          </mc:Choice>
          <mc:Fallback>
            <w:pict>
              <v:line id="Shape 587" o:spid="_x0000_s16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4.25pt" to="120.6pt,4.25pt" o:allowincell="f" strokecolor="#000000" strokeweight="0.648pt"/>
            </w:pict>
          </mc:Fallback>
        </mc:AlternateContent>
      </w:r>
    </w:p>
    <w:p>
      <w:pPr>
        <w:spacing w:after="0" w:line="144" w:lineRule="exact"/>
        <w:rPr>
          <w:sz w:val="20"/>
          <w:szCs w:val="20"/>
          <w:color w:val="auto"/>
        </w:rPr>
      </w:pPr>
    </w:p>
    <w:p>
      <w:pPr>
        <w:ind w:left="320" w:right="20" w:hanging="311"/>
        <w:spacing w:after="0" w:line="253" w:lineRule="auto"/>
        <w:tabs>
          <w:tab w:leader="none" w:pos="3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Annual Grant consists of 68,027 RSUs granted during the year ended December 31, 2022. The grant date fair value is computed based on the closing market price on the date of grant in accordance with ASC 718.</w:t>
      </w:r>
    </w:p>
    <w:p>
      <w:pPr>
        <w:ind w:left="320" w:hanging="311"/>
        <w:spacing w:after="0"/>
        <w:tabs>
          <w:tab w:leader="none" w:pos="3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Ms. McAllister’s stock awards include the value of her Initial Grant on joining the board and her Annual Grant both issued in 2022.</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lists all outstanding equity awards held by our non-employee directors as of December 31,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2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60" w:type="dxa"/>
            <w:vAlign w:val="bottom"/>
          </w:tcPr>
          <w:p>
            <w:pPr>
              <w:spacing w:after="0"/>
              <w:rPr>
                <w:sz w:val="12"/>
                <w:szCs w:val="12"/>
                <w:color w:val="auto"/>
              </w:rPr>
            </w:pP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Shares or Units</w:t>
            </w:r>
          </w:p>
        </w:tc>
        <w:tc>
          <w:tcPr>
            <w:tcW w:w="0" w:type="dxa"/>
            <w:vAlign w:val="bottom"/>
          </w:tcPr>
          <w:p>
            <w:pPr>
              <w:spacing w:after="0"/>
              <w:rPr>
                <w:sz w:val="1"/>
                <w:szCs w:val="1"/>
                <w:color w:val="auto"/>
              </w:rPr>
            </w:pPr>
          </w:p>
        </w:tc>
      </w:tr>
      <w:tr>
        <w:trPr>
          <w:trHeight w:val="143"/>
        </w:trPr>
        <w:tc>
          <w:tcPr>
            <w:tcW w:w="24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 Underlying</w:t>
            </w:r>
          </w:p>
        </w:tc>
        <w:tc>
          <w:tcPr>
            <w:tcW w:w="260" w:type="dxa"/>
            <w:vAlign w:val="bottom"/>
          </w:tcPr>
          <w:p>
            <w:pPr>
              <w:spacing w:after="0"/>
              <w:rPr>
                <w:sz w:val="12"/>
                <w:szCs w:val="12"/>
                <w:color w:val="auto"/>
              </w:rPr>
            </w:pP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of Stock That</w:t>
            </w:r>
          </w:p>
        </w:tc>
        <w:tc>
          <w:tcPr>
            <w:tcW w:w="0" w:type="dxa"/>
            <w:vAlign w:val="bottom"/>
          </w:tcPr>
          <w:p>
            <w:pPr>
              <w:spacing w:after="0"/>
              <w:rPr>
                <w:sz w:val="1"/>
                <w:szCs w:val="1"/>
                <w:color w:val="auto"/>
              </w:rPr>
            </w:pPr>
          </w:p>
        </w:tc>
      </w:tr>
      <w:tr>
        <w:trPr>
          <w:trHeight w:val="143"/>
        </w:trPr>
        <w:tc>
          <w:tcPr>
            <w:tcW w:w="6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260" w:type="dxa"/>
            <w:vAlign w:val="bottom"/>
          </w:tcPr>
          <w:p>
            <w:pPr>
              <w:spacing w:after="0"/>
              <w:rPr>
                <w:sz w:val="12"/>
                <w:szCs w:val="12"/>
                <w:color w:val="auto"/>
              </w:rPr>
            </w:pP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Have Not Vested</w:t>
            </w:r>
          </w:p>
        </w:tc>
        <w:tc>
          <w:tcPr>
            <w:tcW w:w="0" w:type="dxa"/>
            <w:vAlign w:val="bottom"/>
          </w:tcPr>
          <w:p>
            <w:pPr>
              <w:spacing w:after="0"/>
              <w:rPr>
                <w:sz w:val="1"/>
                <w:szCs w:val="1"/>
                <w:color w:val="auto"/>
              </w:rPr>
            </w:pPr>
          </w:p>
        </w:tc>
      </w:tr>
      <w:tr>
        <w:trPr>
          <w:trHeight w:val="168"/>
        </w:trPr>
        <w:tc>
          <w:tcPr>
            <w:tcW w:w="6680" w:type="dxa"/>
            <w:vAlign w:val="bottom"/>
            <w:gridSpan w:val="3"/>
            <w:vMerge w:val="continue"/>
          </w:tcPr>
          <w:p>
            <w:pPr>
              <w:spacing w:after="0"/>
              <w:rPr>
                <w:sz w:val="14"/>
                <w:szCs w:val="14"/>
                <w:color w:val="auto"/>
              </w:rPr>
            </w:pPr>
          </w:p>
        </w:tc>
        <w:tc>
          <w:tcPr>
            <w:tcW w:w="1340" w:type="dxa"/>
            <w:vAlign w:val="bottom"/>
          </w:tcPr>
          <w:p>
            <w:pPr>
              <w:jc w:val="center"/>
              <w:spacing w:after="0" w:line="168" w:lineRule="exact"/>
              <w:rPr>
                <w:sz w:val="20"/>
                <w:szCs w:val="20"/>
                <w:color w:val="auto"/>
              </w:rPr>
            </w:pPr>
            <w:r>
              <w:rPr>
                <w:rFonts w:ascii="Times New Roman" w:cs="Times New Roman" w:eastAsia="Times New Roman" w:hAnsi="Times New Roman"/>
                <w:sz w:val="13"/>
                <w:szCs w:val="13"/>
                <w:b w:val="1"/>
                <w:bCs w:val="1"/>
                <w:color w:val="auto"/>
              </w:rPr>
              <w:t xml:space="preserve">Options </w:t>
            </w:r>
            <w:r>
              <w:rPr>
                <w:rFonts w:ascii="Times New Roman" w:cs="Times New Roman" w:eastAsia="Times New Roman" w:hAnsi="Times New Roman"/>
                <w:sz w:val="19"/>
                <w:szCs w:val="19"/>
                <w:b w:val="1"/>
                <w:bCs w:val="1"/>
                <w:color w:val="auto"/>
                <w:vertAlign w:val="superscript"/>
              </w:rPr>
              <w:t>(1)</w:t>
            </w:r>
          </w:p>
        </w:tc>
        <w:tc>
          <w:tcPr>
            <w:tcW w:w="1600" w:type="dxa"/>
            <w:vAlign w:val="bottom"/>
            <w:gridSpan w:val="2"/>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201"/>
        </w:trPr>
        <w:tc>
          <w:tcPr>
            <w:tcW w:w="6420" w:type="dxa"/>
            <w:vAlign w:val="bottom"/>
            <w:tcBorders>
              <w:top w:val="single" w:sz="8" w:color="auto"/>
            </w:tcBorders>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Andrew Hall</w:t>
            </w:r>
          </w:p>
        </w:tc>
        <w:tc>
          <w:tcPr>
            <w:tcW w:w="260" w:type="dxa"/>
            <w:vAlign w:val="bottom"/>
            <w:tcBorders>
              <w:top w:val="single" w:sz="8" w:color="C7EAF2"/>
            </w:tcBorders>
            <w:shd w:val="clear" w:color="auto" w:fill="C7EAF2"/>
          </w:tcPr>
          <w:p>
            <w:pPr>
              <w:spacing w:after="0"/>
              <w:rPr>
                <w:sz w:val="17"/>
                <w:szCs w:val="17"/>
                <w:color w:val="auto"/>
              </w:rPr>
            </w:pPr>
          </w:p>
        </w:tc>
        <w:tc>
          <w:tcPr>
            <w:tcW w:w="13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top w:val="single" w:sz="8" w:color="C7EAF2"/>
            </w:tcBorders>
            <w:shd w:val="clear" w:color="auto" w:fill="C7EAF2"/>
          </w:tcPr>
          <w:p>
            <w:pPr>
              <w:spacing w:after="0"/>
              <w:rPr>
                <w:sz w:val="17"/>
                <w:szCs w:val="17"/>
                <w:color w:val="auto"/>
              </w:rPr>
            </w:pPr>
          </w:p>
        </w:tc>
        <w:tc>
          <w:tcPr>
            <w:tcW w:w="13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73,382</w:t>
            </w:r>
          </w:p>
        </w:tc>
        <w:tc>
          <w:tcPr>
            <w:tcW w:w="0" w:type="dxa"/>
            <w:vAlign w:val="bottom"/>
          </w:tcPr>
          <w:p>
            <w:pPr>
              <w:spacing w:after="0"/>
              <w:rPr>
                <w:sz w:val="1"/>
                <w:szCs w:val="1"/>
                <w:color w:val="auto"/>
              </w:rPr>
            </w:pPr>
          </w:p>
        </w:tc>
      </w:tr>
      <w:tr>
        <w:trPr>
          <w:trHeight w:val="207"/>
        </w:trPr>
        <w:tc>
          <w:tcPr>
            <w:tcW w:w="6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Sheila Khama</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73,382</w:t>
            </w:r>
          </w:p>
        </w:tc>
        <w:tc>
          <w:tcPr>
            <w:tcW w:w="0" w:type="dxa"/>
            <w:vAlign w:val="bottom"/>
          </w:tcPr>
          <w:p>
            <w:pPr>
              <w:spacing w:after="0"/>
              <w:rPr>
                <w:sz w:val="1"/>
                <w:szCs w:val="1"/>
                <w:color w:val="auto"/>
              </w:rPr>
            </w:pPr>
          </w:p>
        </w:tc>
      </w:tr>
      <w:tr>
        <w:trPr>
          <w:trHeight w:val="207"/>
        </w:trPr>
        <w:tc>
          <w:tcPr>
            <w:tcW w:w="6680" w:type="dxa"/>
            <w:vAlign w:val="bottom"/>
            <w:gridSpan w:val="3"/>
            <w:shd w:val="clear" w:color="auto" w:fill="C7EAF2"/>
          </w:tcPr>
          <w:p>
            <w:pPr>
              <w:spacing w:after="0"/>
              <w:rPr>
                <w:sz w:val="20"/>
                <w:szCs w:val="20"/>
                <w:color w:val="auto"/>
              </w:rPr>
            </w:pPr>
            <w:r>
              <w:rPr>
                <w:rFonts w:ascii="Times New Roman" w:cs="Times New Roman" w:eastAsia="Times New Roman" w:hAnsi="Times New Roman"/>
                <w:sz w:val="17"/>
                <w:szCs w:val="17"/>
                <w:color w:val="auto"/>
              </w:rPr>
              <w:t>Andrei Karkar</w:t>
            </w:r>
          </w:p>
        </w:tc>
        <w:tc>
          <w:tcPr>
            <w:tcW w:w="13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769,020</w:t>
            </w:r>
          </w:p>
        </w:tc>
        <w:tc>
          <w:tcPr>
            <w:tcW w:w="16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73,382</w:t>
            </w:r>
          </w:p>
        </w:tc>
        <w:tc>
          <w:tcPr>
            <w:tcW w:w="0" w:type="dxa"/>
            <w:vAlign w:val="bottom"/>
          </w:tcPr>
          <w:p>
            <w:pPr>
              <w:spacing w:after="0"/>
              <w:rPr>
                <w:sz w:val="1"/>
                <w:szCs w:val="1"/>
                <w:color w:val="auto"/>
              </w:rPr>
            </w:pPr>
          </w:p>
        </w:tc>
      </w:tr>
      <w:tr>
        <w:trPr>
          <w:trHeight w:val="207"/>
        </w:trPr>
        <w:tc>
          <w:tcPr>
            <w:tcW w:w="6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Amelia Kinahoi-Saimomua</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73,382</w:t>
            </w:r>
          </w:p>
        </w:tc>
        <w:tc>
          <w:tcPr>
            <w:tcW w:w="0" w:type="dxa"/>
            <w:vAlign w:val="bottom"/>
          </w:tcPr>
          <w:p>
            <w:pPr>
              <w:spacing w:after="0"/>
              <w:rPr>
                <w:sz w:val="1"/>
                <w:szCs w:val="1"/>
                <w:color w:val="auto"/>
              </w:rPr>
            </w:pPr>
          </w:p>
        </w:tc>
      </w:tr>
      <w:tr>
        <w:trPr>
          <w:trHeight w:val="208"/>
        </w:trPr>
        <w:tc>
          <w:tcPr>
            <w:tcW w:w="6680" w:type="dxa"/>
            <w:vAlign w:val="bottom"/>
            <w:gridSpan w:val="3"/>
            <w:shd w:val="clear" w:color="auto" w:fill="C7EAF2"/>
          </w:tcPr>
          <w:p>
            <w:pPr>
              <w:spacing w:after="0"/>
              <w:rPr>
                <w:sz w:val="20"/>
                <w:szCs w:val="20"/>
                <w:color w:val="auto"/>
              </w:rPr>
            </w:pPr>
            <w:r>
              <w:rPr>
                <w:rFonts w:ascii="Times New Roman" w:cs="Times New Roman" w:eastAsia="Times New Roman" w:hAnsi="Times New Roman"/>
                <w:sz w:val="17"/>
                <w:szCs w:val="17"/>
                <w:color w:val="auto"/>
              </w:rPr>
              <w:t>Christian Madsbjerg</w:t>
            </w:r>
          </w:p>
        </w:tc>
        <w:tc>
          <w:tcPr>
            <w:tcW w:w="13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716,916</w:t>
            </w:r>
          </w:p>
        </w:tc>
        <w:tc>
          <w:tcPr>
            <w:tcW w:w="16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73,382</w:t>
            </w:r>
          </w:p>
        </w:tc>
        <w:tc>
          <w:tcPr>
            <w:tcW w:w="0" w:type="dxa"/>
            <w:vAlign w:val="bottom"/>
          </w:tcPr>
          <w:p>
            <w:pPr>
              <w:spacing w:after="0"/>
              <w:rPr>
                <w:sz w:val="1"/>
                <w:szCs w:val="1"/>
                <w:color w:val="auto"/>
              </w:rPr>
            </w:pPr>
          </w:p>
        </w:tc>
      </w:tr>
      <w:tr>
        <w:trPr>
          <w:trHeight w:val="207"/>
        </w:trPr>
        <w:tc>
          <w:tcPr>
            <w:tcW w:w="66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Kathleen McAllister</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132,543</w:t>
            </w:r>
          </w:p>
        </w:tc>
        <w:tc>
          <w:tcPr>
            <w:tcW w:w="0" w:type="dxa"/>
            <w:vAlign w:val="bottom"/>
          </w:tcPr>
          <w:p>
            <w:pPr>
              <w:spacing w:after="0"/>
              <w:rPr>
                <w:sz w:val="1"/>
                <w:szCs w:val="1"/>
                <w:color w:val="auto"/>
              </w:rPr>
            </w:pPr>
          </w:p>
        </w:tc>
      </w:tr>
      <w:tr>
        <w:trPr>
          <w:trHeight w:val="207"/>
        </w:trPr>
        <w:tc>
          <w:tcPr>
            <w:tcW w:w="6680" w:type="dxa"/>
            <w:vAlign w:val="bottom"/>
            <w:gridSpan w:val="3"/>
            <w:shd w:val="clear" w:color="auto" w:fill="C7EAF2"/>
          </w:tcPr>
          <w:p>
            <w:pPr>
              <w:spacing w:after="0"/>
              <w:rPr>
                <w:sz w:val="20"/>
                <w:szCs w:val="20"/>
                <w:color w:val="auto"/>
              </w:rPr>
            </w:pPr>
            <w:r>
              <w:rPr>
                <w:rFonts w:ascii="Times New Roman" w:cs="Times New Roman" w:eastAsia="Times New Roman" w:hAnsi="Times New Roman"/>
                <w:sz w:val="17"/>
                <w:szCs w:val="17"/>
                <w:color w:val="auto"/>
              </w:rPr>
              <w:t>Andrew Greig</w:t>
            </w:r>
          </w:p>
        </w:tc>
        <w:tc>
          <w:tcPr>
            <w:tcW w:w="13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95,238</w:t>
            </w:r>
          </w:p>
        </w:tc>
        <w:tc>
          <w:tcPr>
            <w:tcW w:w="0" w:type="dxa"/>
            <w:vAlign w:val="bottom"/>
          </w:tcPr>
          <w:p>
            <w:pPr>
              <w:spacing w:after="0"/>
              <w:rPr>
                <w:sz w:val="1"/>
                <w:szCs w:val="1"/>
                <w:color w:val="auto"/>
              </w:rPr>
            </w:pPr>
          </w:p>
        </w:tc>
      </w:tr>
      <w:tr>
        <w:trPr>
          <w:trHeight w:val="104"/>
        </w:trPr>
        <w:tc>
          <w:tcPr>
            <w:tcW w:w="242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420" w:hanging="411"/>
        <w:spacing w:after="0" w:line="259" w:lineRule="auto"/>
        <w:tabs>
          <w:tab w:leader="none" w:pos="42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STIP options granted under the DeepGreen Plan which are fully vested, and have an exercise price ranging from $0.52 to $2.60 and expiration date between February 17,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182" w:lineRule="exact"/>
        <w:rPr>
          <w:rFonts w:ascii="Times New Roman" w:cs="Times New Roman" w:eastAsia="Times New Roman" w:hAnsi="Times New Roman"/>
          <w:sz w:val="14"/>
          <w:szCs w:val="14"/>
          <w:color w:val="auto"/>
        </w:rPr>
      </w:pPr>
    </w:p>
    <w:p>
      <w:pPr>
        <w:ind w:left="400" w:hanging="391"/>
        <w:spacing w:after="0" w:line="284" w:lineRule="auto"/>
        <w:tabs>
          <w:tab w:leader="none" w:pos="401"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Consists of RSUs for Initial Grants, which vests in thirds on each anniversary of the grant date, and RSUs for Annual Grants which vest on the date of TMC’s annual general meeting following the grant date.</w:t>
      </w:r>
    </w:p>
    <w:p>
      <w:pPr>
        <w:spacing w:after="0" w:line="153" w:lineRule="exact"/>
        <w:rPr>
          <w:sz w:val="20"/>
          <w:szCs w:val="20"/>
          <w:color w:val="auto"/>
        </w:rPr>
      </w:pPr>
    </w:p>
    <w:p>
      <w:pPr>
        <w:ind w:right="900"/>
        <w:spacing w:after="0" w:line="307" w:lineRule="auto"/>
        <w:rPr>
          <w:sz w:val="20"/>
          <w:szCs w:val="20"/>
          <w:color w:val="auto"/>
        </w:rPr>
      </w:pPr>
      <w:r>
        <w:rPr>
          <w:rFonts w:ascii="Times New Roman" w:cs="Times New Roman" w:eastAsia="Times New Roman" w:hAnsi="Times New Roman"/>
          <w:sz w:val="17"/>
          <w:szCs w:val="17"/>
          <w:b w:val="1"/>
          <w:bCs w:val="1"/>
          <w:color w:val="auto"/>
        </w:rPr>
        <w:t>Item 12.SECURITY OWNERSHIP OF CERTAIN BENEFICIAL OWNERS AND MANAGEMENT AND RELATED STOCKHOLDER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known to the Company regarding the beneficial ownership of the Common Shares as of</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31, 2023 by:</w:t>
      </w:r>
    </w:p>
    <w:p>
      <w:pPr>
        <w:spacing w:after="0" w:line="219" w:lineRule="exact"/>
        <w:rPr>
          <w:sz w:val="20"/>
          <w:szCs w:val="20"/>
          <w:color w:val="auto"/>
        </w:rPr>
      </w:pPr>
    </w:p>
    <w:p>
      <w:pPr>
        <w:ind w:left="660" w:hanging="314"/>
        <w:spacing w:after="0"/>
        <w:tabs>
          <w:tab w:leader="none" w:pos="6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the Company to be the beneficial owner of more than 5% of outstanding Common Shares;</w:t>
      </w:r>
    </w:p>
    <w:p>
      <w:pPr>
        <w:sectPr>
          <w:pgSz w:w="12240" w:h="15840" w:orient="portrait"/>
          <w:cols w:equalWidth="0" w:num="1">
            <w:col w:w="9620"/>
          </w:cols>
          <w:pgMar w:left="1320" w:top="1337" w:right="130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588" o:spid="_x0000_s16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7" w:right="1300" w:bottom="1440" w:gutter="0" w:footer="0" w:header="0"/>
          <w:type w:val="continuous"/>
        </w:sectPr>
      </w:pPr>
    </w:p>
    <w:bookmarkStart w:id="180" w:name="page181"/>
    <w:bookmarkEnd w:id="180"/>
    <w:p>
      <w:pPr>
        <w:ind w:left="660" w:hanging="315"/>
        <w:spacing w:after="0"/>
        <w:tabs>
          <w:tab w:leader="none" w:pos="6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38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388">
                      <a:extLst>
                        <a:ext uri="{28A0092B-C50C-407E-A947-70E740481C1C}"/>
                      </a:extLst>
                    </a:blip>
                    <a:srcRect/>
                    <a:stretch>
                      <a:fillRect/>
                    </a:stretch>
                  </pic:blipFill>
                  <pic:spPr bwMode="auto">
                    <a:xfrm>
                      <a:off x="0" y="0"/>
                      <a:ext cx="5080" cy="13970"/>
                    </a:xfrm>
                    <a:prstGeom prst="rect">
                      <a:avLst/>
                    </a:prstGeom>
                    <a:noFill/>
                  </pic:spPr>
                </pic:pic>
              </a:graphicData>
            </a:graphic>
          </wp:anchor>
        </w:drawing>
        <w:t>each of the Company’s named executive officers and directors; and</w:t>
      </w:r>
    </w:p>
    <w:p>
      <w:pPr>
        <w:spacing w:after="0" w:line="141"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of the Company as a group.</w:t>
      </w:r>
    </w:p>
    <w:p>
      <w:pPr>
        <w:spacing w:after="0" w:line="219" w:lineRule="exact"/>
        <w:rPr>
          <w:sz w:val="20"/>
          <w:szCs w:val="20"/>
          <w:color w:val="auto"/>
        </w:rPr>
      </w:pPr>
    </w:p>
    <w:p>
      <w:pPr>
        <w:jc w:val="both"/>
        <w:ind w:firstLine="622"/>
        <w:spacing w:after="0" w:line="265"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beneficial ownership of Common Shares is based on 266,812,131 Common Shares issued and outstanding as of January 31, 2023.</w:t>
      </w:r>
    </w:p>
    <w:p>
      <w:pPr>
        <w:spacing w:after="0" w:line="219" w:lineRule="exact"/>
        <w:rPr>
          <w:sz w:val="20"/>
          <w:szCs w:val="20"/>
          <w:color w:val="auto"/>
        </w:rPr>
      </w:pPr>
    </w:p>
    <w:p>
      <w:pPr>
        <w:jc w:val="both"/>
        <w:ind w:firstLine="311"/>
        <w:spacing w:after="0" w:line="234" w:lineRule="auto"/>
        <w:rPr>
          <w:sz w:val="20"/>
          <w:szCs w:val="20"/>
          <w:color w:val="auto"/>
        </w:rPr>
      </w:pPr>
      <w:r>
        <w:rPr>
          <w:rFonts w:ascii="Times New Roman" w:cs="Times New Roman" w:eastAsia="Times New Roman" w:hAnsi="Times New Roman"/>
          <w:sz w:val="17"/>
          <w:szCs w:val="17"/>
          <w:color w:val="auto"/>
        </w:rPr>
        <w:t>Unless otherwise indicated, the Company believes that each person named in the table below has sole voting and investment power with respect to all shares of the Common Shares beneficially owned by them. Unless otherwise indicated, the business address of each of the following entities or individuals is c/o TMC the metals company Inc., 595 Howe Street,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Vancouver, British Columbia, Canada V6C 2T5.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8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3"/>
        </w:trPr>
        <w:tc>
          <w:tcPr>
            <w:tcW w:w="7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2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18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Beneficially</w:t>
            </w:r>
          </w:p>
        </w:tc>
        <w:tc>
          <w:tcPr>
            <w:tcW w:w="0" w:type="dxa"/>
            <w:vAlign w:val="bottom"/>
          </w:tcPr>
          <w:p>
            <w:pPr>
              <w:spacing w:after="0"/>
              <w:rPr>
                <w:sz w:val="1"/>
                <w:szCs w:val="1"/>
                <w:color w:val="auto"/>
              </w:rPr>
            </w:pPr>
          </w:p>
        </w:tc>
      </w:tr>
      <w:tr>
        <w:trPr>
          <w:trHeight w:val="168"/>
        </w:trPr>
        <w:tc>
          <w:tcPr>
            <w:tcW w:w="7200" w:type="dxa"/>
            <w:vAlign w:val="bottom"/>
            <w:gridSpan w:val="3"/>
            <w:vMerge w:val="continue"/>
          </w:tcPr>
          <w:p>
            <w:pPr>
              <w:spacing w:after="0"/>
              <w:rPr>
                <w:sz w:val="14"/>
                <w:szCs w:val="14"/>
                <w:color w:val="auto"/>
              </w:rPr>
            </w:pPr>
          </w:p>
        </w:tc>
        <w:tc>
          <w:tcPr>
            <w:tcW w:w="124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3"/>
                <w:szCs w:val="13"/>
                <w:b w:val="1"/>
                <w:bCs w:val="1"/>
                <w:color w:val="auto"/>
                <w:w w:val="95"/>
              </w:rPr>
              <w:t>Shares</w:t>
            </w:r>
            <w:r>
              <w:rPr>
                <w:rFonts w:ascii="Times New Roman" w:cs="Times New Roman" w:eastAsia="Times New Roman" w:hAnsi="Times New Roman"/>
                <w:sz w:val="19"/>
                <w:szCs w:val="19"/>
                <w:b w:val="1"/>
                <w:bCs w:val="1"/>
                <w:color w:val="auto"/>
                <w:w w:val="95"/>
                <w:vertAlign w:val="superscript"/>
              </w:rPr>
              <w:t>(1)</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Owned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98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Directors and Executive Officers:</w:t>
            </w:r>
          </w:p>
        </w:tc>
        <w:tc>
          <w:tcPr>
            <w:tcW w:w="200" w:type="dxa"/>
            <w:vAlign w:val="bottom"/>
            <w:tcBorders>
              <w:top w:val="single" w:sz="8" w:color="C7EAF2"/>
            </w:tcBorders>
            <w:shd w:val="clear" w:color="auto" w:fill="C7EAF2"/>
          </w:tcPr>
          <w:p>
            <w:pPr>
              <w:spacing w:after="0"/>
              <w:rPr>
                <w:sz w:val="17"/>
                <w:szCs w:val="17"/>
                <w:color w:val="auto"/>
              </w:rPr>
            </w:pPr>
          </w:p>
        </w:tc>
        <w:tc>
          <w:tcPr>
            <w:tcW w:w="1020" w:type="dxa"/>
            <w:vAlign w:val="bottom"/>
            <w:tcBorders>
              <w:top w:val="single" w:sz="8" w:color="auto"/>
            </w:tcBorders>
            <w:shd w:val="clear" w:color="auto" w:fill="C7EAF2"/>
          </w:tcPr>
          <w:p>
            <w:pPr>
              <w:spacing w:after="0"/>
              <w:rPr>
                <w:sz w:val="17"/>
                <w:szCs w:val="17"/>
                <w:color w:val="auto"/>
              </w:rPr>
            </w:pPr>
          </w:p>
        </w:tc>
        <w:tc>
          <w:tcPr>
            <w:tcW w:w="220" w:type="dxa"/>
            <w:vAlign w:val="bottom"/>
            <w:tcBorders>
              <w:top w:val="single" w:sz="8" w:color="C7EAF2"/>
            </w:tcBorders>
            <w:shd w:val="clear" w:color="auto" w:fill="C7EAF2"/>
          </w:tcPr>
          <w:p>
            <w:pPr>
              <w:spacing w:after="0"/>
              <w:rPr>
                <w:sz w:val="17"/>
                <w:szCs w:val="17"/>
                <w:color w:val="auto"/>
              </w:rPr>
            </w:pPr>
          </w:p>
        </w:tc>
        <w:tc>
          <w:tcPr>
            <w:tcW w:w="1020" w:type="dxa"/>
            <w:vAlign w:val="bottom"/>
            <w:tcBorders>
              <w:top w:val="single" w:sz="8" w:color="auto"/>
            </w:tcBorders>
            <w:shd w:val="clear" w:color="auto" w:fill="C7EAF2"/>
          </w:tcPr>
          <w:p>
            <w:pPr>
              <w:spacing w:after="0"/>
              <w:rPr>
                <w:sz w:val="17"/>
                <w:szCs w:val="17"/>
                <w:color w:val="auto"/>
              </w:rPr>
            </w:pPr>
          </w:p>
        </w:tc>
        <w:tc>
          <w:tcPr>
            <w:tcW w:w="160" w:type="dxa"/>
            <w:vAlign w:val="bottom"/>
            <w:tcBorders>
              <w:top w:val="single" w:sz="8" w:color="C7EAF2"/>
            </w:tcBorders>
            <w:shd w:val="clear" w:color="auto" w:fill="C7EAF2"/>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Gerard Barron</w:t>
            </w:r>
            <w:r>
              <w:rPr>
                <w:rFonts w:ascii="Times New Roman" w:cs="Times New Roman" w:eastAsia="Times New Roman" w:hAnsi="Times New Roman"/>
                <w:sz w:val="24"/>
                <w:szCs w:val="24"/>
                <w:color w:val="auto"/>
                <w:vertAlign w:val="superscript"/>
              </w:rPr>
              <w:t>(2)</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19,109,093</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shd w:val="clear" w:color="auto" w:fill="C7EAF2"/>
          </w:tcPr>
          <w:p>
            <w:pPr>
              <w:spacing w:after="0" w:line="207" w:lineRule="exact"/>
              <w:rPr>
                <w:sz w:val="20"/>
                <w:szCs w:val="20"/>
                <w:color w:val="auto"/>
              </w:rPr>
            </w:pPr>
            <w:r>
              <w:rPr>
                <w:rFonts w:ascii="Times New Roman" w:cs="Times New Roman" w:eastAsia="Times New Roman" w:hAnsi="Times New Roman"/>
                <w:sz w:val="17"/>
                <w:szCs w:val="17"/>
                <w:color w:val="auto"/>
              </w:rPr>
              <w:t>Anthony O’Sullivan</w:t>
            </w:r>
            <w:r>
              <w:rPr>
                <w:rFonts w:ascii="Times New Roman" w:cs="Times New Roman" w:eastAsia="Times New Roman" w:hAnsi="Times New Roman"/>
                <w:sz w:val="24"/>
                <w:szCs w:val="24"/>
                <w:color w:val="auto"/>
                <w:vertAlign w:val="superscript"/>
              </w:rPr>
              <w:t>(3)</w:t>
            </w: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1,364,949</w:t>
            </w:r>
          </w:p>
        </w:tc>
        <w:tc>
          <w:tcPr>
            <w:tcW w:w="220" w:type="dxa"/>
            <w:vAlign w:val="bottom"/>
            <w:shd w:val="clear" w:color="auto" w:fill="C7EAF2"/>
          </w:tcPr>
          <w:p>
            <w:pPr>
              <w:spacing w:after="0"/>
              <w:rPr>
                <w:sz w:val="18"/>
                <w:szCs w:val="18"/>
                <w:color w:val="auto"/>
              </w:rPr>
            </w:pP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Craig Shesky</w:t>
            </w:r>
            <w:r>
              <w:rPr>
                <w:rFonts w:ascii="Times New Roman" w:cs="Times New Roman" w:eastAsia="Times New Roman" w:hAnsi="Times New Roman"/>
                <w:sz w:val="24"/>
                <w:szCs w:val="24"/>
                <w:color w:val="auto"/>
                <w:vertAlign w:val="superscript"/>
              </w:rPr>
              <w:t>(4)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770,498</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shd w:val="clear" w:color="auto" w:fill="C7EAF2"/>
          </w:tcPr>
          <w:p>
            <w:pPr>
              <w:spacing w:after="0" w:line="207" w:lineRule="exact"/>
              <w:rPr>
                <w:sz w:val="20"/>
                <w:szCs w:val="20"/>
                <w:color w:val="auto"/>
              </w:rPr>
            </w:pPr>
            <w:r>
              <w:rPr>
                <w:rFonts w:ascii="Times New Roman" w:cs="Times New Roman" w:eastAsia="Times New Roman" w:hAnsi="Times New Roman"/>
                <w:sz w:val="17"/>
                <w:szCs w:val="17"/>
                <w:color w:val="auto"/>
              </w:rPr>
              <w:t>Christian Madsbjerg</w:t>
            </w:r>
            <w:r>
              <w:rPr>
                <w:rFonts w:ascii="Times New Roman" w:cs="Times New Roman" w:eastAsia="Times New Roman" w:hAnsi="Times New Roman"/>
                <w:sz w:val="24"/>
                <w:szCs w:val="24"/>
                <w:color w:val="auto"/>
                <w:vertAlign w:val="superscript"/>
              </w:rPr>
              <w:t>(5)</w:t>
            </w: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593,186</w:t>
            </w:r>
          </w:p>
        </w:tc>
        <w:tc>
          <w:tcPr>
            <w:tcW w:w="220" w:type="dxa"/>
            <w:vAlign w:val="bottom"/>
            <w:shd w:val="clear" w:color="auto" w:fill="C7EAF2"/>
          </w:tcPr>
          <w:p>
            <w:pPr>
              <w:spacing w:after="0"/>
              <w:rPr>
                <w:sz w:val="18"/>
                <w:szCs w:val="18"/>
                <w:color w:val="auto"/>
              </w:rPr>
            </w:pP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Andrew C. Greig</w:t>
            </w:r>
            <w:r>
              <w:rPr>
                <w:rFonts w:ascii="Times New Roman" w:cs="Times New Roman" w:eastAsia="Times New Roman" w:hAnsi="Times New Roman"/>
                <w:sz w:val="24"/>
                <w:szCs w:val="24"/>
                <w:color w:val="auto"/>
                <w:vertAlign w:val="superscript"/>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4,812,743</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shd w:val="clear" w:color="auto" w:fill="C7EAF2"/>
          </w:tcPr>
          <w:p>
            <w:pPr>
              <w:spacing w:after="0" w:line="207" w:lineRule="exact"/>
              <w:rPr>
                <w:sz w:val="20"/>
                <w:szCs w:val="20"/>
                <w:color w:val="auto"/>
              </w:rPr>
            </w:pPr>
            <w:r>
              <w:rPr>
                <w:rFonts w:ascii="Times New Roman" w:cs="Times New Roman" w:eastAsia="Times New Roman" w:hAnsi="Times New Roman"/>
                <w:sz w:val="17"/>
                <w:szCs w:val="17"/>
                <w:color w:val="auto"/>
              </w:rPr>
              <w:t>Andrew Hall</w:t>
            </w:r>
            <w:r>
              <w:rPr>
                <w:rFonts w:ascii="Times New Roman" w:cs="Times New Roman" w:eastAsia="Times New Roman" w:hAnsi="Times New Roman"/>
                <w:sz w:val="24"/>
                <w:szCs w:val="24"/>
                <w:color w:val="auto"/>
                <w:vertAlign w:val="superscript"/>
              </w:rPr>
              <w:t>(7)</w:t>
            </w: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30,677</w:t>
            </w:r>
          </w:p>
        </w:tc>
        <w:tc>
          <w:tcPr>
            <w:tcW w:w="220" w:type="dxa"/>
            <w:vAlign w:val="bottom"/>
            <w:shd w:val="clear" w:color="auto" w:fill="C7EAF2"/>
          </w:tcPr>
          <w:p>
            <w:pPr>
              <w:spacing w:after="0"/>
              <w:rPr>
                <w:sz w:val="18"/>
                <w:szCs w:val="18"/>
                <w:color w:val="auto"/>
              </w:rPr>
            </w:pP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Sheila Khama</w:t>
            </w:r>
            <w:r>
              <w:rPr>
                <w:rFonts w:ascii="Times New Roman" w:cs="Times New Roman" w:eastAsia="Times New Roman" w:hAnsi="Times New Roman"/>
                <w:sz w:val="24"/>
                <w:szCs w:val="24"/>
                <w:color w:val="auto"/>
                <w:vertAlign w:val="superscript"/>
              </w:rPr>
              <w:t>(8)</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shd w:val="clear" w:color="auto" w:fill="C7EAF2"/>
          </w:tcPr>
          <w:p>
            <w:pPr>
              <w:spacing w:after="0" w:line="207" w:lineRule="exact"/>
              <w:rPr>
                <w:sz w:val="20"/>
                <w:szCs w:val="20"/>
                <w:color w:val="auto"/>
              </w:rPr>
            </w:pPr>
            <w:r>
              <w:rPr>
                <w:rFonts w:ascii="Times New Roman" w:cs="Times New Roman" w:eastAsia="Times New Roman" w:hAnsi="Times New Roman"/>
                <w:sz w:val="17"/>
                <w:szCs w:val="17"/>
                <w:color w:val="auto"/>
              </w:rPr>
              <w:t>Andrei Karkar</w:t>
            </w:r>
            <w:r>
              <w:rPr>
                <w:rFonts w:ascii="Times New Roman" w:cs="Times New Roman" w:eastAsia="Times New Roman" w:hAnsi="Times New Roman"/>
                <w:sz w:val="24"/>
                <w:szCs w:val="24"/>
                <w:color w:val="auto"/>
                <w:vertAlign w:val="superscript"/>
              </w:rPr>
              <w:t>(9)</w:t>
            </w: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54,015,982</w:t>
            </w:r>
          </w:p>
        </w:tc>
        <w:tc>
          <w:tcPr>
            <w:tcW w:w="220" w:type="dxa"/>
            <w:vAlign w:val="bottom"/>
            <w:shd w:val="clear" w:color="auto" w:fill="C7EAF2"/>
          </w:tcPr>
          <w:p>
            <w:pPr>
              <w:spacing w:after="0"/>
              <w:rPr>
                <w:sz w:val="18"/>
                <w:szCs w:val="18"/>
                <w:color w:val="auto"/>
              </w:rPr>
            </w:pPr>
          </w:p>
        </w:tc>
        <w:tc>
          <w:tcPr>
            <w:tcW w:w="1180" w:type="dxa"/>
            <w:vAlign w:val="bottom"/>
            <w:gridSpan w:val="2"/>
            <w:shd w:val="clear" w:color="auto" w:fill="C7EAF2"/>
          </w:tcPr>
          <w:p>
            <w:pPr>
              <w:jc w:val="right"/>
              <w:ind w:right="20"/>
              <w:spacing w:after="0"/>
              <w:rPr>
                <w:sz w:val="20"/>
                <w:szCs w:val="20"/>
                <w:color w:val="auto"/>
              </w:rPr>
            </w:pPr>
            <w:r>
              <w:rPr>
                <w:rFonts w:ascii="Times New Roman" w:cs="Times New Roman" w:eastAsia="Times New Roman" w:hAnsi="Times New Roman"/>
                <w:sz w:val="17"/>
                <w:szCs w:val="17"/>
                <w:color w:val="auto"/>
              </w:rPr>
              <w:t>20.2 %</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Amelia Kinahoi Siamomua</w:t>
            </w:r>
            <w:r>
              <w:rPr>
                <w:rFonts w:ascii="Times New Roman" w:cs="Times New Roman" w:eastAsia="Times New Roman" w:hAnsi="Times New Roman"/>
                <w:sz w:val="24"/>
                <w:szCs w:val="24"/>
                <w:color w:val="auto"/>
                <w:vertAlign w:val="superscript"/>
              </w:rPr>
              <w:t>(10)</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2,677</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shd w:val="clear" w:color="auto" w:fill="C7EAF2"/>
          </w:tcPr>
          <w:p>
            <w:pPr>
              <w:spacing w:after="0" w:line="207" w:lineRule="exact"/>
              <w:rPr>
                <w:sz w:val="20"/>
                <w:szCs w:val="20"/>
                <w:color w:val="auto"/>
              </w:rPr>
            </w:pPr>
            <w:r>
              <w:rPr>
                <w:rFonts w:ascii="Times New Roman" w:cs="Times New Roman" w:eastAsia="Times New Roman" w:hAnsi="Times New Roman"/>
                <w:sz w:val="17"/>
                <w:szCs w:val="17"/>
                <w:color w:val="auto"/>
              </w:rPr>
              <w:t>Kathleen McAllister</w:t>
            </w:r>
            <w:r>
              <w:rPr>
                <w:rFonts w:ascii="Times New Roman" w:cs="Times New Roman" w:eastAsia="Times New Roman" w:hAnsi="Times New Roman"/>
                <w:sz w:val="24"/>
                <w:szCs w:val="24"/>
                <w:color w:val="auto"/>
                <w:vertAlign w:val="superscript"/>
              </w:rPr>
              <w:t>(11)</w:t>
            </w: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21,505</w:t>
            </w:r>
          </w:p>
        </w:tc>
        <w:tc>
          <w:tcPr>
            <w:tcW w:w="220" w:type="dxa"/>
            <w:vAlign w:val="bottom"/>
            <w:shd w:val="clear" w:color="auto" w:fill="C7EAF2"/>
          </w:tcPr>
          <w:p>
            <w:pPr>
              <w:spacing w:after="0"/>
              <w:rPr>
                <w:sz w:val="18"/>
                <w:szCs w:val="18"/>
                <w:color w:val="auto"/>
              </w:rPr>
            </w:pP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b w:val="1"/>
                <w:bCs w:val="1"/>
                <w:color w:val="auto"/>
              </w:rPr>
              <w:t>All Directors and Executive Officers of the Company as a Group (12 Individuals)</w:t>
            </w:r>
            <w:r>
              <w:rPr>
                <w:rFonts w:ascii="Times New Roman" w:cs="Times New Roman" w:eastAsia="Times New Roman" w:hAnsi="Times New Roman"/>
                <w:sz w:val="24"/>
                <w:szCs w:val="24"/>
                <w:b w:val="1"/>
                <w:bCs w:val="1"/>
                <w:color w:val="auto"/>
                <w:vertAlign w:val="superscript"/>
              </w:rPr>
              <w:t>(12)</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83,981,868</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31.3 %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b w:val="1"/>
                <w:bCs w:val="1"/>
                <w:i w:val="1"/>
                <w:iCs w:val="1"/>
                <w:color w:val="auto"/>
              </w:rPr>
              <w:t>Five Percent Holders:</w:t>
            </w:r>
          </w:p>
        </w:tc>
        <w:tc>
          <w:tcPr>
            <w:tcW w:w="1020" w:type="dxa"/>
            <w:vAlign w:val="bottom"/>
            <w:shd w:val="clear" w:color="auto" w:fill="C7EAF2"/>
          </w:tcPr>
          <w:p>
            <w:pPr>
              <w:spacing w:after="0"/>
              <w:rPr>
                <w:sz w:val="18"/>
                <w:szCs w:val="18"/>
                <w:color w:val="auto"/>
              </w:rPr>
            </w:pPr>
          </w:p>
        </w:tc>
        <w:tc>
          <w:tcPr>
            <w:tcW w:w="220" w:type="dxa"/>
            <w:vAlign w:val="bottom"/>
            <w:shd w:val="clear" w:color="auto" w:fill="C7EAF2"/>
          </w:tcPr>
          <w:p>
            <w:pPr>
              <w:spacing w:after="0"/>
              <w:rPr>
                <w:sz w:val="18"/>
                <w:szCs w:val="18"/>
                <w:color w:val="auto"/>
              </w:rPr>
            </w:pPr>
          </w:p>
        </w:tc>
        <w:tc>
          <w:tcPr>
            <w:tcW w:w="1020" w:type="dxa"/>
            <w:vAlign w:val="bottom"/>
            <w:shd w:val="clear" w:color="auto" w:fill="C7EAF2"/>
          </w:tcPr>
          <w:p>
            <w:pPr>
              <w:spacing w:after="0"/>
              <w:rPr>
                <w:sz w:val="18"/>
                <w:szCs w:val="18"/>
                <w:color w:val="auto"/>
              </w:rPr>
            </w:pPr>
          </w:p>
        </w:tc>
        <w:tc>
          <w:tcPr>
            <w:tcW w:w="1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tcPr>
          <w:p>
            <w:pPr>
              <w:spacing w:after="0" w:line="207" w:lineRule="exact"/>
              <w:rPr>
                <w:sz w:val="20"/>
                <w:szCs w:val="20"/>
                <w:color w:val="auto"/>
              </w:rPr>
            </w:pPr>
            <w:r>
              <w:rPr>
                <w:rFonts w:ascii="Times New Roman" w:cs="Times New Roman" w:eastAsia="Times New Roman" w:hAnsi="Times New Roman"/>
                <w:sz w:val="17"/>
                <w:szCs w:val="17"/>
                <w:color w:val="auto"/>
              </w:rPr>
              <w:t>ERAS Capital</w:t>
            </w:r>
            <w:r>
              <w:rPr>
                <w:rFonts w:ascii="Times New Roman" w:cs="Times New Roman" w:eastAsia="Times New Roman" w:hAnsi="Times New Roman"/>
                <w:sz w:val="24"/>
                <w:szCs w:val="24"/>
                <w:color w:val="auto"/>
                <w:vertAlign w:val="superscript"/>
              </w:rPr>
              <w:t>(13)</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53,370,692</w:t>
            </w: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19.9 %</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gridSpan w:val="2"/>
            <w:shd w:val="clear" w:color="auto" w:fill="C7EAF2"/>
          </w:tcPr>
          <w:p>
            <w:pPr>
              <w:spacing w:after="0" w:line="207" w:lineRule="exact"/>
              <w:rPr>
                <w:sz w:val="20"/>
                <w:szCs w:val="20"/>
                <w:color w:val="auto"/>
              </w:rPr>
            </w:pPr>
            <w:r>
              <w:rPr>
                <w:rFonts w:ascii="Times New Roman" w:cs="Times New Roman" w:eastAsia="Times New Roman" w:hAnsi="Times New Roman"/>
                <w:sz w:val="17"/>
                <w:szCs w:val="17"/>
                <w:color w:val="auto"/>
              </w:rPr>
              <w:t>Maersk Supply Service A/S</w:t>
            </w:r>
            <w:r>
              <w:rPr>
                <w:rFonts w:ascii="Times New Roman" w:cs="Times New Roman" w:eastAsia="Times New Roman" w:hAnsi="Times New Roman"/>
                <w:sz w:val="24"/>
                <w:szCs w:val="24"/>
                <w:color w:val="auto"/>
                <w:vertAlign w:val="superscript"/>
              </w:rPr>
              <w:t>(14)</w:t>
            </w:r>
          </w:p>
        </w:tc>
        <w:tc>
          <w:tcPr>
            <w:tcW w:w="10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17,189,636</w:t>
            </w:r>
          </w:p>
        </w:tc>
        <w:tc>
          <w:tcPr>
            <w:tcW w:w="220" w:type="dxa"/>
            <w:vAlign w:val="bottom"/>
            <w:shd w:val="clear" w:color="auto" w:fill="C7EAF2"/>
          </w:tcPr>
          <w:p>
            <w:pPr>
              <w:spacing w:after="0"/>
              <w:rPr>
                <w:sz w:val="18"/>
                <w:szCs w:val="18"/>
                <w:color w:val="auto"/>
              </w:rPr>
            </w:pPr>
          </w:p>
        </w:tc>
        <w:tc>
          <w:tcPr>
            <w:tcW w:w="1180" w:type="dxa"/>
            <w:vAlign w:val="bottom"/>
            <w:gridSpan w:val="2"/>
            <w:shd w:val="clear" w:color="auto" w:fill="C7EAF2"/>
          </w:tcPr>
          <w:p>
            <w:pPr>
              <w:jc w:val="right"/>
              <w:ind w:right="20"/>
              <w:spacing w:after="0"/>
              <w:rPr>
                <w:sz w:val="20"/>
                <w:szCs w:val="20"/>
                <w:color w:val="auto"/>
              </w:rPr>
            </w:pPr>
            <w:r>
              <w:rPr>
                <w:rFonts w:ascii="Times New Roman" w:cs="Times New Roman" w:eastAsia="Times New Roman" w:hAnsi="Times New Roman"/>
                <w:sz w:val="17"/>
                <w:szCs w:val="17"/>
                <w:color w:val="auto"/>
              </w:rPr>
              <w:t>6.4 %</w:t>
            </w: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Allseas Group S.A.</w:t>
            </w:r>
            <w:r>
              <w:rPr>
                <w:rFonts w:ascii="Times New Roman" w:cs="Times New Roman" w:eastAsia="Times New Roman" w:hAnsi="Times New Roman"/>
                <w:sz w:val="25"/>
                <w:szCs w:val="25"/>
                <w:color w:val="auto"/>
                <w:vertAlign w:val="superscript"/>
              </w:rPr>
              <w:t>(15)</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34,280,268</w:t>
            </w:r>
          </w:p>
        </w:tc>
        <w:tc>
          <w:tcPr>
            <w:tcW w:w="22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-27940</wp:posOffset>
                </wp:positionV>
                <wp:extent cx="1529715" cy="0"/>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8242">
                          <a:solidFill>
                            <a:srgbClr val="000000"/>
                          </a:solidFill>
                          <a:miter lim="800000"/>
                          <a:headEnd/>
                          <a:tailEnd/>
                        </a:ln>
                      </wps:spPr>
                      <wps:bodyPr/>
                    </wps:wsp>
                  </a:graphicData>
                </a:graphic>
              </wp:anchor>
            </w:drawing>
          </mc:Choice>
          <mc:Fallback>
            <w:pict>
              <v:line id="Shape 591" o:spid="_x0000_s16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1999pt" to="120.6pt,-2.1999pt" o:allowincell="f" strokecolor="#000000" strokeweight="0.649pt"/>
            </w:pict>
          </mc:Fallback>
        </mc:AlternateContent>
      </w:r>
    </w:p>
    <w:p>
      <w:pPr>
        <w:ind w:left="320" w:hanging="311"/>
        <w:spacing w:after="0"/>
        <w:tabs>
          <w:tab w:leader="none" w:pos="3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beneficial ownership of less than 1%.</w:t>
      </w:r>
    </w:p>
    <w:p>
      <w:pPr>
        <w:spacing w:after="0" w:line="192" w:lineRule="exact"/>
        <w:rPr>
          <w:sz w:val="20"/>
          <w:szCs w:val="20"/>
          <w:color w:val="auto"/>
        </w:rPr>
      </w:pPr>
    </w:p>
    <w:p>
      <w:pPr>
        <w:ind w:left="320" w:hanging="311"/>
        <w:spacing w:after="0"/>
        <w:tabs>
          <w:tab w:leader="none" w:pos="3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Excludes Special Shares.</w:t>
      </w:r>
    </w:p>
    <w:p>
      <w:pPr>
        <w:spacing w:after="0" w:line="154" w:lineRule="exact"/>
        <w:rPr>
          <w:rFonts w:ascii="Times New Roman" w:cs="Times New Roman" w:eastAsia="Times New Roman" w:hAnsi="Times New Roman"/>
          <w:sz w:val="14"/>
          <w:szCs w:val="14"/>
          <w:color w:val="auto"/>
        </w:rPr>
      </w:pPr>
    </w:p>
    <w:p>
      <w:pPr>
        <w:jc w:val="both"/>
        <w:ind w:left="320" w:hanging="311"/>
        <w:spacing w:after="0" w:line="269" w:lineRule="auto"/>
        <w:tabs>
          <w:tab w:leader="none" w:pos="3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(i) 14,941,655 Common Shares, (ii) 4,078,044 Common Shares underlying options that are exercisable within 60 days of January 31, 2023, and (iii) 89,394 Common Shares underlying warrants held by Mr. Barron. Does not include 2,275,334 Common Shares underlying options that are not exercisable and 520,833 Common Shares underlying restricted share units that do not vest within 60 days of January 31, 2023 held by Mr. Barron.</w:t>
      </w:r>
    </w:p>
    <w:p>
      <w:pPr>
        <w:spacing w:after="0" w:line="82" w:lineRule="exact"/>
        <w:rPr>
          <w:rFonts w:ascii="Times New Roman" w:cs="Times New Roman" w:eastAsia="Times New Roman" w:hAnsi="Times New Roman"/>
          <w:sz w:val="14"/>
          <w:szCs w:val="14"/>
          <w:color w:val="auto"/>
        </w:rPr>
      </w:pPr>
    </w:p>
    <w:p>
      <w:pPr>
        <w:jc w:val="both"/>
        <w:ind w:left="320" w:hanging="311"/>
        <w:spacing w:after="0" w:line="265" w:lineRule="auto"/>
        <w:tabs>
          <w:tab w:leader="none" w:pos="321"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(i) 575,110 Common Shares held by The O’Sullivan Family Trust No. 1 and 104,167 Common Shares held by Mr. O’Sullivan, (ii) 685,672 Common Shares underlying options that are exercisable within 60 days of January 31, 2023 held by Mr. O’Sullivan. Does not include 1,011,259 Common Shares underlying options that are not exercisable and 208,333 Common Shares underlying restricted share units that do not vest within 60 days of January 31, 2023 held by O’Sullivan. Anthony O’Sullivan is the sole director of JOZEM Pty Ltd. which is the trustee of The O’Sullivan Family Trust No. 1.</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337" w:right="1300" w:bottom="1440" w:gutter="0" w:footer="0" w:header="0"/>
        </w:sectPr>
      </w:pPr>
    </w:p>
    <w:bookmarkStart w:id="181" w:name="page182"/>
    <w:bookmarkEnd w:id="181"/>
    <w:p>
      <w:pPr>
        <w:jc w:val="both"/>
        <w:ind w:left="311" w:hanging="311"/>
        <w:spacing w:after="0" w:line="276" w:lineRule="auto"/>
        <w:tabs>
          <w:tab w:leader="none" w:pos="31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38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390">
                      <a:extLst>
                        <a:ext uri="{28A0092B-C50C-407E-A947-70E740481C1C}"/>
                      </a:extLst>
                    </a:blip>
                    <a:srcRect/>
                    <a:stretch>
                      <a:fillRect/>
                    </a:stretch>
                  </pic:blipFill>
                  <pic:spPr bwMode="auto">
                    <a:xfrm>
                      <a:off x="0" y="0"/>
                      <a:ext cx="5080" cy="13970"/>
                    </a:xfrm>
                    <a:prstGeom prst="rect">
                      <a:avLst/>
                    </a:prstGeom>
                    <a:noFill/>
                  </pic:spPr>
                </pic:pic>
              </a:graphicData>
            </a:graphic>
          </wp:anchor>
        </w:drawing>
        <w:t>Consists of (i) 500,331 Common Shares and (ii) 270,167 Common Shares underlying options that are exercisable within 60 days of January 31, 2023 held by Mr. Shesky. Does not include 387,898 Common Shares underlying options that are not exercisable and 156,250 Common Shares underlying restricted share units that do not vest within 60 days of January 31, 2023 held by Mr. Shesky.</w:t>
      </w:r>
    </w:p>
    <w:p>
      <w:pPr>
        <w:spacing w:after="0" w:line="77" w:lineRule="exact"/>
        <w:rPr>
          <w:rFonts w:ascii="Times New Roman" w:cs="Times New Roman" w:eastAsia="Times New Roman" w:hAnsi="Times New Roman"/>
          <w:sz w:val="14"/>
          <w:szCs w:val="14"/>
          <w:color w:val="auto"/>
        </w:rPr>
      </w:pPr>
    </w:p>
    <w:p>
      <w:pPr>
        <w:jc w:val="both"/>
        <w:ind w:left="311" w:hanging="311"/>
        <w:spacing w:after="0" w:line="269" w:lineRule="auto"/>
        <w:tabs>
          <w:tab w:leader="none" w:pos="31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(i) 2,677 Common Shares held by Mr. Madsbjerg and (ii) 590,509 Common Shares underlying options that are exercisable within 60 days of January 31, 2023 held by Mr. Madsbjerg. Does not include 126,407 Common Shares underlying options that are not exercisable and 73,382 Common Shares underlying restricted share units that do not vest within 60 days of January 31, 2023 held by Mr. Madsbjerg.</w:t>
      </w:r>
    </w:p>
    <w:p>
      <w:pPr>
        <w:spacing w:after="0" w:line="95" w:lineRule="exact"/>
        <w:rPr>
          <w:rFonts w:ascii="Times New Roman" w:cs="Times New Roman" w:eastAsia="Times New Roman" w:hAnsi="Times New Roman"/>
          <w:sz w:val="14"/>
          <w:szCs w:val="14"/>
          <w:color w:val="auto"/>
        </w:rPr>
      </w:pPr>
    </w:p>
    <w:p>
      <w:pPr>
        <w:jc w:val="both"/>
        <w:ind w:left="311" w:hanging="311"/>
        <w:spacing w:after="0" w:line="276" w:lineRule="auto"/>
        <w:tabs>
          <w:tab w:leader="none" w:pos="31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(i) 4,095,827 Common Shares held by Mr. Greig and (ii) 716,916 Common Shares underlying options that are exercisable within 60 days of January 31, 2023 held by Mr. Greig. Does not include 95,238 Common Shares underlying restricted share units that do not vest within 60 days of January 31, 2023 held by Mr. Greig.</w:t>
      </w:r>
    </w:p>
    <w:p>
      <w:pPr>
        <w:spacing w:after="0" w:line="90" w:lineRule="exact"/>
        <w:rPr>
          <w:rFonts w:ascii="Times New Roman" w:cs="Times New Roman" w:eastAsia="Times New Roman" w:hAnsi="Times New Roman"/>
          <w:sz w:val="14"/>
          <w:szCs w:val="14"/>
          <w:color w:val="auto"/>
        </w:rPr>
      </w:pPr>
    </w:p>
    <w:p>
      <w:pPr>
        <w:ind w:left="311" w:hanging="311"/>
        <w:spacing w:after="0" w:line="298" w:lineRule="auto"/>
        <w:tabs>
          <w:tab w:leader="none" w:pos="31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30,677 Common Shares held by Mr. Hall. Does not include 73,382 Common Shares underlying restricted share units that do not vest within 60 days of January 31, 2023 held by Mr. Hall.</w:t>
      </w:r>
    </w:p>
    <w:p>
      <w:pPr>
        <w:spacing w:after="0" w:line="58" w:lineRule="exact"/>
        <w:rPr>
          <w:rFonts w:ascii="Times New Roman" w:cs="Times New Roman" w:eastAsia="Times New Roman" w:hAnsi="Times New Roman"/>
          <w:sz w:val="14"/>
          <w:szCs w:val="14"/>
          <w:color w:val="auto"/>
        </w:rPr>
      </w:pPr>
    </w:p>
    <w:p>
      <w:pPr>
        <w:ind w:left="311" w:hanging="311"/>
        <w:spacing w:after="0" w:line="298" w:lineRule="auto"/>
        <w:tabs>
          <w:tab w:leader="none" w:pos="31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2,677 Common Shares held by Ms. Khama. Does not include 73,382 Common Shares underlying restricted share units that do not vest within 60 days of January 31, 2023 held by Ms. Khama.</w:t>
      </w:r>
    </w:p>
    <w:p>
      <w:pPr>
        <w:spacing w:after="0" w:line="71" w:lineRule="exact"/>
        <w:rPr>
          <w:rFonts w:ascii="Times New Roman" w:cs="Times New Roman" w:eastAsia="Times New Roman" w:hAnsi="Times New Roman"/>
          <w:sz w:val="14"/>
          <w:szCs w:val="14"/>
          <w:color w:val="auto"/>
        </w:rPr>
      </w:pPr>
    </w:p>
    <w:p>
      <w:pPr>
        <w:jc w:val="both"/>
        <w:ind w:left="311" w:hanging="311"/>
        <w:spacing w:after="0" w:line="263" w:lineRule="auto"/>
        <w:tabs>
          <w:tab w:leader="none" w:pos="31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(i) 2,677 Common Shares held by Mr. Karkar, (ii) 642,613 Common Shares underlying options that are exercisable within 60 days of January 31, 2023 held by Mr. Karkar, (iii) 51,955,976 Common Shares held by ERAS Capital LLC (“ERAS”), and (iv) 1,414,716 Common Shares underlying warrants held by ERAS. Does not include 126,407 Common Shares underlying options that are not exercisable and 73,382 Common Shares underlying restricted share units that do not vest within 60 days of January 31, 2023 held by Mr. Karkar. Mr. Karkar has voting and dispositive control over the securities held by ERAS and therefore Mr. Karkar may be deemed to have beneficial ownership of the shares held by ERAS.</w:t>
      </w:r>
    </w:p>
    <w:p>
      <w:pPr>
        <w:spacing w:after="0" w:line="101" w:lineRule="exact"/>
        <w:rPr>
          <w:rFonts w:ascii="Times New Roman" w:cs="Times New Roman" w:eastAsia="Times New Roman" w:hAnsi="Times New Roman"/>
          <w:sz w:val="14"/>
          <w:szCs w:val="14"/>
          <w:color w:val="auto"/>
        </w:rPr>
      </w:pPr>
    </w:p>
    <w:p>
      <w:pPr>
        <w:ind w:left="311" w:hanging="311"/>
        <w:spacing w:after="0" w:line="298" w:lineRule="auto"/>
        <w:tabs>
          <w:tab w:leader="none" w:pos="31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2,677 Common Shares held by Ms. Siamomua. Does not include 73,382 Common Shares underlying restricted share units that do not vest within 60 days of January 31, 2023 held by Ms. Siamomua.</w:t>
      </w:r>
    </w:p>
    <w:p>
      <w:pPr>
        <w:spacing w:after="0" w:line="58" w:lineRule="exact"/>
        <w:rPr>
          <w:rFonts w:ascii="Times New Roman" w:cs="Times New Roman" w:eastAsia="Times New Roman" w:hAnsi="Times New Roman"/>
          <w:sz w:val="14"/>
          <w:szCs w:val="14"/>
          <w:color w:val="auto"/>
        </w:rPr>
      </w:pPr>
    </w:p>
    <w:p>
      <w:pPr>
        <w:jc w:val="both"/>
        <w:ind w:left="311" w:hanging="311"/>
        <w:spacing w:after="0" w:line="276" w:lineRule="auto"/>
        <w:tabs>
          <w:tab w:leader="none" w:pos="31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21,505 Common Shares underlying restricted share units that vest within 60 days of January 31, 2023 held by Ms. McAllister. Does not include 111,038 Common Shares underlying restricted share units that do not vest within 60 days of January 31, 2023 held by Ms. McAllister.</w:t>
      </w:r>
    </w:p>
    <w:p>
      <w:pPr>
        <w:spacing w:after="0" w:line="90" w:lineRule="exact"/>
        <w:rPr>
          <w:rFonts w:ascii="Times New Roman" w:cs="Times New Roman" w:eastAsia="Times New Roman" w:hAnsi="Times New Roman"/>
          <w:sz w:val="14"/>
          <w:szCs w:val="14"/>
          <w:color w:val="auto"/>
        </w:rPr>
      </w:pPr>
    </w:p>
    <w:p>
      <w:pPr>
        <w:jc w:val="both"/>
        <w:ind w:left="311" w:hanging="311"/>
        <w:spacing w:after="0" w:line="265" w:lineRule="auto"/>
        <w:tabs>
          <w:tab w:leader="none" w:pos="31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See footnotes 2 through 11. Includes (i) 572,191 Common Shares held in the aggregate by executive officers (and their children) other than the NEOs and (ii) 2,685,690 Common Shares underlying options that are exercisable within 60 days of January 31, 2023 held in the aggregate by executive officers other than the NEOs. Does not include 1,516,889 Common Shares underlying options that are not exercisable and 260,417 Common Shares underlying restricted share units that do not vest within 60 days of January 31, 2023 held in the aggregate by executive officers other than the NEOs.</w:t>
      </w:r>
    </w:p>
    <w:p>
      <w:pPr>
        <w:spacing w:after="0" w:line="100" w:lineRule="exact"/>
        <w:rPr>
          <w:rFonts w:ascii="Times New Roman" w:cs="Times New Roman" w:eastAsia="Times New Roman" w:hAnsi="Times New Roman"/>
          <w:sz w:val="14"/>
          <w:szCs w:val="14"/>
          <w:color w:val="auto"/>
        </w:rPr>
      </w:pPr>
    </w:p>
    <w:p>
      <w:pPr>
        <w:jc w:val="both"/>
        <w:ind w:left="311" w:hanging="311"/>
        <w:spacing w:after="0" w:line="276" w:lineRule="auto"/>
        <w:tabs>
          <w:tab w:leader="none" w:pos="31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address of ERAS is 323 Marina Boulevard, San Francisco, California 94123. Consists of (i) 51,955,976 Common Shares and (ii) 1,414,716 Common Shares issuable upon exercise of warrants owned by ERAS. Andrei Karkar has voting and dispositive control over the securities held by ERAS and therefore Mr. Karkar may be deemed to have beneficial ownership of the shares held by ERAS.</w:t>
      </w:r>
    </w:p>
    <w:p>
      <w:pPr>
        <w:spacing w:after="0" w:line="77" w:lineRule="exact"/>
        <w:rPr>
          <w:rFonts w:ascii="Times New Roman" w:cs="Times New Roman" w:eastAsia="Times New Roman" w:hAnsi="Times New Roman"/>
          <w:sz w:val="14"/>
          <w:szCs w:val="14"/>
          <w:color w:val="auto"/>
        </w:rPr>
      </w:pPr>
    </w:p>
    <w:p>
      <w:pPr>
        <w:ind w:left="311" w:hanging="311"/>
        <w:spacing w:after="0" w:line="298" w:lineRule="auto"/>
        <w:tabs>
          <w:tab w:leader="none" w:pos="311"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address of Maersk Supply Service A/S is Esplanaden 50 Copenhagen K, DK-1098 Denmark. Maersk Supply Service A/S is a subsidiary of AP Moller-Maersk A/S.</w:t>
      </w:r>
    </w:p>
    <w:p>
      <w:pPr>
        <w:spacing w:after="0" w:line="141" w:lineRule="exact"/>
        <w:rPr>
          <w:rFonts w:ascii="Times New Roman" w:cs="Times New Roman" w:eastAsia="Times New Roman" w:hAnsi="Times New Roman"/>
          <w:sz w:val="14"/>
          <w:szCs w:val="14"/>
          <w:color w:val="auto"/>
        </w:rPr>
      </w:pPr>
    </w:p>
    <w:p>
      <w:pPr>
        <w:jc w:val="both"/>
        <w:ind w:left="311" w:hanging="311"/>
        <w:spacing w:after="0" w:line="261" w:lineRule="auto"/>
        <w:tabs>
          <w:tab w:leader="none" w:pos="31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address of Allseas Group S.A. is 18 Route de Pra de Plan, Case Postale, 411 1618 Chatel-Saint-Denis, Switzerland. Includes (i) 22,701,648 Common Shares owned by Allseas Group S.A. and (ii) 11,578,620 Common Shares issuable upon the exercise of a warrant owned by Allseas Group S.A. Excludes (i) 1,000,000 Common Shares held by Argentum Cedit Virtuti GCV, which has an ownership interest in Allseas Group S.A., to which Allseas Group, S.A. does not have voting or investment power with respect thereto and (ii) 10,850,000 Common Shares the Company intended to issue to Allseas Group S.A. under the PMTA, which were issued to Allseas Group S.A. on February 13, 2023.</w:t>
      </w:r>
    </w:p>
    <w:p>
      <w:pPr>
        <w:spacing w:after="0" w:line="3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363855</wp:posOffset>
                </wp:positionV>
                <wp:extent cx="6109970" cy="0"/>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09970"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8.65pt" to="480.85pt,28.65pt" o:allowincell="f" strokecolor="#000000" strokeweight="1.943pt"/>
            </w:pict>
          </mc:Fallback>
        </mc:AlternateContent>
      </w:r>
    </w:p>
    <w:p>
      <w:pPr>
        <w:sectPr>
          <w:pgSz w:w="12240" w:h="15840" w:orient="portrait"/>
          <w:cols w:equalWidth="0" w:num="1">
            <w:col w:w="9611"/>
          </w:cols>
          <w:pgMar w:left="1329" w:top="1337" w:right="130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39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392">
                      <a:extLst>
                        <a:ext uri="{28A0092B-C50C-407E-A947-70E740481C1C}"/>
                      </a:extLst>
                    </a:blip>
                    <a:srcRect/>
                    <a:stretch>
                      <a:fillRect/>
                    </a:stretch>
                  </pic:blipFill>
                  <pic:spPr bwMode="auto">
                    <a:xfrm>
                      <a:off x="0" y="0"/>
                      <a:ext cx="5080" cy="13970"/>
                    </a:xfrm>
                    <a:prstGeom prst="rect">
                      <a:avLst/>
                    </a:prstGeom>
                    <a:noFill/>
                  </pic:spPr>
                </pic:pic>
              </a:graphicData>
            </a:graphic>
          </wp:anchor>
        </w:drawing>
        <w:t>Equity Compensation Plan Information</w:t>
      </w:r>
    </w:p>
    <w:p>
      <w:pPr>
        <w:spacing w:after="0" w:line="222" w:lineRule="exact"/>
        <w:rPr>
          <w:sz w:val="20"/>
          <w:szCs w:val="20"/>
          <w:color w:val="auto"/>
        </w:rPr>
      </w:pPr>
    </w:p>
    <w:p>
      <w:pPr>
        <w:ind w:left="320"/>
        <w:spacing w:after="0" w:line="298" w:lineRule="auto"/>
        <w:rPr>
          <w:sz w:val="20"/>
          <w:szCs w:val="20"/>
          <w:color w:val="auto"/>
        </w:rPr>
      </w:pPr>
      <w:r>
        <w:rPr>
          <w:rFonts w:ascii="Times New Roman" w:cs="Times New Roman" w:eastAsia="Times New Roman" w:hAnsi="Times New Roman"/>
          <w:sz w:val="17"/>
          <w:szCs w:val="17"/>
          <w:color w:val="auto"/>
        </w:rPr>
        <w:t>The following table provides certain aggregate information with respect to all of our equity compensation plans in effect as of December 31,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700" w:type="dxa"/>
            <w:vAlign w:val="bottom"/>
            <w:gridSpan w:val="2"/>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tcBorders>
              <w:top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Number of securities</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2"/>
          </w:tcPr>
          <w:p>
            <w:pPr>
              <w:jc w:val="center"/>
              <w:ind w:right="115"/>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remaining available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restart"/>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7"/>
              </w:rPr>
              <w:t>Weighted-average</w:t>
            </w:r>
          </w:p>
        </w:tc>
        <w:tc>
          <w:tcPr>
            <w:tcW w:w="1700" w:type="dxa"/>
            <w:vAlign w:val="bottom"/>
            <w:gridSpan w:val="2"/>
          </w:tcPr>
          <w:p>
            <w:pPr>
              <w:jc w:val="center"/>
              <w:ind w:right="95"/>
              <w:spacing w:after="0" w:line="143" w:lineRule="exact"/>
              <w:rPr>
                <w:sz w:val="20"/>
                <w:szCs w:val="20"/>
                <w:color w:val="auto"/>
              </w:rPr>
            </w:pPr>
            <w:r>
              <w:rPr>
                <w:rFonts w:ascii="Times New Roman" w:cs="Times New Roman" w:eastAsia="Times New Roman" w:hAnsi="Times New Roman"/>
                <w:sz w:val="14"/>
                <w:szCs w:val="14"/>
                <w:b w:val="1"/>
                <w:bCs w:val="1"/>
                <w:color w:val="auto"/>
                <w:w w:val="98"/>
              </w:rPr>
              <w:t>for future issuance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135"/>
              <w:spacing w:after="0" w:line="143" w:lineRule="exact"/>
              <w:rPr>
                <w:sz w:val="20"/>
                <w:szCs w:val="20"/>
                <w:color w:val="auto"/>
              </w:rPr>
            </w:pPr>
            <w:r>
              <w:rPr>
                <w:rFonts w:ascii="Times New Roman" w:cs="Times New Roman" w:eastAsia="Times New Roman" w:hAnsi="Times New Roman"/>
                <w:sz w:val="14"/>
                <w:szCs w:val="14"/>
                <w:b w:val="1"/>
                <w:bCs w:val="1"/>
                <w:color w:val="auto"/>
                <w:w w:val="98"/>
              </w:rPr>
              <w:t>to be issued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700" w:type="dxa"/>
            <w:vAlign w:val="bottom"/>
            <w:gridSpan w:val="2"/>
          </w:tcPr>
          <w:p>
            <w:pPr>
              <w:jc w:val="center"/>
              <w:ind w:right="115"/>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under equity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center"/>
              <w:ind w:right="135"/>
              <w:spacing w:after="0" w:line="143" w:lineRule="exact"/>
              <w:rPr>
                <w:sz w:val="20"/>
                <w:szCs w:val="20"/>
                <w:color w:val="auto"/>
              </w:rPr>
            </w:pPr>
            <w:r>
              <w:rPr>
                <w:rFonts w:ascii="Times New Roman" w:cs="Times New Roman" w:eastAsia="Times New Roman" w:hAnsi="Times New Roman"/>
                <w:sz w:val="14"/>
                <w:szCs w:val="14"/>
                <w:b w:val="1"/>
                <w:bCs w:val="1"/>
                <w:color w:val="auto"/>
                <w:w w:val="98"/>
              </w:rPr>
              <w:t>upon exercise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335"/>
              <w:spacing w:after="0" w:line="143" w:lineRule="exact"/>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1700" w:type="dxa"/>
            <w:vAlign w:val="bottom"/>
            <w:gridSpan w:val="2"/>
          </w:tcPr>
          <w:p>
            <w:pPr>
              <w:jc w:val="center"/>
              <w:ind w:right="115"/>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compensation plans</w:t>
            </w:r>
          </w:p>
        </w:tc>
        <w:tc>
          <w:tcPr>
            <w:tcW w:w="0" w:type="dxa"/>
            <w:vAlign w:val="bottom"/>
          </w:tcPr>
          <w:p>
            <w:pPr>
              <w:spacing w:after="0"/>
              <w:rPr>
                <w:sz w:val="1"/>
                <w:szCs w:val="1"/>
                <w:color w:val="auto"/>
              </w:rPr>
            </w:pPr>
          </w:p>
        </w:tc>
      </w:tr>
      <w:tr>
        <w:trPr>
          <w:trHeight w:val="143"/>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720" w:type="dxa"/>
            <w:vAlign w:val="bottom"/>
            <w:gridSpan w:val="2"/>
          </w:tcPr>
          <w:p>
            <w:pPr>
              <w:jc w:val="center"/>
              <w:ind w:right="155"/>
              <w:spacing w:after="0" w:line="143" w:lineRule="exact"/>
              <w:rPr>
                <w:sz w:val="20"/>
                <w:szCs w:val="20"/>
                <w:color w:val="auto"/>
              </w:rPr>
            </w:pPr>
            <w:r>
              <w:rPr>
                <w:rFonts w:ascii="Times New Roman" w:cs="Times New Roman" w:eastAsia="Times New Roman" w:hAnsi="Times New Roman"/>
                <w:sz w:val="14"/>
                <w:szCs w:val="14"/>
                <w:b w:val="1"/>
                <w:bCs w:val="1"/>
                <w:color w:val="auto"/>
                <w:w w:val="98"/>
              </w:rPr>
              <w:t>of outstanding options,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315"/>
              <w:spacing w:after="0" w:line="143" w:lineRule="exact"/>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1700" w:type="dxa"/>
            <w:vAlign w:val="bottom"/>
            <w:gridSpan w:val="2"/>
          </w:tcPr>
          <w:p>
            <w:pPr>
              <w:jc w:val="center"/>
              <w:ind w:right="115"/>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(excluding securities</w:t>
            </w:r>
          </w:p>
        </w:tc>
        <w:tc>
          <w:tcPr>
            <w:tcW w:w="0" w:type="dxa"/>
            <w:vAlign w:val="bottom"/>
          </w:tcPr>
          <w:p>
            <w:pPr>
              <w:spacing w:after="0"/>
              <w:rPr>
                <w:sz w:val="1"/>
                <w:szCs w:val="1"/>
                <w:color w:val="auto"/>
              </w:rPr>
            </w:pPr>
          </w:p>
        </w:tc>
      </w:tr>
      <w:tr>
        <w:trPr>
          <w:trHeight w:val="168"/>
        </w:trPr>
        <w:tc>
          <w:tcPr>
            <w:tcW w:w="4240" w:type="dxa"/>
            <w:vAlign w:val="bottom"/>
            <w:gridSpan w:val="3"/>
            <w:vMerge w:val="continue"/>
          </w:tcPr>
          <w:p>
            <w:pPr>
              <w:spacing w:after="0"/>
              <w:rPr>
                <w:sz w:val="14"/>
                <w:szCs w:val="14"/>
                <w:color w:val="auto"/>
              </w:rPr>
            </w:pPr>
          </w:p>
        </w:tc>
        <w:tc>
          <w:tcPr>
            <w:tcW w:w="1720" w:type="dxa"/>
            <w:vAlign w:val="bottom"/>
            <w:gridSpan w:val="2"/>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1700" w:type="dxa"/>
            <w:vAlign w:val="bottom"/>
            <w:gridSpan w:val="2"/>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7"/>
              </w:rPr>
              <w:t>reflected in column (a))</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7EAF2"/>
          </w:tcPr>
          <w:p>
            <w:pPr>
              <w:spacing w:after="0"/>
              <w:rPr>
                <w:sz w:val="20"/>
                <w:szCs w:val="20"/>
                <w:color w:val="auto"/>
              </w:rPr>
            </w:pPr>
            <w:r>
              <w:rPr>
                <w:rFonts w:ascii="Times New Roman" w:cs="Times New Roman" w:eastAsia="Times New Roman" w:hAnsi="Times New Roman"/>
                <w:sz w:val="17"/>
                <w:szCs w:val="17"/>
                <w:color w:val="auto"/>
              </w:rPr>
              <w:t>Equity compensation plans approved by security holders</w:t>
            </w:r>
          </w:p>
        </w:tc>
        <w:tc>
          <w:tcPr>
            <w:tcW w:w="240" w:type="dxa"/>
            <w:vAlign w:val="bottom"/>
            <w:tcBorders>
              <w:top w:val="single" w:sz="8" w:color="C7EAF2"/>
            </w:tcBorders>
            <w:shd w:val="clear" w:color="auto" w:fill="C7EAF2"/>
          </w:tcPr>
          <w:p>
            <w:pPr>
              <w:spacing w:after="0"/>
              <w:rPr>
                <w:sz w:val="17"/>
                <w:szCs w:val="17"/>
                <w:color w:val="auto"/>
              </w:rPr>
            </w:pPr>
          </w:p>
        </w:tc>
        <w:tc>
          <w:tcPr>
            <w:tcW w:w="152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29,955,405</w:t>
            </w:r>
          </w:p>
        </w:tc>
        <w:tc>
          <w:tcPr>
            <w:tcW w:w="200" w:type="dxa"/>
            <w:vAlign w:val="bottom"/>
            <w:tcBorders>
              <w:top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40" w:type="dxa"/>
            <w:vAlign w:val="bottom"/>
            <w:tcBorders>
              <w:top w:val="single" w:sz="8" w:color="C7EAF2"/>
            </w:tcBorders>
            <w:shd w:val="clear" w:color="auto" w:fill="C7EAF2"/>
          </w:tcPr>
          <w:p>
            <w:pPr>
              <w:spacing w:after="0"/>
              <w:rPr>
                <w:sz w:val="17"/>
                <w:szCs w:val="17"/>
                <w:color w:val="auto"/>
              </w:rPr>
            </w:pPr>
          </w:p>
        </w:tc>
        <w:tc>
          <w:tcPr>
            <w:tcW w:w="1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40" w:type="dxa"/>
            <w:vAlign w:val="bottom"/>
            <w:tcBorders>
              <w:top w:val="single" w:sz="8" w:color="C7EAF2"/>
            </w:tcBorders>
            <w:shd w:val="clear" w:color="auto" w:fill="C7EAF2"/>
          </w:tcPr>
          <w:p>
            <w:pPr>
              <w:jc w:val="right"/>
              <w:ind w:right="35"/>
              <w:spacing w:after="0"/>
              <w:rPr>
                <w:sz w:val="20"/>
                <w:szCs w:val="20"/>
                <w:color w:val="auto"/>
              </w:rPr>
            </w:pPr>
            <w:r>
              <w:rPr>
                <w:rFonts w:ascii="Times New Roman" w:cs="Times New Roman" w:eastAsia="Times New Roman" w:hAnsi="Times New Roman"/>
                <w:sz w:val="13"/>
                <w:szCs w:val="13"/>
                <w:color w:val="auto"/>
                <w:w w:val="78"/>
              </w:rPr>
              <w:t>(2)</w:t>
            </w:r>
          </w:p>
        </w:tc>
        <w:tc>
          <w:tcPr>
            <w:tcW w:w="1540" w:type="dxa"/>
            <w:vAlign w:val="bottom"/>
            <w:tcBorders>
              <w:top w:val="single" w:sz="8" w:color="auto"/>
            </w:tcBorders>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35,719,259</w:t>
            </w:r>
          </w:p>
        </w:tc>
        <w:tc>
          <w:tcPr>
            <w:tcW w:w="160" w:type="dxa"/>
            <w:vAlign w:val="bottom"/>
            <w:tcBorders>
              <w:top w:val="single" w:sz="8" w:color="C7EAF2"/>
            </w:tcBorders>
            <w:shd w:val="clear" w:color="auto" w:fill="C7EAF2"/>
          </w:tcPr>
          <w:p>
            <w:pPr>
              <w:jc w:val="right"/>
              <w:spacing w:after="0"/>
              <w:rPr>
                <w:sz w:val="20"/>
                <w:szCs w:val="20"/>
                <w:color w:val="auto"/>
              </w:rPr>
            </w:pPr>
            <w:r>
              <w:rPr>
                <w:rFonts w:ascii="Times New Roman" w:cs="Times New Roman" w:eastAsia="Times New Roman" w:hAnsi="Times New Roman"/>
                <w:sz w:val="13"/>
                <w:szCs w:val="13"/>
                <w:color w:val="auto"/>
                <w:w w:val="78"/>
              </w:rPr>
              <w:t>(3)</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22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auto"/>
              </w:rPr>
              <w:t>Equity compensation plans not approved by security</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holders</w:t>
            </w:r>
          </w:p>
        </w:tc>
        <w:tc>
          <w:tcPr>
            <w:tcW w:w="172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20" w:type="dxa"/>
            <w:vAlign w:val="bottom"/>
            <w:gridSpan w:val="2"/>
            <w:shd w:val="clear" w:color="auto" w:fill="C7EAF2"/>
          </w:tcPr>
          <w:p>
            <w:pPr>
              <w:spacing w:after="0"/>
              <w:rPr>
                <w:sz w:val="20"/>
                <w:szCs w:val="20"/>
                <w:color w:val="auto"/>
              </w:rPr>
            </w:pPr>
            <w:r>
              <w:rPr>
                <w:rFonts w:ascii="Times New Roman" w:cs="Times New Roman" w:eastAsia="Times New Roman" w:hAnsi="Times New Roman"/>
                <w:sz w:val="17"/>
                <w:szCs w:val="17"/>
                <w:color w:val="auto"/>
              </w:rPr>
              <w:t>Total</w:t>
            </w:r>
          </w:p>
        </w:tc>
        <w:tc>
          <w:tcPr>
            <w:tcW w:w="152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28,955,405</w:t>
            </w:r>
          </w:p>
        </w:tc>
        <w:tc>
          <w:tcPr>
            <w:tcW w:w="200" w:type="dxa"/>
            <w:vAlign w:val="bottom"/>
            <w:shd w:val="clear" w:color="auto" w:fill="C7EAF2"/>
          </w:tcPr>
          <w:p>
            <w:pPr>
              <w:spacing w:after="0"/>
              <w:rPr>
                <w:sz w:val="18"/>
                <w:szCs w:val="18"/>
                <w:color w:val="auto"/>
              </w:rPr>
            </w:pPr>
          </w:p>
        </w:tc>
        <w:tc>
          <w:tcPr>
            <w:tcW w:w="180" w:type="dxa"/>
            <w:vAlign w:val="bottom"/>
            <w:gridSpan w:val="2"/>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240" w:type="dxa"/>
            <w:vAlign w:val="bottom"/>
            <w:shd w:val="clear" w:color="auto" w:fill="C7EAF2"/>
          </w:tcPr>
          <w:p>
            <w:pPr>
              <w:spacing w:after="0"/>
              <w:rPr>
                <w:sz w:val="18"/>
                <w:szCs w:val="18"/>
                <w:color w:val="auto"/>
              </w:rPr>
            </w:pPr>
          </w:p>
        </w:tc>
        <w:tc>
          <w:tcPr>
            <w:tcW w:w="154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35,719,259</w:t>
            </w:r>
          </w:p>
        </w:tc>
        <w:tc>
          <w:tcPr>
            <w:tcW w:w="160" w:type="dxa"/>
            <w:vAlign w:val="bottom"/>
            <w:shd w:val="clear" w:color="auto" w:fill="C7EAF2"/>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180975</wp:posOffset>
                </wp:positionV>
                <wp:extent cx="1529715" cy="0"/>
                <wp:wrapNone/>
                <wp:docPr id="598" name="Shape 5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16458">
                          <a:solidFill>
                            <a:srgbClr val="000000"/>
                          </a:solidFill>
                          <a:miter lim="800000"/>
                          <a:headEnd/>
                          <a:tailEnd/>
                        </a:ln>
                      </wps:spPr>
                      <wps:bodyPr/>
                    </wps:wsp>
                  </a:graphicData>
                </a:graphic>
              </wp:anchor>
            </w:drawing>
          </mc:Choice>
          <mc:Fallback>
            <w:pict>
              <v:line id="Shape 598" o:spid="_x0000_s16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14.25pt" to="120.6pt,14.25pt" o:allowincell="f" strokecolor="#000000" strokeweight="1.2959pt"/>
            </w:pict>
          </mc:Fallback>
        </mc:AlternateContent>
      </w:r>
    </w:p>
    <w:p>
      <w:pPr>
        <w:spacing w:after="0" w:line="306" w:lineRule="exact"/>
        <w:rPr>
          <w:sz w:val="20"/>
          <w:szCs w:val="20"/>
          <w:color w:val="auto"/>
        </w:rPr>
      </w:pPr>
    </w:p>
    <w:p>
      <w:pPr>
        <w:ind w:left="320" w:hanging="311"/>
        <w:spacing w:after="0" w:line="298" w:lineRule="auto"/>
        <w:tabs>
          <w:tab w:leader="none" w:pos="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25,140,262 shares to be issued upon exercise of outstanding options under the DeepGreen Plan and (ii) 3,815,143 shares to be issued upon exercise of outstanding RSUs under the TMC 2021 Incentive Equity Plan.</w:t>
      </w:r>
    </w:p>
    <w:p>
      <w:pPr>
        <w:spacing w:after="0" w:line="136" w:lineRule="exact"/>
        <w:rPr>
          <w:rFonts w:ascii="Times New Roman" w:cs="Times New Roman" w:eastAsia="Times New Roman" w:hAnsi="Times New Roman"/>
          <w:sz w:val="17"/>
          <w:szCs w:val="17"/>
          <w:color w:val="auto"/>
        </w:rPr>
      </w:pPr>
    </w:p>
    <w:p>
      <w:pPr>
        <w:ind w:left="320" w:hanging="311"/>
        <w:spacing w:after="0"/>
        <w:tabs>
          <w:tab w:leader="none" w:pos="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the weighted-average exercise price of the 25,140,262 options outstanding on December 31, 2022.</w:t>
      </w:r>
    </w:p>
    <w:p>
      <w:pPr>
        <w:spacing w:after="0" w:line="219" w:lineRule="exact"/>
        <w:rPr>
          <w:rFonts w:ascii="Times New Roman" w:cs="Times New Roman" w:eastAsia="Times New Roman" w:hAnsi="Times New Roman"/>
          <w:sz w:val="17"/>
          <w:szCs w:val="17"/>
          <w:color w:val="auto"/>
        </w:rPr>
      </w:pPr>
    </w:p>
    <w:p>
      <w:pPr>
        <w:jc w:val="both"/>
        <w:ind w:left="320" w:hanging="311"/>
        <w:spacing w:after="0" w:line="276" w:lineRule="auto"/>
        <w:tabs>
          <w:tab w:leader="none" w:pos="3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30,582,864 shares under the TMC 2021 Incentive Equity Plan and 5,136,395 shares under the TMC 2021 Employee Stock Purchase Plan that remained available for future issuance as of December 31, 2022. No shares remained available for future issuance under the DeepGreen Plan as of December 31, 2022.</w:t>
      </w:r>
    </w:p>
    <w:p>
      <w:pPr>
        <w:spacing w:after="0" w:line="15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The TMC 2021 Incentive Equity Plan has an evergreen provision that allows for an annual increase in the number of shares available for issuance under the TMC 2021 Incentive Equity Plan to be added on the first day of each fiscal year, beginning in fiscal year 2022 and ending on the tenth anniversary of the closing of the Business Combination. The evergreen provides for an automatic increase in the number of shares available for issuance equal to the lesser of (i) 4% of the number of outstanding Common Shares on such date and (ii) an amount determined by the plan administr</w:t>
      </w:r>
      <w:r>
        <w:rPr>
          <w:rFonts w:ascii="Times New Roman" w:cs="Times New Roman" w:eastAsia="Times New Roman" w:hAnsi="Times New Roman"/>
          <w:sz w:val="15"/>
          <w:szCs w:val="15"/>
          <w:color w:val="auto"/>
        </w:rPr>
        <w:t>ator.</w:t>
      </w:r>
    </w:p>
    <w:p>
      <w:pPr>
        <w:spacing w:after="0" w:line="165"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TMC 2021 Employee Stock Purchase Plan has an annual increase provision that allows for an annual increase in the number of shares available for issuance under the TMC Employee Share Purchase Plan to be added on the first day of each fiscal year, beginning in fiscal year 2022. The annual increase provision provides for an automatic increase in the number of shares available for issuance equal to the lesser of (i) 1% of the number of outstanding Common Shares on such date and (ii) an amount determined by the Board of directors.</w:t>
      </w:r>
    </w:p>
    <w:p>
      <w:pPr>
        <w:spacing w:after="0" w:line="339" w:lineRule="exact"/>
        <w:rPr>
          <w:sz w:val="20"/>
          <w:szCs w:val="20"/>
          <w:color w:val="auto"/>
        </w:rPr>
      </w:pPr>
    </w:p>
    <w:p>
      <w:pPr>
        <w:ind w:right="1200"/>
        <w:spacing w:after="0" w:line="510" w:lineRule="auto"/>
        <w:rPr>
          <w:sz w:val="20"/>
          <w:szCs w:val="20"/>
          <w:color w:val="auto"/>
        </w:rPr>
      </w:pPr>
      <w:r>
        <w:rPr>
          <w:rFonts w:ascii="Times New Roman" w:cs="Times New Roman" w:eastAsia="Times New Roman" w:hAnsi="Times New Roman"/>
          <w:sz w:val="17"/>
          <w:szCs w:val="17"/>
          <w:b w:val="1"/>
          <w:bCs w:val="1"/>
          <w:color w:val="auto"/>
        </w:rPr>
        <w:t xml:space="preserve">Item 13.CERTAIN RELATIONSHIPS AND RELATED TRANSACTIONS, AND DIRECTOR INDEPENDENCE </w:t>
      </w:r>
      <w:r>
        <w:rPr>
          <w:rFonts w:ascii="Times New Roman" w:cs="Times New Roman" w:eastAsia="Times New Roman" w:hAnsi="Times New Roman"/>
          <w:sz w:val="17"/>
          <w:szCs w:val="17"/>
          <w:b w:val="1"/>
          <w:bCs w:val="1"/>
          <w:i w:val="1"/>
          <w:iCs w:val="1"/>
          <w:color w:val="auto"/>
        </w:rPr>
        <w:t>2021 PIPE Financing</w:t>
      </w:r>
    </w:p>
    <w:p>
      <w:pPr>
        <w:spacing w:after="0" w:line="2"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In the private placement of common shares, consummated on September 9, 2021, Allseas Group SA and Argentum Cedit Virtuti, an affiliate of Allseas, purchased $20 million and $10 million of our Common Shares,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PIPE Financing</w:t>
      </w:r>
    </w:p>
    <w:p>
      <w:pPr>
        <w:spacing w:after="0" w:line="218" w:lineRule="exact"/>
        <w:rPr>
          <w:sz w:val="20"/>
          <w:szCs w:val="20"/>
          <w:color w:val="auto"/>
        </w:rPr>
      </w:pPr>
    </w:p>
    <w:p>
      <w:pPr>
        <w:ind w:firstLine="311"/>
        <w:spacing w:after="0" w:line="276" w:lineRule="auto"/>
        <w:rPr>
          <w:sz w:val="20"/>
          <w:szCs w:val="20"/>
          <w:color w:val="auto"/>
        </w:rPr>
      </w:pPr>
      <w:r>
        <w:rPr>
          <w:rFonts w:ascii="Times New Roman" w:cs="Times New Roman" w:eastAsia="Times New Roman" w:hAnsi="Times New Roman"/>
          <w:sz w:val="17"/>
          <w:szCs w:val="17"/>
          <w:color w:val="auto"/>
        </w:rPr>
        <w:t>In the private placement of common shares, entered into on August 12, 2022, Gerard Barron, our Chief Executive Officer and Chairman, ERAS Capital LLC, the family fund of the Company’s director, Andrei Karkar, and Allseas purchased $100,000, $5 million and $5 million of our Common Shares, respectively.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334" w:right="130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39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394">
                      <a:extLst>
                        <a:ext uri="{28A0092B-C50C-407E-A947-70E740481C1C}"/>
                      </a:extLst>
                    </a:blip>
                    <a:srcRect/>
                    <a:stretch>
                      <a:fillRect/>
                    </a:stretch>
                  </pic:blipFill>
                  <pic:spPr bwMode="auto">
                    <a:xfrm>
                      <a:off x="0" y="0"/>
                      <a:ext cx="5080" cy="13970"/>
                    </a:xfrm>
                    <a:prstGeom prst="rect">
                      <a:avLst/>
                    </a:prstGeom>
                    <a:noFill/>
                  </pic:spPr>
                </pic:pic>
              </a:graphicData>
            </a:graphic>
          </wp:anchor>
        </w:drawing>
        <w:t>Consulting Agreements</w:t>
      </w:r>
    </w:p>
    <w:p>
      <w:pPr>
        <w:spacing w:after="0" w:line="218" w:lineRule="exact"/>
        <w:rPr>
          <w:sz w:val="20"/>
          <w:szCs w:val="20"/>
          <w:color w:val="auto"/>
        </w:rPr>
      </w:pPr>
    </w:p>
    <w:p>
      <w:pPr>
        <w:jc w:val="both"/>
        <w:ind w:right="400" w:firstLine="311"/>
        <w:spacing w:after="0" w:line="276" w:lineRule="auto"/>
        <w:rPr>
          <w:sz w:val="20"/>
          <w:szCs w:val="20"/>
          <w:color w:val="auto"/>
        </w:rPr>
      </w:pPr>
      <w:r>
        <w:rPr>
          <w:rFonts w:ascii="Times New Roman" w:cs="Times New Roman" w:eastAsia="Times New Roman" w:hAnsi="Times New Roman"/>
          <w:sz w:val="17"/>
          <w:szCs w:val="17"/>
          <w:color w:val="auto"/>
        </w:rPr>
        <w:t>Gregory Stone, our Chief Ocean Scientist, regularly provides consulting services to us through Ocean Renaissance LLC (“Ocean Renaissance”), where he is a principal. Consulting services during each of the years ended December 31, 2021 and 2022 amounted to $375,000.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Allseas</w:t>
      </w:r>
    </w:p>
    <w:p>
      <w:pPr>
        <w:spacing w:after="0" w:line="218" w:lineRule="exact"/>
        <w:rPr>
          <w:sz w:val="20"/>
          <w:szCs w:val="20"/>
          <w:color w:val="auto"/>
        </w:rPr>
      </w:pPr>
    </w:p>
    <w:p>
      <w:pPr>
        <w:jc w:val="both"/>
        <w:ind w:firstLine="311"/>
        <w:spacing w:after="0" w:line="261" w:lineRule="auto"/>
        <w:rPr>
          <w:sz w:val="20"/>
          <w:szCs w:val="20"/>
          <w:color w:val="auto"/>
        </w:rPr>
      </w:pPr>
      <w:r>
        <w:rPr>
          <w:rFonts w:ascii="Times New Roman" w:cs="Times New Roman" w:eastAsia="Times New Roman" w:hAnsi="Times New Roman"/>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71" w:lineRule="exact"/>
        <w:rPr>
          <w:sz w:val="20"/>
          <w:szCs w:val="20"/>
          <w:color w:val="auto"/>
        </w:rPr>
      </w:pPr>
    </w:p>
    <w:p>
      <w:pPr>
        <w:jc w:val="both"/>
        <w:ind w:firstLine="312"/>
        <w:spacing w:after="0" w:line="257" w:lineRule="auto"/>
        <w:rPr>
          <w:sz w:val="20"/>
          <w:szCs w:val="20"/>
          <w:color w:val="auto"/>
        </w:rPr>
      </w:pPr>
      <w:r>
        <w:rPr>
          <w:rFonts w:ascii="Times New Roman" w:cs="Times New Roman" w:eastAsia="Times New Roman" w:hAnsi="Times New Roman"/>
          <w:sz w:val="17"/>
          <w:szCs w:val="17"/>
          <w:color w:val="auto"/>
        </w:rPr>
        <w:t>On March 16, 2022,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will not have to make any payments related to the commercial system to Allseas until March 31, 2023. Once in production, NORI expected to pay Allseas a nodule collection and transshipment fee estimated at approximately EUR 150 per wet tonne in the first year of operations and expected to be reduced by more than 20% in the following years as Allseas scaled up production to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 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Hidden Gem, a further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72" w:lineRule="exact"/>
        <w:rPr>
          <w:sz w:val="20"/>
          <w:szCs w:val="20"/>
          <w:color w:val="auto"/>
        </w:rPr>
      </w:pPr>
    </w:p>
    <w:p>
      <w:pPr>
        <w:jc w:val="both"/>
        <w:ind w:firstLine="311"/>
        <w:spacing w:after="0" w:line="260" w:lineRule="auto"/>
        <w:rPr>
          <w:sz w:val="20"/>
          <w:szCs w:val="20"/>
          <w:color w:val="auto"/>
        </w:rPr>
      </w:pPr>
      <w:r>
        <w:rPr>
          <w:rFonts w:ascii="Times New Roman" w:cs="Times New Roman" w:eastAsia="Times New Roman" w:hAnsi="Times New Roman"/>
          <w:sz w:val="17"/>
          <w:szCs w:val="17"/>
          <w:color w:val="auto"/>
        </w:rPr>
        <w:t>Through December 31, 2022,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which became exercisable in November 2022 with the successful completion of the pilot trial of the PMTS in the NORI-D Area, (d) $10 million in cash in October 2021, following the closing of the Business Combination and meeting certain progress targets on the PMTS, (e) the second $10 million payment to Allseas under the PMTA on April 25, 2022, following the successful completion of the North Sea drive test and (f) the third and final $10 million payment to Allseas became due in November 2022 upon successful completion of the pilot trial of the PMTS in the NORI Area D, which we settle, along with certain other costs due Allseas under the PMTA, through the issuance of 10,850,000 common shares in February 2023 at a price of $1.00 per share upon entering into the fifth amendment to the PMTA.</w:t>
      </w:r>
    </w:p>
    <w:p>
      <w:pPr>
        <w:spacing w:after="0" w:line="168" w:lineRule="exact"/>
        <w:rPr>
          <w:sz w:val="20"/>
          <w:szCs w:val="20"/>
          <w:color w:val="auto"/>
        </w:rPr>
      </w:pPr>
    </w:p>
    <w:p>
      <w:pPr>
        <w:jc w:val="both"/>
        <w:ind w:firstLine="312"/>
        <w:spacing w:after="0" w:line="276" w:lineRule="auto"/>
        <w:rPr>
          <w:sz w:val="20"/>
          <w:szCs w:val="20"/>
          <w:color w:val="auto"/>
        </w:rPr>
      </w:pPr>
      <w:r>
        <w:rPr>
          <w:rFonts w:ascii="Times New Roman" w:cs="Times New Roman" w:eastAsia="Times New Roman" w:hAnsi="Times New Roman"/>
          <w:sz w:val="17"/>
          <w:szCs w:val="17"/>
          <w:color w:val="auto"/>
        </w:rPr>
        <w:t>As further described under Part II, Item 9B “Other Information” above, on March 22, 2023, we entered into a Credit Facility with Argentum Credit Virtuti GCV, the parent of Allseas Investments S.A. and an affiliate of Allseas, pursuant to which, we may borrow from the Lender up to $25,000,000 in the aggregate, from time to time, subject to certain conditions set forth in the Credit Facility.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Maersk</w:t>
      </w:r>
    </w:p>
    <w:p>
      <w:pPr>
        <w:spacing w:after="0" w:line="218"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On March 21, 2017, the Company entered into four charter vessel agreements with Maersk and one charter vessel agreement with Maersk UK pursuant to which Maersk and Maersk UK agreed to supply the Company with vessels and offshore services for a total of five marine campaigns. By letter agreement on March 3, 2021, the Company and Maersk agreed to extend the arrangement until 2022.</w:t>
      </w:r>
    </w:p>
    <w:p>
      <w:pPr>
        <w:sectPr>
          <w:pgSz w:w="12240" w:h="15840" w:orient="portrait"/>
          <w:cols w:equalWidth="0" w:num="1">
            <w:col w:w="9620"/>
          </w:cols>
          <w:pgMar w:left="1320" w:top="1338" w:right="130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602" o:spid="_x0000_s16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8" w:right="1300" w:bottom="1440" w:gutter="0" w:footer="0" w:header="0"/>
          <w:type w:val="continuous"/>
        </w:sectPr>
      </w:pPr>
    </w:p>
    <w:bookmarkStart w:id="184" w:name="page185"/>
    <w:bookmarkEnd w:id="184"/>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39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396">
                      <a:extLst>
                        <a:ext uri="{28A0092B-C50C-407E-A947-70E740481C1C}"/>
                      </a:extLst>
                    </a:blip>
                    <a:srcRect/>
                    <a:stretch>
                      <a:fillRect/>
                    </a:stretch>
                  </pic:blipFill>
                  <pic:spPr bwMode="auto">
                    <a:xfrm>
                      <a:off x="0" y="0"/>
                      <a:ext cx="5080" cy="13970"/>
                    </a:xfrm>
                    <a:prstGeom prst="rect">
                      <a:avLst/>
                    </a:prstGeom>
                    <a:noFill/>
                  </pic:spPr>
                </pic:pic>
              </a:graphicData>
            </a:graphic>
          </wp:anchor>
        </w:drawing>
        <w:t>Pursuant to the Maersk Investment and Participation Agreement dated March 15, 2017 (the “Participation Agreement”), the Company agreed, among other things, that in return for marine cruises and related project management services provided by Maersk and Maersk UK, the Company will issue that number of common shares as is equal to the final cost of each marine cruise divided by $1.08 (subject to adjustment as described therein), upon completion of each marine cruise, and after agreement between the parties as to the calculation of the final cost to Maersk or Maersk UK for such cruise.</w:t>
      </w:r>
    </w:p>
    <w:p>
      <w:pPr>
        <w:spacing w:after="0" w:line="165" w:lineRule="exact"/>
        <w:rPr>
          <w:sz w:val="20"/>
          <w:szCs w:val="20"/>
          <w:color w:val="auto"/>
        </w:rPr>
      </w:pPr>
    </w:p>
    <w:p>
      <w:pPr>
        <w:jc w:val="both"/>
        <w:ind w:firstLine="312"/>
        <w:spacing w:after="0" w:line="265" w:lineRule="auto"/>
        <w:rPr>
          <w:sz w:val="20"/>
          <w:szCs w:val="20"/>
          <w:color w:val="auto"/>
        </w:rPr>
      </w:pPr>
      <w:r>
        <w:rPr>
          <w:rFonts w:ascii="Times New Roman" w:cs="Times New Roman" w:eastAsia="Times New Roman" w:hAnsi="Times New Roman"/>
          <w:sz w:val="17"/>
          <w:szCs w:val="17"/>
          <w:color w:val="auto"/>
        </w:rPr>
        <w:t>On March 3, 2021, the Participation Agreement with Maersk was amended whereby all costs incurred on or after February 5, 2021 pertaining to the use of the marine vessel would be paid in cash rather than through issuance of common shares. By this amendment, Maersk irrevocably waived certain pro rata participation rights that it may have had under the Participation Agreement in connection with the Business Combination and acknowledged that all amounts owing to Maersk for services rendered through February 5, 2021 in the aggregate amount of $4.6 million had been satisfied by the issuance of 4.2 million common shares.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arrangements with Maersk all ended in January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Registration Rights Agreement</w:t>
      </w:r>
    </w:p>
    <w:p>
      <w:pPr>
        <w:spacing w:after="0" w:line="22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At the closing of the Business Combination, we, the initial shareholders, including the Sponsor (the “Sponsor Group Holders”), and certain holders of DeepGreen securities immediately prior to the Effective Time (the “DeepGreen Holders”) entered into an amended and restated registration rights agreement (the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Indemnity Agreements with Officers and Directors and Directors’ and Officers’ Liability Insurance</w:t>
      </w:r>
    </w:p>
    <w:p>
      <w:pPr>
        <w:spacing w:after="0" w:line="222" w:lineRule="exact"/>
        <w:rPr>
          <w:sz w:val="20"/>
          <w:szCs w:val="20"/>
          <w:color w:val="auto"/>
        </w:rPr>
      </w:pPr>
    </w:p>
    <w:p>
      <w:pPr>
        <w:jc w:val="both"/>
        <w:ind w:firstLine="311"/>
        <w:spacing w:after="0" w:line="263" w:lineRule="auto"/>
        <w:rPr>
          <w:sz w:val="20"/>
          <w:szCs w:val="20"/>
          <w:color w:val="auto"/>
        </w:rPr>
      </w:pPr>
      <w:r>
        <w:rPr>
          <w:rFonts w:ascii="Times New Roman" w:cs="Times New Roman" w:eastAsia="Times New Roman" w:hAnsi="Times New Roman"/>
          <w:sz w:val="17"/>
          <w:szCs w:val="17"/>
          <w:color w:val="auto"/>
        </w:rPr>
        <w:t>In connection with the Business Combination, the Company entered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Policies and Procedures for Related Party Transactions</w:t>
      </w:r>
    </w:p>
    <w:p>
      <w:pPr>
        <w:spacing w:after="0" w:line="179" w:lineRule="exact"/>
        <w:rPr>
          <w:sz w:val="20"/>
          <w:szCs w:val="20"/>
          <w:color w:val="auto"/>
        </w:rPr>
      </w:pPr>
    </w:p>
    <w:p>
      <w:pPr>
        <w:jc w:val="both"/>
        <w:ind w:right="20" w:firstLine="311"/>
        <w:spacing w:after="0" w:line="298" w:lineRule="auto"/>
        <w:rPr>
          <w:sz w:val="20"/>
          <w:szCs w:val="20"/>
          <w:color w:val="auto"/>
        </w:rPr>
      </w:pPr>
      <w:r>
        <w:rPr>
          <w:rFonts w:ascii="Times New Roman" w:cs="Times New Roman" w:eastAsia="Times New Roman" w:hAnsi="Times New Roman"/>
          <w:sz w:val="17"/>
          <w:szCs w:val="17"/>
          <w:color w:val="auto"/>
        </w:rPr>
        <w:t>We have adopted a written related person transaction policy that sets forth the following policies and procedures for the review and approval or ratification of related person transactions.</w:t>
      </w:r>
    </w:p>
    <w:p>
      <w:pPr>
        <w:spacing w:after="0" w:line="9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134" w:lineRule="exact"/>
        <w:rPr>
          <w:sz w:val="20"/>
          <w:szCs w:val="20"/>
          <w:color w:val="auto"/>
        </w:rPr>
      </w:pPr>
    </w:p>
    <w:p>
      <w:pPr>
        <w:ind w:left="660" w:right="20" w:hanging="314"/>
        <w:spacing w:after="0" w:line="298" w:lineRule="auto"/>
        <w:tabs>
          <w:tab w:leader="none" w:pos="6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was an executive officer, director, or director nominee of the Company at any time since the beginning of the Company’s last fiscal year;</w:t>
      </w:r>
    </w:p>
    <w:p>
      <w:pPr>
        <w:spacing w:after="0" w:line="97" w:lineRule="exact"/>
        <w:rPr>
          <w:rFonts w:ascii="Times New Roman" w:cs="Times New Roman" w:eastAsia="Times New Roman" w:hAnsi="Times New Roman"/>
          <w:sz w:val="17"/>
          <w:szCs w:val="17"/>
          <w:color w:val="auto"/>
        </w:rPr>
      </w:pPr>
    </w:p>
    <w:p>
      <w:pPr>
        <w:ind w:left="660" w:hanging="315"/>
        <w:spacing w:after="0" w:line="298" w:lineRule="auto"/>
        <w:tabs>
          <w:tab w:leader="none" w:pos="6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who is or was an Immediate Family Member (as defined below) of an executive officer, director, director nominee at any time since the beginning of the Company’s last fiscal year;</w:t>
      </w:r>
    </w:p>
    <w:p>
      <w:pPr>
        <w:spacing w:after="0" w:line="97" w:lineRule="exact"/>
        <w:rPr>
          <w:rFonts w:ascii="Times New Roman" w:cs="Times New Roman" w:eastAsia="Times New Roman" w:hAnsi="Times New Roman"/>
          <w:sz w:val="17"/>
          <w:szCs w:val="17"/>
          <w:color w:val="auto"/>
        </w:rPr>
      </w:pPr>
    </w:p>
    <w:p>
      <w:pPr>
        <w:ind w:left="660" w:hanging="314"/>
        <w:spacing w:after="0" w:line="298" w:lineRule="auto"/>
        <w:tabs>
          <w:tab w:leader="none" w:pos="6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at the time of the occurrence or existence of the transaction, is the beneficial owner of more than 5% of any class of the Company’s voting securities (a “Significant Shareholder”); or</w:t>
      </w:r>
    </w:p>
    <w:p>
      <w:pPr>
        <w:spacing w:after="0" w:line="110" w:lineRule="exact"/>
        <w:rPr>
          <w:rFonts w:ascii="Times New Roman" w:cs="Times New Roman" w:eastAsia="Times New Roman" w:hAnsi="Times New Roman"/>
          <w:sz w:val="17"/>
          <w:szCs w:val="17"/>
          <w:color w:val="auto"/>
        </w:rPr>
      </w:pPr>
    </w:p>
    <w:p>
      <w:pPr>
        <w:ind w:left="660" w:right="20" w:hanging="315"/>
        <w:spacing w:after="0" w:line="298" w:lineRule="auto"/>
        <w:tabs>
          <w:tab w:leader="none" w:pos="6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at the time of the occurrence or existence of the transaction, is an Immediate Family Member of a Significant Shareholder of the Company.</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185" w:name="page186"/>
    <w:bookmarkEnd w:id="185"/>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39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398">
                      <a:extLst>
                        <a:ext uri="{28A0092B-C50C-407E-A947-70E740481C1C}"/>
                      </a:extLst>
                    </a:blip>
                    <a:srcRect/>
                    <a:stretch>
                      <a:fillRect/>
                    </a:stretch>
                  </pic:blipFill>
                  <pic:spPr bwMode="auto">
                    <a:xfrm>
                      <a:off x="0" y="0"/>
                      <a:ext cx="5080" cy="13970"/>
                    </a:xfrm>
                    <a:prstGeom prst="rect">
                      <a:avLst/>
                    </a:prstGeom>
                    <a:noFill/>
                  </pic:spPr>
                </pic:pic>
              </a:graphicData>
            </a:graphic>
          </wp:anchor>
        </w:drawing>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116"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spacing w:after="0" w:line="116"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34" w:lineRule="exact"/>
        <w:rPr>
          <w:sz w:val="20"/>
          <w:szCs w:val="20"/>
          <w:color w:val="auto"/>
        </w:rPr>
      </w:pPr>
    </w:p>
    <w:p>
      <w:pPr>
        <w:jc w:val="both"/>
        <w:ind w:firstLine="311"/>
        <w:spacing w:after="0" w:line="276" w:lineRule="auto"/>
        <w:rPr>
          <w:sz w:val="20"/>
          <w:szCs w:val="20"/>
          <w:color w:val="auto"/>
        </w:rPr>
      </w:pPr>
      <w:r>
        <w:rPr>
          <w:rFonts w:ascii="Times New Roman" w:cs="Times New Roman" w:eastAsia="Times New Roman" w:hAnsi="Times New Roman"/>
          <w:sz w:val="17"/>
          <w:szCs w:val="17"/>
          <w:color w:val="auto"/>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spacing w:after="0" w:line="116" w:lineRule="exact"/>
        <w:rPr>
          <w:sz w:val="20"/>
          <w:szCs w:val="20"/>
          <w:color w:val="auto"/>
        </w:rPr>
      </w:pPr>
    </w:p>
    <w:p>
      <w:pPr>
        <w:ind w:left="660" w:hanging="314"/>
        <w:spacing w:after="0"/>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related person’s interest in the transaction;</w:t>
      </w:r>
    </w:p>
    <w:p>
      <w:pPr>
        <w:spacing w:after="0" w:line="180" w:lineRule="exact"/>
        <w:rPr>
          <w:rFonts w:ascii="Times New Roman" w:cs="Times New Roman" w:eastAsia="Times New Roman" w:hAnsi="Times New Roman"/>
          <w:sz w:val="17"/>
          <w:szCs w:val="17"/>
          <w:color w:val="auto"/>
        </w:rPr>
      </w:pPr>
    </w:p>
    <w:p>
      <w:pPr>
        <w:ind w:left="660" w:hanging="314"/>
        <w:spacing w:after="0"/>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approximate dollar value of the amount involved in the transaction;</w:t>
      </w:r>
    </w:p>
    <w:p>
      <w:pPr>
        <w:spacing w:after="0" w:line="193" w:lineRule="exact"/>
        <w:rPr>
          <w:rFonts w:ascii="Times New Roman" w:cs="Times New Roman" w:eastAsia="Times New Roman" w:hAnsi="Times New Roman"/>
          <w:sz w:val="17"/>
          <w:szCs w:val="17"/>
          <w:color w:val="auto"/>
        </w:rPr>
      </w:pPr>
    </w:p>
    <w:p>
      <w:pPr>
        <w:ind w:left="660" w:right="20" w:hanging="315"/>
        <w:spacing w:after="0" w:line="298" w:lineRule="auto"/>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approximate dollar value of the amount of the related person’s interest in the transaction without regard to the amount of any profit or loss;</w:t>
      </w:r>
    </w:p>
    <w:p>
      <w:pPr>
        <w:spacing w:after="0" w:line="97"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was undertaken in the ordinary course of business of the Company;</w:t>
      </w:r>
    </w:p>
    <w:p>
      <w:pPr>
        <w:spacing w:after="0" w:line="180" w:lineRule="exact"/>
        <w:rPr>
          <w:rFonts w:ascii="Times New Roman" w:cs="Times New Roman" w:eastAsia="Times New Roman" w:hAnsi="Times New Roman"/>
          <w:sz w:val="17"/>
          <w:szCs w:val="17"/>
          <w:color w:val="auto"/>
        </w:rPr>
      </w:pPr>
    </w:p>
    <w:p>
      <w:pPr>
        <w:ind w:left="660" w:right="20" w:hanging="315"/>
        <w:spacing w:after="0" w:line="298" w:lineRule="auto"/>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transaction with the related person is proposed to be, or was, entered into on terms no less favorable to the Company than terms that could have been reached with an unrelated third-party;</w:t>
      </w:r>
    </w:p>
    <w:p>
      <w:pPr>
        <w:spacing w:after="0" w:line="110" w:lineRule="exact"/>
        <w:rPr>
          <w:rFonts w:ascii="Times New Roman" w:cs="Times New Roman" w:eastAsia="Times New Roman" w:hAnsi="Times New Roman"/>
          <w:sz w:val="17"/>
          <w:szCs w:val="17"/>
          <w:color w:val="auto"/>
        </w:rPr>
      </w:pPr>
    </w:p>
    <w:p>
      <w:pPr>
        <w:ind w:left="660" w:hanging="315"/>
        <w:spacing w:after="0"/>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purpose of, and the potential benefits to the Company of, the transaction; and</w:t>
      </w:r>
    </w:p>
    <w:p>
      <w:pPr>
        <w:spacing w:after="0" w:line="180" w:lineRule="exact"/>
        <w:rPr>
          <w:rFonts w:ascii="Times New Roman" w:cs="Times New Roman" w:eastAsia="Times New Roman" w:hAnsi="Times New Roman"/>
          <w:sz w:val="17"/>
          <w:szCs w:val="17"/>
          <w:color w:val="auto"/>
        </w:rPr>
      </w:pPr>
    </w:p>
    <w:p>
      <w:pPr>
        <w:ind w:left="660" w:hanging="315"/>
        <w:spacing w:after="0" w:line="298" w:lineRule="auto"/>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regarding the transaction or the related person in the context of the proposed transaction that would be material to investors in light of the circumstances of the particular transaction.</w:t>
      </w:r>
    </w:p>
    <w:p>
      <w:pPr>
        <w:spacing w:after="0" w:line="98" w:lineRule="exact"/>
        <w:rPr>
          <w:sz w:val="20"/>
          <w:szCs w:val="20"/>
          <w:color w:val="auto"/>
        </w:rPr>
      </w:pPr>
    </w:p>
    <w:p>
      <w:pPr>
        <w:jc w:val="both"/>
        <w:ind w:firstLine="311"/>
        <w:spacing w:after="0" w:line="269" w:lineRule="auto"/>
        <w:rPr>
          <w:sz w:val="20"/>
          <w:szCs w:val="20"/>
          <w:color w:val="auto"/>
        </w:rPr>
      </w:pPr>
      <w:r>
        <w:rPr>
          <w:rFonts w:ascii="Times New Roman" w:cs="Times New Roman" w:eastAsia="Times New Roman" w:hAnsi="Times New Roman"/>
          <w:sz w:val="17"/>
          <w:szCs w:val="17"/>
          <w:color w:val="auto"/>
        </w:rPr>
        <w:t>The audit committee will approve only those transactions that it determines are fair to the Company and in the Company’s best interests.</w:t>
      </w:r>
    </w:p>
    <w:p>
      <w:pPr>
        <w:spacing w:after="0" w:line="377" w:lineRule="exact"/>
        <w:rPr>
          <w:sz w:val="20"/>
          <w:szCs w:val="20"/>
          <w:color w:val="auto"/>
        </w:rPr>
      </w:pPr>
    </w:p>
    <w:p>
      <w:pPr>
        <w:ind w:right="380" w:firstLine="311"/>
        <w:spacing w:after="0" w:line="298" w:lineRule="auto"/>
        <w:rPr>
          <w:sz w:val="20"/>
          <w:szCs w:val="20"/>
          <w:color w:val="auto"/>
        </w:rPr>
      </w:pPr>
      <w:r>
        <w:rPr>
          <w:rFonts w:ascii="Times New Roman" w:cs="Times New Roman" w:eastAsia="Times New Roman" w:hAnsi="Times New Roman"/>
          <w:sz w:val="17"/>
          <w:szCs w:val="17"/>
          <w:color w:val="auto"/>
        </w:rPr>
        <w:t>See also Item 10, “Directors, Executive Officers and Corporate Governance” above for additional information about our board of directors and its committees.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14.PRINCIPAL ACCOUNTING FEES AND SERVICES</w:t>
      </w:r>
    </w:p>
    <w:p>
      <w:pPr>
        <w:spacing w:after="0" w:line="183"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The following table presents fees for professional audit services rendered by Ernst &amp; Young LLP (“EY”) for the audit of the Company’s annual financial statements for the years ended December 31, 2022, and December 31, 2021, and fees billed for other services rendered by EY during those periods.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Borders>
              <w:bottom w:val="single" w:sz="8" w:color="C7EAF2"/>
            </w:tcBorders>
          </w:tcPr>
          <w:p>
            <w:pPr>
              <w:spacing w:after="0"/>
              <w:rPr>
                <w:sz w:val="14"/>
                <w:szCs w:val="14"/>
                <w:color w:val="auto"/>
              </w:rPr>
            </w:pPr>
          </w:p>
        </w:tc>
        <w:tc>
          <w:tcPr>
            <w:tcW w:w="2760" w:type="dxa"/>
            <w:vAlign w:val="bottom"/>
            <w:tcBorders>
              <w:bottom w:val="single" w:sz="8" w:color="C7EAF2"/>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7EAF2"/>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1"/>
        </w:trPr>
        <w:tc>
          <w:tcPr>
            <w:tcW w:w="20" w:type="dxa"/>
            <w:vAlign w:val="bottom"/>
          </w:tcPr>
          <w:p>
            <w:pPr>
              <w:spacing w:after="0"/>
              <w:rPr>
                <w:sz w:val="17"/>
                <w:szCs w:val="17"/>
                <w:color w:val="auto"/>
              </w:rPr>
            </w:pPr>
          </w:p>
        </w:tc>
        <w:tc>
          <w:tcPr>
            <w:tcW w:w="4100" w:type="dxa"/>
            <w:vAlign w:val="bottom"/>
            <w:shd w:val="clear" w:color="auto" w:fill="C7EAF2"/>
          </w:tcPr>
          <w:p>
            <w:pPr>
              <w:spacing w:after="0" w:line="200" w:lineRule="exact"/>
              <w:rPr>
                <w:sz w:val="20"/>
                <w:szCs w:val="20"/>
                <w:color w:val="auto"/>
              </w:rPr>
            </w:pPr>
            <w:r>
              <w:rPr>
                <w:rFonts w:ascii="Times New Roman" w:cs="Times New Roman" w:eastAsia="Times New Roman" w:hAnsi="Times New Roman"/>
                <w:sz w:val="16"/>
                <w:szCs w:val="16"/>
                <w:b w:val="1"/>
                <w:bCs w:val="1"/>
                <w:color w:val="auto"/>
              </w:rPr>
              <w:t>Audit fees:</w:t>
            </w:r>
            <w:r>
              <w:rPr>
                <w:rFonts w:ascii="Times New Roman" w:cs="Times New Roman" w:eastAsia="Times New Roman" w:hAnsi="Times New Roman"/>
                <w:sz w:val="23"/>
                <w:szCs w:val="23"/>
                <w:b w:val="1"/>
                <w:bCs w:val="1"/>
                <w:color w:val="auto"/>
                <w:vertAlign w:val="superscript"/>
              </w:rPr>
              <w:t>(1)</w:t>
            </w:r>
          </w:p>
        </w:tc>
        <w:tc>
          <w:tcPr>
            <w:tcW w:w="2760" w:type="dxa"/>
            <w:vAlign w:val="bottom"/>
            <w:shd w:val="clear" w:color="auto" w:fill="C7EAF2"/>
          </w:tcPr>
          <w:p>
            <w:pPr>
              <w:spacing w:after="0"/>
              <w:rPr>
                <w:sz w:val="17"/>
                <w:szCs w:val="17"/>
                <w:color w:val="auto"/>
              </w:rPr>
            </w:pPr>
          </w:p>
        </w:tc>
        <w:tc>
          <w:tcPr>
            <w:tcW w:w="280" w:type="dxa"/>
            <w:vAlign w:val="bottom"/>
            <w:shd w:val="clear" w:color="auto" w:fill="C7EAF2"/>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555,560</w:t>
            </w:r>
          </w:p>
        </w:tc>
        <w:tc>
          <w:tcPr>
            <w:tcW w:w="260" w:type="dxa"/>
            <w:vAlign w:val="bottom"/>
            <w:shd w:val="clear" w:color="auto" w:fill="C7EAF2"/>
          </w:tcPr>
          <w:p>
            <w:pPr>
              <w:spacing w:after="0"/>
              <w:rPr>
                <w:sz w:val="17"/>
                <w:szCs w:val="17"/>
                <w:color w:val="auto"/>
              </w:rPr>
            </w:pPr>
          </w:p>
        </w:tc>
        <w:tc>
          <w:tcPr>
            <w:tcW w:w="280" w:type="dxa"/>
            <w:vAlign w:val="bottom"/>
            <w:shd w:val="clear" w:color="auto" w:fill="C7EAF2"/>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705,795</w:t>
            </w:r>
          </w:p>
        </w:tc>
      </w:tr>
      <w:tr>
        <w:trPr>
          <w:trHeight w:val="207"/>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Audit related fees:</w:t>
            </w:r>
          </w:p>
        </w:tc>
        <w:tc>
          <w:tcPr>
            <w:tcW w:w="304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17,576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7"/>
        </w:trPr>
        <w:tc>
          <w:tcPr>
            <w:tcW w:w="20" w:type="dxa"/>
            <w:vAlign w:val="bottom"/>
          </w:tcPr>
          <w:p>
            <w:pPr>
              <w:spacing w:after="0"/>
              <w:rPr>
                <w:sz w:val="18"/>
                <w:szCs w:val="18"/>
                <w:color w:val="auto"/>
              </w:rPr>
            </w:pPr>
          </w:p>
        </w:tc>
        <w:tc>
          <w:tcPr>
            <w:tcW w:w="4100" w:type="dxa"/>
            <w:vAlign w:val="bottom"/>
            <w:shd w:val="clear" w:color="auto" w:fill="C7EAF2"/>
          </w:tcPr>
          <w:p>
            <w:pPr>
              <w:spacing w:after="0"/>
              <w:rPr>
                <w:sz w:val="20"/>
                <w:szCs w:val="20"/>
                <w:color w:val="auto"/>
              </w:rPr>
            </w:pPr>
            <w:r>
              <w:rPr>
                <w:rFonts w:ascii="Times New Roman" w:cs="Times New Roman" w:eastAsia="Times New Roman" w:hAnsi="Times New Roman"/>
                <w:sz w:val="17"/>
                <w:szCs w:val="17"/>
                <w:b w:val="1"/>
                <w:bCs w:val="1"/>
                <w:color w:val="auto"/>
              </w:rPr>
              <w:t>Tax fees:</w:t>
            </w:r>
          </w:p>
        </w:tc>
        <w:tc>
          <w:tcPr>
            <w:tcW w:w="2760" w:type="dxa"/>
            <w:vAlign w:val="bottom"/>
            <w:shd w:val="clear" w:color="auto" w:fill="C7EAF2"/>
          </w:tcPr>
          <w:p>
            <w:pPr>
              <w:spacing w:after="0"/>
              <w:rPr>
                <w:sz w:val="18"/>
                <w:szCs w:val="18"/>
                <w:color w:val="auto"/>
              </w:rPr>
            </w:pPr>
          </w:p>
        </w:tc>
        <w:tc>
          <w:tcPr>
            <w:tcW w:w="280" w:type="dxa"/>
            <w:vAlign w:val="bottom"/>
            <w:shd w:val="clear" w:color="auto" w:fill="C7EAF2"/>
          </w:tcPr>
          <w:p>
            <w:pPr>
              <w:spacing w:after="0"/>
              <w:rPr>
                <w:sz w:val="18"/>
                <w:szCs w:val="18"/>
                <w:color w:val="auto"/>
              </w:rPr>
            </w:pPr>
          </w:p>
        </w:tc>
        <w:tc>
          <w:tcPr>
            <w:tcW w:w="9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7EAF2"/>
          </w:tcPr>
          <w:p>
            <w:pPr>
              <w:spacing w:after="0"/>
              <w:rPr>
                <w:sz w:val="18"/>
                <w:szCs w:val="18"/>
                <w:color w:val="auto"/>
              </w:rPr>
            </w:pPr>
          </w:p>
        </w:tc>
        <w:tc>
          <w:tcPr>
            <w:tcW w:w="280" w:type="dxa"/>
            <w:vAlign w:val="bottom"/>
            <w:shd w:val="clear" w:color="auto" w:fill="C7EAF2"/>
          </w:tcPr>
          <w:p>
            <w:pPr>
              <w:spacing w:after="0"/>
              <w:rPr>
                <w:sz w:val="18"/>
                <w:szCs w:val="18"/>
                <w:color w:val="auto"/>
              </w:rPr>
            </w:pPr>
          </w:p>
        </w:tc>
        <w:tc>
          <w:tcPr>
            <w:tcW w:w="960" w:type="dxa"/>
            <w:vAlign w:val="bottom"/>
            <w:shd w:val="clear" w:color="auto" w:fill="C7EAF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All other fees:</w:t>
            </w:r>
          </w:p>
        </w:tc>
        <w:tc>
          <w:tcPr>
            <w:tcW w:w="2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53975</wp:posOffset>
                </wp:positionV>
                <wp:extent cx="1529715" cy="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971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4.25pt" to="120.6pt,4.25pt" o:allowincell="f" strokecolor="#000000" strokeweight="1.295pt"/>
            </w:pict>
          </mc:Fallback>
        </mc:AlternateContent>
      </w:r>
    </w:p>
    <w:p>
      <w:pPr>
        <w:spacing w:after="0" w:line="133" w:lineRule="exact"/>
        <w:rPr>
          <w:sz w:val="20"/>
          <w:szCs w:val="20"/>
          <w:color w:val="auto"/>
        </w:rPr>
      </w:pPr>
    </w:p>
    <w:p>
      <w:pPr>
        <w:ind w:left="320" w:right="20" w:hanging="311"/>
        <w:spacing w:after="0" w:line="213" w:lineRule="auto"/>
        <w:tabs>
          <w:tab w:leader="none" w:pos="320" w:val="left"/>
        </w:tabs>
        <w:numPr>
          <w:ilvl w:val="0"/>
          <w:numId w:val="10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Consist of aggregate fees for professional services provided in connection with the annual audits of our consolidated financial statements, the review of our quarterly condensed consolidated financial statements, and fees related to accounting matters that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363855</wp:posOffset>
                </wp:positionV>
                <wp:extent cx="6110605" cy="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24676">
                          <a:solidFill>
                            <a:srgbClr val="000000"/>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65pt" to="481.3pt,28.65pt" o:allowincell="f" strokecolor="#000000" strokeweight="1.943pt"/>
            </w:pict>
          </mc:Fallback>
        </mc:AlternateContent>
      </w:r>
    </w:p>
    <w:p>
      <w:pPr>
        <w:sectPr>
          <w:pgSz w:w="12240" w:h="15840" w:orient="portrait"/>
          <w:cols w:equalWidth="0" w:num="1">
            <w:col w:w="9620"/>
          </w:cols>
          <w:pgMar w:left="1320" w:top="1337" w:right="1300" w:bottom="1440" w:gutter="0" w:footer="0" w:header="0"/>
        </w:sectPr>
      </w:pPr>
    </w:p>
    <w:bookmarkStart w:id="186" w:name="page187"/>
    <w:bookmarkEnd w:id="186"/>
    <w:p>
      <w:pPr>
        <w:ind w:left="320" w:right="20"/>
        <w:spacing w:after="0" w:line="29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39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400">
                      <a:extLst>
                        <a:ext uri="{28A0092B-C50C-407E-A947-70E740481C1C}"/>
                      </a:extLst>
                    </a:blip>
                    <a:srcRect/>
                    <a:stretch>
                      <a:fillRect/>
                    </a:stretch>
                  </pic:blipFill>
                  <pic:spPr bwMode="auto">
                    <a:xfrm>
                      <a:off x="0" y="0"/>
                      <a:ext cx="5080" cy="13970"/>
                    </a:xfrm>
                    <a:prstGeom prst="rect">
                      <a:avLst/>
                    </a:prstGeom>
                    <a:noFill/>
                  </pic:spPr>
                </pic:pic>
              </a:graphicData>
            </a:graphic>
          </wp:anchor>
        </w:drawing>
        <w:t>were addressed during the annual audit and quarterly reviews. This category also includes fees for services that were incurred in connection with regulatory filings or engagements.</w:t>
      </w:r>
    </w:p>
    <w:p>
      <w:pPr>
        <w:spacing w:after="0" w:line="134" w:lineRule="exact"/>
        <w:rPr>
          <w:sz w:val="20"/>
          <w:szCs w:val="20"/>
          <w:color w:val="auto"/>
        </w:rPr>
      </w:pPr>
    </w:p>
    <w:p>
      <w:pPr>
        <w:jc w:val="both"/>
        <w:ind w:firstLine="311"/>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Audit services </w:t>
      </w:r>
      <w:r>
        <w:rPr>
          <w:rFonts w:ascii="Times New Roman" w:cs="Times New Roman" w:eastAsia="Times New Roman" w:hAnsi="Times New Roman"/>
          <w:sz w:val="17"/>
          <w:szCs w:val="17"/>
          <w:color w:val="auto"/>
        </w:rPr>
        <w:t>include audit work performed in the preparation of financial statements, as well as work that generally only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independent registered public accounting firm can reasonably be expected to provide, including comfort letters, statutory audits, and attest services and consultation regarding financial accounting and/or reporting standards.</w:t>
      </w:r>
    </w:p>
    <w:p>
      <w:pPr>
        <w:spacing w:after="0" w:line="150" w:lineRule="exact"/>
        <w:rPr>
          <w:sz w:val="20"/>
          <w:szCs w:val="20"/>
          <w:color w:val="auto"/>
        </w:rPr>
      </w:pPr>
    </w:p>
    <w:p>
      <w:pPr>
        <w:jc w:val="both"/>
        <w:ind w:firstLine="311"/>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Audit-Related services </w:t>
      </w:r>
      <w:r>
        <w:rPr>
          <w:rFonts w:ascii="Times New Roman" w:cs="Times New Roman" w:eastAsia="Times New Roman" w:hAnsi="Times New Roman"/>
          <w:sz w:val="17"/>
          <w:szCs w:val="17"/>
          <w:color w:val="auto"/>
        </w:rPr>
        <w:t>are for assurance and related services that are traditionally performed by an independent registered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accounting firm, including due diligence related to mergers and acquisitions, employee benefit plan audits, and special procedures required to meet certain regulatory requirements.</w:t>
      </w:r>
    </w:p>
    <w:p>
      <w:pPr>
        <w:spacing w:after="0" w:line="150" w:lineRule="exact"/>
        <w:rPr>
          <w:sz w:val="20"/>
          <w:szCs w:val="20"/>
          <w:color w:val="auto"/>
        </w:rPr>
      </w:pPr>
    </w:p>
    <w:p>
      <w:pPr>
        <w:jc w:val="both"/>
        <w:ind w:right="20" w:firstLine="311"/>
        <w:spacing w:after="0" w:line="302" w:lineRule="auto"/>
        <w:rPr>
          <w:sz w:val="20"/>
          <w:szCs w:val="20"/>
          <w:color w:val="auto"/>
        </w:rPr>
      </w:pPr>
      <w:r>
        <w:rPr>
          <w:rFonts w:ascii="Times New Roman" w:cs="Times New Roman" w:eastAsia="Times New Roman" w:hAnsi="Times New Roman"/>
          <w:sz w:val="17"/>
          <w:szCs w:val="17"/>
          <w:b w:val="1"/>
          <w:bCs w:val="1"/>
          <w:color w:val="auto"/>
        </w:rPr>
        <w:t xml:space="preserve">Tax services </w:t>
      </w:r>
      <w:r>
        <w:rPr>
          <w:rFonts w:ascii="Times New Roman" w:cs="Times New Roman" w:eastAsia="Times New Roman" w:hAnsi="Times New Roman"/>
          <w:sz w:val="17"/>
          <w:szCs w:val="17"/>
          <w:color w:val="auto"/>
        </w:rPr>
        <w:t>include all services performed by an independent registered public accounting firm’s tax personnel except those services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specifically related to the audit of the financial statements, and includes fees in the areas of tax compliance, tax planning, and tax advice.</w:t>
      </w:r>
    </w:p>
    <w:p>
      <w:pPr>
        <w:spacing w:after="0" w:line="130" w:lineRule="exact"/>
        <w:rPr>
          <w:sz w:val="20"/>
          <w:szCs w:val="20"/>
          <w:color w:val="auto"/>
        </w:rPr>
      </w:pPr>
    </w:p>
    <w:p>
      <w:pPr>
        <w:jc w:val="both"/>
        <w:ind w:firstLine="311"/>
        <w:spacing w:after="0" w:line="302" w:lineRule="auto"/>
        <w:rPr>
          <w:sz w:val="20"/>
          <w:szCs w:val="20"/>
          <w:color w:val="auto"/>
        </w:rPr>
      </w:pPr>
      <w:r>
        <w:rPr>
          <w:rFonts w:ascii="Times New Roman" w:cs="Times New Roman" w:eastAsia="Times New Roman" w:hAnsi="Times New Roman"/>
          <w:sz w:val="17"/>
          <w:szCs w:val="17"/>
          <w:b w:val="1"/>
          <w:bCs w:val="1"/>
          <w:color w:val="auto"/>
        </w:rPr>
        <w:t xml:space="preserve">All Other Fees </w:t>
      </w:r>
      <w:r>
        <w:rPr>
          <w:rFonts w:ascii="Times New Roman" w:cs="Times New Roman" w:eastAsia="Times New Roman" w:hAnsi="Times New Roman"/>
          <w:sz w:val="17"/>
          <w:szCs w:val="17"/>
          <w:color w:val="auto"/>
        </w:rPr>
        <w:t>are those associated with services not captured in the other categories. The Company generally does not request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from our independent registered public accounting firm.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Pre-Approval Policy and Procedures</w:t>
      </w:r>
    </w:p>
    <w:p>
      <w:pPr>
        <w:spacing w:after="0" w:line="222" w:lineRule="exact"/>
        <w:rPr>
          <w:sz w:val="20"/>
          <w:szCs w:val="20"/>
          <w:color w:val="auto"/>
        </w:rPr>
      </w:pPr>
    </w:p>
    <w:p>
      <w:pPr>
        <w:jc w:val="both"/>
        <w:ind w:firstLine="311"/>
        <w:spacing w:after="0" w:line="265" w:lineRule="auto"/>
        <w:rPr>
          <w:sz w:val="20"/>
          <w:szCs w:val="20"/>
          <w:color w:val="auto"/>
        </w:rPr>
      </w:pPr>
      <w:r>
        <w:rPr>
          <w:rFonts w:ascii="Times New Roman" w:cs="Times New Roman" w:eastAsia="Times New Roman" w:hAnsi="Times New Roman"/>
          <w:sz w:val="17"/>
          <w:szCs w:val="17"/>
          <w:color w:val="auto"/>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 we will not engage any other accounting firm to provide audit services unless such services are pre-approved by the audit committee.</w:t>
      </w:r>
    </w:p>
    <w:p>
      <w:pPr>
        <w:spacing w:after="0" w:line="126" w:lineRule="exact"/>
        <w:rPr>
          <w:sz w:val="20"/>
          <w:szCs w:val="20"/>
          <w:color w:val="auto"/>
        </w:rPr>
      </w:pPr>
    </w:p>
    <w:p>
      <w:pPr>
        <w:jc w:val="both"/>
        <w:ind w:firstLine="312"/>
        <w:spacing w:after="0" w:line="269" w:lineRule="auto"/>
        <w:rPr>
          <w:sz w:val="20"/>
          <w:szCs w:val="20"/>
          <w:color w:val="auto"/>
        </w:rPr>
      </w:pPr>
      <w:r>
        <w:rPr>
          <w:rFonts w:ascii="Times New Roman" w:cs="Times New Roman" w:eastAsia="Times New Roman" w:hAnsi="Times New Roman"/>
          <w:sz w:val="17"/>
          <w:szCs w:val="17"/>
          <w:color w:val="auto"/>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in the future. Any such pre-approval of types of services is detailed as to the particular service or type of service to be provided and is also generally subject to a maximum dollar amount.</w:t>
      </w:r>
    </w:p>
    <w:p>
      <w:pPr>
        <w:spacing w:after="0" w:line="122" w:lineRule="exact"/>
        <w:rPr>
          <w:sz w:val="20"/>
          <w:szCs w:val="20"/>
          <w:color w:val="auto"/>
        </w:rPr>
      </w:pPr>
    </w:p>
    <w:p>
      <w:pPr>
        <w:jc w:val="both"/>
        <w:ind w:firstLine="310"/>
        <w:spacing w:after="0" w:line="276" w:lineRule="auto"/>
        <w:rPr>
          <w:sz w:val="20"/>
          <w:szCs w:val="20"/>
          <w:color w:val="auto"/>
        </w:rPr>
      </w:pPr>
      <w:r>
        <w:rPr>
          <w:rFonts w:ascii="Times New Roman" w:cs="Times New Roman" w:eastAsia="Times New Roman" w:hAnsi="Times New Roman"/>
          <w:sz w:val="17"/>
          <w:szCs w:val="17"/>
          <w:color w:val="auto"/>
        </w:rPr>
        <w:t>The audit committee has also delegated to the chairperson of the audit committee the authority to approve any audit or non-audit services to be provided to us by our independent registered public accounting firm. Any approval of services by the chairperson of the audit committee pursuant to this delegated authority is reported on at the next meeting of the audit committee.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7" w:right="1300" w:bottom="1440" w:gutter="0" w:footer="0" w:header="0"/>
        </w:sectPr>
      </w:pPr>
    </w:p>
    <w:bookmarkStart w:id="187" w:name="page188"/>
    <w:bookmarkEnd w:id="187"/>
    <w:p>
      <w:pPr>
        <w:ind w:left="44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401">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402">
                      <a:extLst>
                        <a:ext uri="{28A0092B-C50C-407E-A947-70E740481C1C}"/>
                      </a:extLst>
                    </a:blip>
                    <a:srcRect/>
                    <a:stretch>
                      <a:fillRect/>
                    </a:stretch>
                  </pic:blipFill>
                  <pic:spPr bwMode="auto">
                    <a:xfrm>
                      <a:off x="0" y="0"/>
                      <a:ext cx="5080" cy="13970"/>
                    </a:xfrm>
                    <a:prstGeom prst="rect">
                      <a:avLst/>
                    </a:prstGeom>
                    <a:noFill/>
                  </pic:spPr>
                </pic:pic>
              </a:graphicData>
            </a:graphic>
          </wp:anchor>
        </w:drawing>
        <w:t>PART IV</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15.EXHIBITS AND FINANCIAL STATEMENT SCHEDULES</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is a list of exhibits filed as part of this Annual Report on Form 10-K.</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2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Incorporated by</w:t>
            </w:r>
          </w:p>
        </w:tc>
        <w:tc>
          <w:tcPr>
            <w:tcW w:w="1000" w:type="dxa"/>
            <w:vAlign w:val="bottom"/>
            <w:tcBorders>
              <w:top w:val="single" w:sz="8" w:color="auto"/>
              <w:right w:val="single" w:sz="8" w:color="auto"/>
            </w:tcBorders>
          </w:tcPr>
          <w:p>
            <w:pPr>
              <w:spacing w:after="0"/>
              <w:rPr>
                <w:sz w:val="18"/>
                <w:szCs w:val="18"/>
                <w:color w:val="auto"/>
              </w:rPr>
            </w:pPr>
          </w:p>
        </w:tc>
        <w:tc>
          <w:tcPr>
            <w:tcW w:w="12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Filed</w:t>
            </w:r>
          </w:p>
        </w:tc>
        <w:tc>
          <w:tcPr>
            <w:tcW w:w="172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Reference</w:t>
            </w: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w w:val="99"/>
              </w:rPr>
              <w:t>with</w:t>
            </w:r>
          </w:p>
        </w:tc>
        <w:tc>
          <w:tcPr>
            <w:tcW w:w="172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w w:val="99"/>
              </w:rPr>
              <w:t>herein from</w:t>
            </w: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SEC</w:t>
            </w:r>
          </w:p>
        </w:tc>
        <w:tc>
          <w:tcPr>
            <w:tcW w:w="0" w:type="dxa"/>
            <w:vAlign w:val="bottom"/>
          </w:tcPr>
          <w:p>
            <w:pPr>
              <w:spacing w:after="0"/>
              <w:rPr>
                <w:sz w:val="1"/>
                <w:szCs w:val="1"/>
                <w:color w:val="auto"/>
              </w:rPr>
            </w:pPr>
          </w:p>
        </w:tc>
      </w:tr>
      <w:tr>
        <w:trPr>
          <w:trHeight w:val="195"/>
        </w:trPr>
        <w:tc>
          <w:tcPr>
            <w:tcW w:w="920" w:type="dxa"/>
            <w:vAlign w:val="bottom"/>
            <w:tcBorders>
              <w:left w:val="single" w:sz="8" w:color="auto"/>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this</w:t>
            </w:r>
          </w:p>
        </w:tc>
        <w:tc>
          <w:tcPr>
            <w:tcW w:w="172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Form or</w:t>
            </w:r>
          </w:p>
        </w:tc>
        <w:tc>
          <w:tcPr>
            <w:tcW w:w="10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File/Reg.</w:t>
            </w:r>
          </w:p>
        </w:tc>
        <w:tc>
          <w:tcPr>
            <w:tcW w:w="0" w:type="dxa"/>
            <w:vAlign w:val="bottom"/>
          </w:tcPr>
          <w:p>
            <w:pPr>
              <w:spacing w:after="0"/>
              <w:rPr>
                <w:sz w:val="1"/>
                <w:szCs w:val="1"/>
                <w:color w:val="auto"/>
              </w:rPr>
            </w:pPr>
          </w:p>
        </w:tc>
      </w:tr>
      <w:tr>
        <w:trPr>
          <w:trHeight w:val="247"/>
        </w:trPr>
        <w:tc>
          <w:tcPr>
            <w:tcW w:w="9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b w:val="1"/>
                <w:bCs w:val="1"/>
                <w:color w:val="auto"/>
              </w:rPr>
              <w:t>Report</w:t>
            </w:r>
          </w:p>
        </w:tc>
        <w:tc>
          <w:tcPr>
            <w:tcW w:w="1720" w:type="dxa"/>
            <w:vAlign w:val="bottom"/>
            <w:tcBorders>
              <w:bottom w:val="single" w:sz="8" w:color="auto"/>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b w:val="1"/>
                <w:bCs w:val="1"/>
                <w:color w:val="auto"/>
              </w:rPr>
              <w:t>Schedule</w:t>
            </w:r>
          </w:p>
        </w:tc>
        <w:tc>
          <w:tcPr>
            <w:tcW w:w="10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2.1††</w:t>
            </w:r>
          </w:p>
        </w:tc>
        <w:tc>
          <w:tcPr>
            <w:tcW w:w="4040" w:type="dxa"/>
            <w:vAlign w:val="bottom"/>
            <w:tcBorders>
              <w:right w:val="single" w:sz="8" w:color="auto"/>
            </w:tcBorders>
            <w:gridSpan w:val="4"/>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Business Combination Agreement, dated as of</w:t>
            </w:r>
          </w:p>
        </w:tc>
        <w:tc>
          <w:tcPr>
            <w:tcW w:w="72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9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1000" w:type="dxa"/>
            <w:vAlign w:val="bottom"/>
            <w:tcBorders>
              <w:right w:val="single" w:sz="8" w:color="auto"/>
            </w:tcBorders>
            <w:shd w:val="clear" w:color="auto" w:fill="C7EAF2"/>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3/4/2021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40" w:type="dxa"/>
            <w:vAlign w:val="bottom"/>
            <w:tcBorders>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March 4, 2021, by and among Sustainable</w:t>
            </w:r>
          </w:p>
        </w:tc>
        <w:tc>
          <w:tcPr>
            <w:tcW w:w="72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2.1)</w:t>
            </w:r>
          </w:p>
        </w:tc>
        <w:tc>
          <w:tcPr>
            <w:tcW w:w="100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40" w:type="dxa"/>
            <w:vAlign w:val="bottom"/>
            <w:tcBorders>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Opportunities Acquisition Corp., 1291924 B.C.</w:t>
            </w:r>
          </w:p>
        </w:tc>
        <w:tc>
          <w:tcPr>
            <w:tcW w:w="72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100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40" w:type="dxa"/>
            <w:vAlign w:val="bottom"/>
            <w:tcBorders>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Unlimited Liability Company and DeepGreen</w:t>
            </w:r>
          </w:p>
        </w:tc>
        <w:tc>
          <w:tcPr>
            <w:tcW w:w="72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100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40" w:type="dxa"/>
            <w:vAlign w:val="bottom"/>
            <w:tcBorders>
              <w:bottom w:val="single" w:sz="8" w:color="auto"/>
              <w:right w:val="single" w:sz="8" w:color="auto"/>
            </w:tcBorders>
            <w:gridSpan w:val="4"/>
            <w:shd w:val="clear" w:color="auto" w:fill="C7EAF2"/>
          </w:tcPr>
          <w:p>
            <w:pPr>
              <w:ind w:left="180"/>
              <w:spacing w:after="0" w:line="192" w:lineRule="exact"/>
              <w:rPr>
                <w:sz w:val="20"/>
                <w:szCs w:val="20"/>
                <w:color w:val="auto"/>
              </w:rPr>
            </w:pPr>
            <w:r>
              <w:rPr>
                <w:rFonts w:ascii="Times New Roman" w:cs="Times New Roman" w:eastAsia="Times New Roman" w:hAnsi="Times New Roman"/>
                <w:sz w:val="17"/>
                <w:szCs w:val="17"/>
                <w:color w:val="010101"/>
              </w:rPr>
              <w:t>Metals Inc.</w:t>
            </w:r>
          </w:p>
        </w:tc>
        <w:tc>
          <w:tcPr>
            <w:tcW w:w="72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100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3.1</w:t>
            </w:r>
          </w:p>
        </w:tc>
        <w:tc>
          <w:tcPr>
            <w:tcW w:w="4040" w:type="dxa"/>
            <w:vAlign w:val="bottom"/>
            <w:tcBorders>
              <w:right w:val="single" w:sz="8" w:color="auto"/>
            </w:tcBorders>
            <w:gridSpan w:val="4"/>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Notice of Articles of TMC the metals company Inc.</w:t>
            </w:r>
          </w:p>
        </w:tc>
        <w:tc>
          <w:tcPr>
            <w:tcW w:w="7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9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100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3.1)</w:t>
            </w:r>
          </w:p>
        </w:tc>
        <w:tc>
          <w:tcPr>
            <w:tcW w:w="10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3.2</w:t>
            </w:r>
          </w:p>
        </w:tc>
        <w:tc>
          <w:tcPr>
            <w:tcW w:w="4040" w:type="dxa"/>
            <w:vAlign w:val="bottom"/>
            <w:tcBorders>
              <w:right w:val="single" w:sz="8" w:color="auto"/>
            </w:tcBorders>
            <w:gridSpan w:val="4"/>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Articles of TMC the metals company Inc.</w:t>
            </w:r>
          </w:p>
        </w:tc>
        <w:tc>
          <w:tcPr>
            <w:tcW w:w="72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9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1000" w:type="dxa"/>
            <w:vAlign w:val="bottom"/>
            <w:tcBorders>
              <w:right w:val="single" w:sz="8" w:color="auto"/>
            </w:tcBorders>
            <w:shd w:val="clear" w:color="auto" w:fill="C7EAF2"/>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720" w:type="dxa"/>
            <w:vAlign w:val="bottom"/>
            <w:tcBorders>
              <w:bottom w:val="single" w:sz="8" w:color="auto"/>
            </w:tcBorders>
            <w:shd w:val="clear" w:color="auto" w:fill="C7EAF2"/>
          </w:tcPr>
          <w:p>
            <w:pPr>
              <w:spacing w:after="0"/>
              <w:rPr>
                <w:sz w:val="20"/>
                <w:szCs w:val="20"/>
                <w:color w:val="auto"/>
              </w:rPr>
            </w:pPr>
          </w:p>
        </w:tc>
        <w:tc>
          <w:tcPr>
            <w:tcW w:w="60" w:type="dxa"/>
            <w:vAlign w:val="bottom"/>
            <w:tcBorders>
              <w:bottom w:val="single" w:sz="8" w:color="auto"/>
            </w:tcBorders>
            <w:shd w:val="clear" w:color="auto" w:fill="C7EAF2"/>
          </w:tcPr>
          <w:p>
            <w:pPr>
              <w:spacing w:after="0"/>
              <w:rPr>
                <w:sz w:val="20"/>
                <w:szCs w:val="20"/>
                <w:color w:val="auto"/>
              </w:rPr>
            </w:pPr>
          </w:p>
        </w:tc>
        <w:tc>
          <w:tcPr>
            <w:tcW w:w="3080" w:type="dxa"/>
            <w:vAlign w:val="bottom"/>
            <w:tcBorders>
              <w:bottom w:val="single" w:sz="8" w:color="auto"/>
              <w:right w:val="single" w:sz="8" w:color="auto"/>
            </w:tcBorders>
            <w:shd w:val="clear" w:color="auto" w:fill="C7EAF2"/>
          </w:tcPr>
          <w:p>
            <w:pPr>
              <w:spacing w:after="0"/>
              <w:rPr>
                <w:sz w:val="20"/>
                <w:szCs w:val="20"/>
                <w:color w:val="auto"/>
              </w:rPr>
            </w:pPr>
          </w:p>
        </w:tc>
        <w:tc>
          <w:tcPr>
            <w:tcW w:w="72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3.2)</w:t>
            </w:r>
          </w:p>
        </w:tc>
        <w:tc>
          <w:tcPr>
            <w:tcW w:w="100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4.1</w:t>
            </w:r>
          </w:p>
        </w:tc>
        <w:tc>
          <w:tcPr>
            <w:tcW w:w="404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Description of Securities</w:t>
            </w:r>
          </w:p>
        </w:tc>
        <w:tc>
          <w:tcPr>
            <w:tcW w:w="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w w:val="97"/>
              </w:rPr>
              <w:t>X</w:t>
            </w:r>
          </w:p>
        </w:tc>
        <w:tc>
          <w:tcPr>
            <w:tcW w:w="17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920" w:type="dxa"/>
            <w:vAlign w:val="bottom"/>
            <w:tcBorders>
              <w:left w:val="single" w:sz="8" w:color="auto"/>
              <w:right w:val="single" w:sz="8" w:color="auto"/>
            </w:tcBorders>
            <w:shd w:val="clear" w:color="auto" w:fill="C7EAF2"/>
          </w:tcPr>
          <w:p>
            <w:pPr>
              <w:ind w:left="40"/>
              <w:spacing w:after="0" w:line="177" w:lineRule="exact"/>
              <w:rPr>
                <w:sz w:val="20"/>
                <w:szCs w:val="20"/>
                <w:color w:val="auto"/>
              </w:rPr>
            </w:pPr>
            <w:r>
              <w:rPr>
                <w:rFonts w:ascii="Times New Roman" w:cs="Times New Roman" w:eastAsia="Times New Roman" w:hAnsi="Times New Roman"/>
                <w:sz w:val="17"/>
                <w:szCs w:val="17"/>
                <w:color w:val="auto"/>
              </w:rPr>
              <w:t>4.2</w:t>
            </w:r>
          </w:p>
        </w:tc>
        <w:tc>
          <w:tcPr>
            <w:tcW w:w="4040" w:type="dxa"/>
            <w:vAlign w:val="bottom"/>
            <w:tcBorders>
              <w:right w:val="single" w:sz="8" w:color="auto"/>
            </w:tcBorders>
            <w:gridSpan w:val="4"/>
            <w:shd w:val="clear" w:color="auto" w:fill="C7EAF2"/>
          </w:tcPr>
          <w:p>
            <w:pPr>
              <w:ind w:left="180"/>
              <w:spacing w:after="0" w:line="177" w:lineRule="exact"/>
              <w:rPr>
                <w:sz w:val="20"/>
                <w:szCs w:val="20"/>
                <w:color w:val="auto"/>
              </w:rPr>
            </w:pPr>
            <w:r>
              <w:rPr>
                <w:rFonts w:ascii="Times New Roman" w:cs="Times New Roman" w:eastAsia="Times New Roman" w:hAnsi="Times New Roman"/>
                <w:sz w:val="17"/>
                <w:szCs w:val="17"/>
                <w:u w:val="single" w:color="auto"/>
                <w:color w:val="010101"/>
              </w:rPr>
              <w:t>TMC the metals company Inc. Common Share</w:t>
            </w:r>
          </w:p>
        </w:tc>
        <w:tc>
          <w:tcPr>
            <w:tcW w:w="72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94"/>
              <w:spacing w:after="0" w:line="177" w:lineRule="exact"/>
              <w:rPr>
                <w:sz w:val="20"/>
                <w:szCs w:val="20"/>
                <w:color w:val="auto"/>
              </w:rPr>
            </w:pPr>
            <w:r>
              <w:rPr>
                <w:rFonts w:ascii="Times New Roman" w:cs="Times New Roman" w:eastAsia="Times New Roman" w:hAnsi="Times New Roman"/>
                <w:sz w:val="17"/>
                <w:szCs w:val="17"/>
                <w:color w:val="auto"/>
              </w:rPr>
              <w:t>Form 8-K</w:t>
            </w:r>
          </w:p>
        </w:tc>
        <w:tc>
          <w:tcPr>
            <w:tcW w:w="1000" w:type="dxa"/>
            <w:vAlign w:val="bottom"/>
            <w:tcBorders>
              <w:right w:val="single" w:sz="8" w:color="auto"/>
            </w:tcBorders>
            <w:shd w:val="clear" w:color="auto" w:fill="C7EAF2"/>
          </w:tcPr>
          <w:p>
            <w:pPr>
              <w:jc w:val="center"/>
              <w:ind w:left="14"/>
              <w:spacing w:after="0" w:line="177"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shd w:val="clear" w:color="auto" w:fill="C7EAF2"/>
          </w:tcPr>
          <w:p>
            <w:pPr>
              <w:jc w:val="center"/>
              <w:ind w:left="54"/>
              <w:spacing w:after="0" w:line="177" w:lineRule="exact"/>
              <w:rPr>
                <w:sz w:val="20"/>
                <w:szCs w:val="20"/>
                <w:color w:val="auto"/>
              </w:rPr>
            </w:pPr>
            <w:r>
              <w:rPr>
                <w:rFonts w:ascii="Times New Roman" w:cs="Times New Roman" w:eastAsia="Times New Roman" w:hAnsi="Times New Roman"/>
                <w:sz w:val="17"/>
                <w:szCs w:val="17"/>
                <w:color w:val="auto"/>
              </w:rPr>
              <w:t>001-39281</w:t>
            </w:r>
          </w:p>
        </w:tc>
        <w:tc>
          <w:tcPr>
            <w:tcW w:w="0" w:type="dxa"/>
            <w:vAlign w:val="bottom"/>
          </w:tcPr>
          <w:p>
            <w:pPr>
              <w:spacing w:after="0"/>
              <w:rPr>
                <w:sz w:val="1"/>
                <w:szCs w:val="1"/>
                <w:color w:val="auto"/>
              </w:rPr>
            </w:pPr>
          </w:p>
        </w:tc>
      </w:tr>
      <w:tr>
        <w:trPr>
          <w:trHeight w:val="232"/>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40" w:type="dxa"/>
            <w:vAlign w:val="bottom"/>
            <w:tcBorders>
              <w:bottom w:val="single" w:sz="8" w:color="auto"/>
              <w:right w:val="single" w:sz="8" w:color="auto"/>
            </w:tcBorders>
            <w:gridSpan w:val="4"/>
            <w:shd w:val="clear" w:color="auto" w:fill="C7EAF2"/>
          </w:tcPr>
          <w:p>
            <w:pPr>
              <w:ind w:left="180"/>
              <w:spacing w:after="0" w:line="192" w:lineRule="exact"/>
              <w:rPr>
                <w:sz w:val="20"/>
                <w:szCs w:val="20"/>
                <w:color w:val="auto"/>
              </w:rPr>
            </w:pPr>
            <w:r>
              <w:rPr>
                <w:rFonts w:ascii="Times New Roman" w:cs="Times New Roman" w:eastAsia="Times New Roman" w:hAnsi="Times New Roman"/>
                <w:sz w:val="17"/>
                <w:szCs w:val="17"/>
                <w:color w:val="010101"/>
              </w:rPr>
              <w:t>Certificate</w:t>
            </w:r>
          </w:p>
        </w:tc>
        <w:tc>
          <w:tcPr>
            <w:tcW w:w="72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jc w:val="center"/>
              <w:ind w:left="74"/>
              <w:spacing w:after="0" w:line="192" w:lineRule="exact"/>
              <w:rPr>
                <w:sz w:val="20"/>
                <w:szCs w:val="20"/>
                <w:color w:val="auto"/>
              </w:rPr>
            </w:pPr>
            <w:r>
              <w:rPr>
                <w:rFonts w:ascii="Times New Roman" w:cs="Times New Roman" w:eastAsia="Times New Roman" w:hAnsi="Times New Roman"/>
                <w:sz w:val="17"/>
                <w:szCs w:val="17"/>
                <w:color w:val="auto"/>
              </w:rPr>
              <w:t>(Exhibit 4.1)</w:t>
            </w:r>
          </w:p>
        </w:tc>
        <w:tc>
          <w:tcPr>
            <w:tcW w:w="100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4.3</w:t>
            </w:r>
          </w:p>
        </w:tc>
        <w:tc>
          <w:tcPr>
            <w:tcW w:w="4040" w:type="dxa"/>
            <w:vAlign w:val="bottom"/>
            <w:tcBorders>
              <w:right w:val="single" w:sz="8" w:color="auto"/>
            </w:tcBorders>
            <w:gridSpan w:val="4"/>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Warrant Agreement between Continental Stock</w:t>
            </w:r>
          </w:p>
        </w:tc>
        <w:tc>
          <w:tcPr>
            <w:tcW w:w="7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94"/>
              <w:spacing w:after="0" w:line="176" w:lineRule="exact"/>
              <w:rPr>
                <w:sz w:val="20"/>
                <w:szCs w:val="20"/>
                <w:color w:val="auto"/>
              </w:rPr>
            </w:pPr>
            <w:r>
              <w:rPr>
                <w:rFonts w:ascii="Times New Roman" w:cs="Times New Roman" w:eastAsia="Times New Roman" w:hAnsi="Times New Roman"/>
                <w:sz w:val="17"/>
                <w:szCs w:val="17"/>
                <w:color w:val="auto"/>
              </w:rPr>
              <w:t>Form S-1</w:t>
            </w:r>
          </w:p>
        </w:tc>
        <w:tc>
          <w:tcPr>
            <w:tcW w:w="100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10/7/2021</w:t>
            </w:r>
          </w:p>
        </w:tc>
        <w:tc>
          <w:tcPr>
            <w:tcW w:w="124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333-260126</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Transfer &amp; Trust Company and Sustainable</w:t>
            </w:r>
          </w:p>
        </w:tc>
        <w:tc>
          <w:tcPr>
            <w:tcW w:w="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4.2)</w:t>
            </w: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4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Opportunities Acquisition Corp., dated May 8, 2020</w:t>
            </w:r>
          </w:p>
        </w:tc>
        <w:tc>
          <w:tcPr>
            <w:tcW w:w="7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4.4</w:t>
            </w:r>
          </w:p>
        </w:tc>
        <w:tc>
          <w:tcPr>
            <w:tcW w:w="4040" w:type="dxa"/>
            <w:vAlign w:val="bottom"/>
            <w:tcBorders>
              <w:right w:val="single" w:sz="8" w:color="auto"/>
            </w:tcBorders>
            <w:gridSpan w:val="4"/>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Warrant to Purchase Common Shares issued by</w:t>
            </w:r>
          </w:p>
        </w:tc>
        <w:tc>
          <w:tcPr>
            <w:tcW w:w="72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94"/>
              <w:spacing w:after="0" w:line="176" w:lineRule="exact"/>
              <w:rPr>
                <w:sz w:val="20"/>
                <w:szCs w:val="20"/>
                <w:color w:val="auto"/>
              </w:rPr>
            </w:pPr>
            <w:r>
              <w:rPr>
                <w:rFonts w:ascii="Times New Roman" w:cs="Times New Roman" w:eastAsia="Times New Roman" w:hAnsi="Times New Roman"/>
                <w:sz w:val="17"/>
                <w:szCs w:val="17"/>
                <w:color w:val="auto"/>
              </w:rPr>
              <w:t>Form S-4</w:t>
            </w:r>
          </w:p>
        </w:tc>
        <w:tc>
          <w:tcPr>
            <w:tcW w:w="1000" w:type="dxa"/>
            <w:vAlign w:val="bottom"/>
            <w:tcBorders>
              <w:right w:val="single" w:sz="8" w:color="auto"/>
            </w:tcBorders>
            <w:shd w:val="clear" w:color="auto" w:fill="C7EAF2"/>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4/8/2021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40" w:type="dxa"/>
            <w:vAlign w:val="bottom"/>
            <w:tcBorders>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DeepGreen Metals Inc. to Allseas Group S.A. on</w:t>
            </w:r>
          </w:p>
        </w:tc>
        <w:tc>
          <w:tcPr>
            <w:tcW w:w="72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4.4)</w:t>
            </w:r>
          </w:p>
        </w:tc>
        <w:tc>
          <w:tcPr>
            <w:tcW w:w="100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40" w:type="dxa"/>
            <w:vAlign w:val="bottom"/>
            <w:tcBorders>
              <w:bottom w:val="single" w:sz="8" w:color="auto"/>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March 4, 2021</w:t>
            </w:r>
          </w:p>
        </w:tc>
        <w:tc>
          <w:tcPr>
            <w:tcW w:w="72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100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w:t>
            </w:r>
          </w:p>
        </w:tc>
        <w:tc>
          <w:tcPr>
            <w:tcW w:w="4040" w:type="dxa"/>
            <w:vAlign w:val="bottom"/>
            <w:tcBorders>
              <w:right w:val="single" w:sz="8" w:color="auto"/>
            </w:tcBorders>
            <w:gridSpan w:val="4"/>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Amended and Restated Registration Rights Agreement</w:t>
            </w:r>
            <w:r>
              <w:rPr>
                <w:rFonts w:ascii="Times New Roman" w:cs="Times New Roman" w:eastAsia="Times New Roman" w:hAnsi="Times New Roman"/>
                <w:sz w:val="17"/>
                <w:szCs w:val="17"/>
                <w:color w:val="010101"/>
              </w:rPr>
              <w:t>,</w:t>
            </w:r>
          </w:p>
        </w:tc>
        <w:tc>
          <w:tcPr>
            <w:tcW w:w="7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9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100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8/5/2021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by and between Sustainable Opportunities Acquisition</w:t>
            </w:r>
          </w:p>
        </w:tc>
        <w:tc>
          <w:tcPr>
            <w:tcW w:w="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10.5 –</w:t>
            </w: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Corp., Sustainable Opportunities Holdings LLC, the</w:t>
            </w:r>
          </w:p>
        </w:tc>
        <w:tc>
          <w:tcPr>
            <w:tcW w:w="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color w:val="auto"/>
              </w:rPr>
              <w:t>Annex H)</w:t>
            </w: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parties listed under Sponsor Group Holders on the</w:t>
            </w:r>
          </w:p>
        </w:tc>
        <w:tc>
          <w:tcPr>
            <w:tcW w:w="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signature page(s) thereto and the parties listed under</w:t>
            </w:r>
          </w:p>
        </w:tc>
        <w:tc>
          <w:tcPr>
            <w:tcW w:w="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4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DeepGreen Holders on the signature page(s) thereto</w:t>
            </w:r>
          </w:p>
        </w:tc>
        <w:tc>
          <w:tcPr>
            <w:tcW w:w="7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10.2†</w:t>
            </w:r>
          </w:p>
        </w:tc>
        <w:tc>
          <w:tcPr>
            <w:tcW w:w="4040" w:type="dxa"/>
            <w:vAlign w:val="bottom"/>
            <w:tcBorders>
              <w:right w:val="single" w:sz="8" w:color="auto"/>
            </w:tcBorders>
            <w:gridSpan w:val="4"/>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Strategic Alliance Agreement, dated as of March 29</w:t>
            </w:r>
            <w:r>
              <w:rPr>
                <w:rFonts w:ascii="Times New Roman" w:cs="Times New Roman" w:eastAsia="Times New Roman" w:hAnsi="Times New Roman"/>
                <w:sz w:val="17"/>
                <w:szCs w:val="17"/>
                <w:color w:val="010101"/>
              </w:rPr>
              <w:t>,</w:t>
            </w:r>
          </w:p>
        </w:tc>
        <w:tc>
          <w:tcPr>
            <w:tcW w:w="72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94"/>
              <w:spacing w:after="0" w:line="176" w:lineRule="exact"/>
              <w:rPr>
                <w:sz w:val="20"/>
                <w:szCs w:val="20"/>
                <w:color w:val="auto"/>
              </w:rPr>
            </w:pPr>
            <w:r>
              <w:rPr>
                <w:rFonts w:ascii="Times New Roman" w:cs="Times New Roman" w:eastAsia="Times New Roman" w:hAnsi="Times New Roman"/>
                <w:sz w:val="17"/>
                <w:szCs w:val="17"/>
                <w:color w:val="auto"/>
              </w:rPr>
              <w:t>Form S-4</w:t>
            </w:r>
          </w:p>
        </w:tc>
        <w:tc>
          <w:tcPr>
            <w:tcW w:w="1000" w:type="dxa"/>
            <w:vAlign w:val="bottom"/>
            <w:tcBorders>
              <w:right w:val="single" w:sz="8" w:color="auto"/>
            </w:tcBorders>
            <w:shd w:val="clear" w:color="auto" w:fill="C7EAF2"/>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4/8/2021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40" w:type="dxa"/>
            <w:vAlign w:val="bottom"/>
            <w:tcBorders>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2019, by and between DeepGreen Metals Inc. and</w:t>
            </w:r>
          </w:p>
        </w:tc>
        <w:tc>
          <w:tcPr>
            <w:tcW w:w="72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94"/>
              <w:spacing w:after="0"/>
              <w:rPr>
                <w:sz w:val="20"/>
                <w:szCs w:val="20"/>
                <w:color w:val="auto"/>
              </w:rPr>
            </w:pPr>
            <w:r>
              <w:rPr>
                <w:rFonts w:ascii="Times New Roman" w:cs="Times New Roman" w:eastAsia="Times New Roman" w:hAnsi="Times New Roman"/>
                <w:sz w:val="17"/>
                <w:szCs w:val="17"/>
                <w:color w:val="auto"/>
              </w:rPr>
              <w:t>(Exhibit 10.7)</w:t>
            </w:r>
          </w:p>
        </w:tc>
        <w:tc>
          <w:tcPr>
            <w:tcW w:w="100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40" w:type="dxa"/>
            <w:vAlign w:val="bottom"/>
            <w:tcBorders>
              <w:bottom w:val="single" w:sz="8" w:color="auto"/>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Allseas Group S.A.</w:t>
            </w:r>
          </w:p>
        </w:tc>
        <w:tc>
          <w:tcPr>
            <w:tcW w:w="72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100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10.3†</w:t>
            </w:r>
          </w:p>
        </w:tc>
        <w:tc>
          <w:tcPr>
            <w:tcW w:w="4040" w:type="dxa"/>
            <w:vAlign w:val="bottom"/>
            <w:tcBorders>
              <w:right w:val="single" w:sz="8" w:color="auto"/>
            </w:tcBorders>
            <w:gridSpan w:val="4"/>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Pilot Mining Test Agreement dated as of July 8, 2019</w:t>
            </w:r>
            <w:r>
              <w:rPr>
                <w:rFonts w:ascii="Times New Roman" w:cs="Times New Roman" w:eastAsia="Times New Roman" w:hAnsi="Times New Roman"/>
                <w:sz w:val="17"/>
                <w:szCs w:val="17"/>
                <w:color w:val="010101"/>
              </w:rPr>
              <w:t>,</w:t>
            </w:r>
          </w:p>
        </w:tc>
        <w:tc>
          <w:tcPr>
            <w:tcW w:w="7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94"/>
              <w:spacing w:after="0" w:line="176" w:lineRule="exact"/>
              <w:rPr>
                <w:sz w:val="20"/>
                <w:szCs w:val="20"/>
                <w:color w:val="auto"/>
              </w:rPr>
            </w:pPr>
            <w:r>
              <w:rPr>
                <w:rFonts w:ascii="Times New Roman" w:cs="Times New Roman" w:eastAsia="Times New Roman" w:hAnsi="Times New Roman"/>
                <w:sz w:val="17"/>
                <w:szCs w:val="17"/>
                <w:color w:val="auto"/>
              </w:rPr>
              <w:t>Form S-4</w:t>
            </w:r>
          </w:p>
        </w:tc>
        <w:tc>
          <w:tcPr>
            <w:tcW w:w="1000" w:type="dxa"/>
            <w:vAlign w:val="bottom"/>
            <w:tcBorders>
              <w:right w:val="single" w:sz="8" w:color="auto"/>
            </w:tcBorders>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4/8/2021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4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by and between DeepGreen Metals Inc. and Allseas</w:t>
            </w:r>
          </w:p>
        </w:tc>
        <w:tc>
          <w:tcPr>
            <w:tcW w:w="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94"/>
              <w:spacing w:after="0"/>
              <w:rPr>
                <w:sz w:val="20"/>
                <w:szCs w:val="20"/>
                <w:color w:val="auto"/>
              </w:rPr>
            </w:pPr>
            <w:r>
              <w:rPr>
                <w:rFonts w:ascii="Times New Roman" w:cs="Times New Roman" w:eastAsia="Times New Roman" w:hAnsi="Times New Roman"/>
                <w:sz w:val="17"/>
                <w:szCs w:val="17"/>
                <w:color w:val="auto"/>
              </w:rPr>
              <w:t>(Exhibit 10.8)</w:t>
            </w:r>
          </w:p>
        </w:tc>
        <w:tc>
          <w:tcPr>
            <w:tcW w:w="10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4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u w:val="single" w:color="auto"/>
                <w:color w:val="010101"/>
              </w:rPr>
              <w:t>Group S.A.</w:t>
            </w:r>
          </w:p>
        </w:tc>
        <w:tc>
          <w:tcPr>
            <w:tcW w:w="7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10.4†</w:t>
            </w:r>
          </w:p>
        </w:tc>
        <w:tc>
          <w:tcPr>
            <w:tcW w:w="4040" w:type="dxa"/>
            <w:vAlign w:val="bottom"/>
            <w:tcBorders>
              <w:right w:val="single" w:sz="8" w:color="auto"/>
            </w:tcBorders>
            <w:gridSpan w:val="4"/>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Third Amendment to Pilot Mining Test Agreement and</w:t>
            </w:r>
          </w:p>
        </w:tc>
        <w:tc>
          <w:tcPr>
            <w:tcW w:w="72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94"/>
              <w:spacing w:after="0" w:line="176" w:lineRule="exact"/>
              <w:rPr>
                <w:sz w:val="20"/>
                <w:szCs w:val="20"/>
                <w:color w:val="auto"/>
              </w:rPr>
            </w:pPr>
            <w:r>
              <w:rPr>
                <w:rFonts w:ascii="Times New Roman" w:cs="Times New Roman" w:eastAsia="Times New Roman" w:hAnsi="Times New Roman"/>
                <w:sz w:val="17"/>
                <w:szCs w:val="17"/>
                <w:color w:val="auto"/>
              </w:rPr>
              <w:t>Form S-4</w:t>
            </w:r>
          </w:p>
        </w:tc>
        <w:tc>
          <w:tcPr>
            <w:tcW w:w="1000" w:type="dxa"/>
            <w:vAlign w:val="bottom"/>
            <w:tcBorders>
              <w:right w:val="single" w:sz="8" w:color="auto"/>
            </w:tcBorders>
            <w:shd w:val="clear" w:color="auto" w:fill="C7EAF2"/>
          </w:tcPr>
          <w:p>
            <w:pPr>
              <w:jc w:val="center"/>
              <w:ind w:left="14"/>
              <w:spacing w:after="0" w:line="176" w:lineRule="exact"/>
              <w:rPr>
                <w:sz w:val="20"/>
                <w:szCs w:val="20"/>
                <w:color w:val="auto"/>
              </w:rPr>
            </w:pPr>
            <w:r>
              <w:rPr>
                <w:rFonts w:ascii="Times New Roman" w:cs="Times New Roman" w:eastAsia="Times New Roman" w:hAnsi="Times New Roman"/>
                <w:sz w:val="17"/>
                <w:szCs w:val="17"/>
                <w:color w:val="auto"/>
              </w:rPr>
              <w:t>4/8/2021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40" w:type="dxa"/>
            <w:vAlign w:val="bottom"/>
            <w:tcBorders>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First Amendment to Strategic Alliance Agreement</w:t>
            </w:r>
            <w:r>
              <w:rPr>
                <w:rFonts w:ascii="Times New Roman" w:cs="Times New Roman" w:eastAsia="Times New Roman" w:hAnsi="Times New Roman"/>
                <w:sz w:val="17"/>
                <w:szCs w:val="17"/>
                <w:color w:val="010101"/>
              </w:rPr>
              <w:t>,</w:t>
            </w:r>
          </w:p>
        </w:tc>
        <w:tc>
          <w:tcPr>
            <w:tcW w:w="72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94"/>
              <w:spacing w:after="0"/>
              <w:rPr>
                <w:sz w:val="20"/>
                <w:szCs w:val="20"/>
                <w:color w:val="auto"/>
              </w:rPr>
            </w:pPr>
            <w:r>
              <w:rPr>
                <w:rFonts w:ascii="Times New Roman" w:cs="Times New Roman" w:eastAsia="Times New Roman" w:hAnsi="Times New Roman"/>
                <w:sz w:val="17"/>
                <w:szCs w:val="17"/>
                <w:color w:val="auto"/>
              </w:rPr>
              <w:t>(Exhibit 10.9)</w:t>
            </w:r>
          </w:p>
        </w:tc>
        <w:tc>
          <w:tcPr>
            <w:tcW w:w="100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40" w:type="dxa"/>
            <w:vAlign w:val="bottom"/>
            <w:tcBorders>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dated as of March 4, 2021, by and between DeepGreen</w:t>
            </w:r>
          </w:p>
        </w:tc>
        <w:tc>
          <w:tcPr>
            <w:tcW w:w="72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100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40" w:type="dxa"/>
            <w:vAlign w:val="bottom"/>
            <w:tcBorders>
              <w:bottom w:val="single" w:sz="8" w:color="auto"/>
              <w:right w:val="single" w:sz="8" w:color="auto"/>
            </w:tcBorders>
            <w:gridSpan w:val="4"/>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Metals Inc. and Allseas Group S.A.</w:t>
            </w:r>
          </w:p>
        </w:tc>
        <w:tc>
          <w:tcPr>
            <w:tcW w:w="72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100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c>
          <w:tcPr>
            <w:tcW w:w="0" w:type="dxa"/>
            <w:vAlign w:val="bottom"/>
          </w:tcPr>
          <w:p>
            <w:pPr>
              <w:spacing w:after="0"/>
              <w:rPr>
                <w:sz w:val="1"/>
                <w:szCs w:val="1"/>
                <w:color w:val="auto"/>
              </w:rPr>
            </w:pPr>
          </w:p>
        </w:tc>
      </w:tr>
      <w:tr>
        <w:trPr>
          <w:trHeight w:val="616"/>
        </w:trPr>
        <w:tc>
          <w:tcPr>
            <w:tcW w:w="920" w:type="dxa"/>
            <w:vAlign w:val="bottom"/>
          </w:tcPr>
          <w:p>
            <w:pPr>
              <w:spacing w:after="0"/>
              <w:rPr>
                <w:sz w:val="24"/>
                <w:szCs w:val="24"/>
                <w:color w:val="auto"/>
              </w:rPr>
            </w:pPr>
          </w:p>
        </w:tc>
        <w:tc>
          <w:tcPr>
            <w:tcW w:w="4040" w:type="dxa"/>
            <w:vAlign w:val="bottom"/>
            <w:gridSpan w:val="4"/>
          </w:tcPr>
          <w:p>
            <w:pPr>
              <w:ind w:left="3760"/>
              <w:spacing w:after="0"/>
              <w:rPr>
                <w:sz w:val="20"/>
                <w:szCs w:val="20"/>
                <w:color w:val="auto"/>
              </w:rPr>
            </w:pPr>
            <w:r>
              <w:rPr>
                <w:rFonts w:ascii="Times New Roman" w:cs="Times New Roman" w:eastAsia="Times New Roman" w:hAnsi="Times New Roman"/>
                <w:sz w:val="17"/>
                <w:szCs w:val="17"/>
                <w:color w:val="auto"/>
                <w:w w:val="93"/>
              </w:rPr>
              <w:t>178</w:t>
            </w: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620"/>
          </w:cols>
          <w:pgMar w:left="1320" w:top="1334" w:right="1300" w:bottom="1440" w:gutter="0" w:footer="0" w:header="0"/>
        </w:sectPr>
      </w:pPr>
    </w:p>
    <w:bookmarkStart w:id="188" w:name="page189"/>
    <w:bookmarkEnd w:id="1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403">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404">
                      <a:extLst>
                        <a:ext uri="{28A0092B-C50C-407E-A947-70E740481C1C}"/>
                      </a:extLst>
                    </a:blip>
                    <a:srcRect/>
                    <a:stretch>
                      <a:fillRect/>
                    </a:stretch>
                  </pic:blipFill>
                  <pic:spPr bwMode="auto">
                    <a:xfrm>
                      <a:off x="0" y="0"/>
                      <a:ext cx="5080" cy="139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9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10.5</w:t>
            </w:r>
          </w:p>
        </w:tc>
        <w:tc>
          <w:tcPr>
            <w:tcW w:w="4060" w:type="dxa"/>
            <w:vAlign w:val="bottom"/>
            <w:tcBorders>
              <w:top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Fourth Amendment to Pilot Mining Test Agreement</w:t>
            </w:r>
          </w:p>
        </w:tc>
        <w:tc>
          <w:tcPr>
            <w:tcW w:w="7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7/14/2021</w:t>
            </w:r>
          </w:p>
        </w:tc>
        <w:tc>
          <w:tcPr>
            <w:tcW w:w="1240" w:type="dxa"/>
            <w:vAlign w:val="bottom"/>
            <w:tcBorders>
              <w:top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333-255118</w:t>
            </w: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and Second Amendment to Strategic Alliance</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10.23)</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Agreement, dated as of June 30, 2021, by and between</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DeepGreen Metals Inc. and Allseas Group S.A.</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10.6</w:t>
            </w:r>
          </w:p>
        </w:tc>
        <w:tc>
          <w:tcPr>
            <w:tcW w:w="4060" w:type="dxa"/>
            <w:vAlign w:val="bottom"/>
            <w:tcBorders>
              <w:right w:val="single" w:sz="8" w:color="auto"/>
            </w:tcBorders>
            <w:gridSpan w:val="3"/>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Fifth Amendment to Pilot Mining Test Agreement and</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2/17/2023</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60" w:type="dxa"/>
            <w:vAlign w:val="bottom"/>
            <w:tcBorders>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Third Amendment to Strategic Alliance Agreement</w:t>
            </w:r>
            <w:r>
              <w:rPr>
                <w:rFonts w:ascii="Times New Roman" w:cs="Times New Roman" w:eastAsia="Times New Roman" w:hAnsi="Times New Roman"/>
                <w:sz w:val="17"/>
                <w:szCs w:val="17"/>
                <w:color w:val="010101"/>
              </w:rPr>
              <w:t>,</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60" w:type="dxa"/>
            <w:vAlign w:val="bottom"/>
            <w:tcBorders>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effective as of February 8, 2023, by and amon</w:t>
            </w:r>
            <w:r>
              <w:rPr>
                <w:rFonts w:ascii="Times New Roman" w:cs="Times New Roman" w:eastAsia="Times New Roman" w:hAnsi="Times New Roman"/>
                <w:sz w:val="17"/>
                <w:szCs w:val="17"/>
                <w:color w:val="010101"/>
              </w:rPr>
              <w:t>g</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60" w:type="dxa"/>
            <w:vAlign w:val="bottom"/>
            <w:tcBorders>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DeepGreen Engineering Pte Ltd, DeepGreen Metals</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60" w:type="dxa"/>
            <w:vAlign w:val="bottom"/>
            <w:tcBorders>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Inc., TMC the metals company Inc. and Allseas Group</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2"/>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3"/>
            <w:shd w:val="clear" w:color="auto" w:fill="C7EAF2"/>
          </w:tcPr>
          <w:p>
            <w:pPr>
              <w:ind w:left="180"/>
              <w:spacing w:after="0" w:line="193" w:lineRule="exact"/>
              <w:rPr>
                <w:sz w:val="20"/>
                <w:szCs w:val="20"/>
                <w:color w:val="auto"/>
              </w:rPr>
            </w:pPr>
            <w:r>
              <w:rPr>
                <w:rFonts w:ascii="Times New Roman" w:cs="Times New Roman" w:eastAsia="Times New Roman" w:hAnsi="Times New Roman"/>
                <w:sz w:val="17"/>
                <w:szCs w:val="17"/>
                <w:color w:val="010101"/>
              </w:rPr>
              <w:t>S.A.</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5"/>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10.7†</w:t>
            </w:r>
          </w:p>
        </w:tc>
        <w:tc>
          <w:tcPr>
            <w:tcW w:w="4060" w:type="dxa"/>
            <w:vAlign w:val="bottom"/>
            <w:tcBorders>
              <w:right w:val="single" w:sz="8" w:color="auto"/>
            </w:tcBorders>
            <w:gridSpan w:val="3"/>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Sponsorship Agreement, dated as of March 8, 2008, by</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w w:val="98"/>
              </w:rPr>
              <w:t>Form S-4</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4/8/2021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and between the Kingdom of Tonga and Tonga</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10.13)</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Offshore Mining Limited</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10.8†</w:t>
            </w:r>
          </w:p>
        </w:tc>
        <w:tc>
          <w:tcPr>
            <w:tcW w:w="4060" w:type="dxa"/>
            <w:vAlign w:val="bottom"/>
            <w:tcBorders>
              <w:right w:val="single" w:sz="8" w:color="auto"/>
            </w:tcBorders>
            <w:gridSpan w:val="3"/>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Sponsorship Agreement, dated as of September 23</w:t>
            </w:r>
            <w:r>
              <w:rPr>
                <w:rFonts w:ascii="Times New Roman" w:cs="Times New Roman" w:eastAsia="Times New Roman" w:hAnsi="Times New Roman"/>
                <w:sz w:val="17"/>
                <w:szCs w:val="17"/>
                <w:color w:val="010101"/>
              </w:rPr>
              <w:t>,</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w w:val="98"/>
              </w:rPr>
              <w:t>Form S-1</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10/7/2021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60" w:type="dxa"/>
            <w:vAlign w:val="bottom"/>
            <w:tcBorders>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2021, by and between the Kingdom of Tonga and</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10.13)</w:t>
            </w: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Tonga Offshore Mining Limited</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10.9†</w:t>
            </w:r>
          </w:p>
        </w:tc>
        <w:tc>
          <w:tcPr>
            <w:tcW w:w="4060" w:type="dxa"/>
            <w:vAlign w:val="bottom"/>
            <w:tcBorders>
              <w:right w:val="single" w:sz="8" w:color="auto"/>
            </w:tcBorders>
            <w:gridSpan w:val="3"/>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Sponsorship Agreement, dated as of June 5, 2017, by</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w w:val="98"/>
              </w:rPr>
              <w:t>Form S-4</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4/8/2021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and among the Republic of Nauru, the Nauru Seabed</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10.14)</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Minerals Authority, and Nauru Ocean Resources Inc.</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10.10</w:t>
            </w:r>
          </w:p>
        </w:tc>
        <w:tc>
          <w:tcPr>
            <w:tcW w:w="4060" w:type="dxa"/>
            <w:vAlign w:val="bottom"/>
            <w:tcBorders>
              <w:right w:val="single" w:sz="8" w:color="auto"/>
            </w:tcBorders>
            <w:gridSpan w:val="3"/>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Certificate of the Sponsorship signed by the</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7/28/2021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Government of Nauru on April 11, 2011</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10.24)</w:t>
            </w: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10.11</w:t>
            </w:r>
          </w:p>
        </w:tc>
        <w:tc>
          <w:tcPr>
            <w:tcW w:w="4060" w:type="dxa"/>
            <w:vAlign w:val="bottom"/>
            <w:tcBorders>
              <w:right w:val="single" w:sz="8" w:color="auto"/>
            </w:tcBorders>
            <w:gridSpan w:val="3"/>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ISA Contract for Exploration (Republic of Nauru)</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w w:val="98"/>
              </w:rPr>
              <w:t>Form S-4</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4/8/2021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dated as of July 22, 2011</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10.15)</w:t>
            </w: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7"/>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10.12</w:t>
            </w:r>
          </w:p>
        </w:tc>
        <w:tc>
          <w:tcPr>
            <w:tcW w:w="4060" w:type="dxa"/>
            <w:vAlign w:val="bottom"/>
            <w:tcBorders>
              <w:right w:val="single" w:sz="8" w:color="auto"/>
            </w:tcBorders>
            <w:gridSpan w:val="3"/>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ISA Contract for Exploration (Kingdom of Tonga)</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w w:val="98"/>
              </w:rPr>
              <w:t>Form S-4</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4/8/2021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dated as of January 11, 2012</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10.16)</w:t>
            </w: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10.13+</w:t>
            </w:r>
          </w:p>
        </w:tc>
        <w:tc>
          <w:tcPr>
            <w:tcW w:w="4060" w:type="dxa"/>
            <w:vAlign w:val="bottom"/>
            <w:tcBorders>
              <w:right w:val="single" w:sz="8" w:color="auto"/>
            </w:tcBorders>
            <w:gridSpan w:val="3"/>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Form of Indemnity Agreement</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10.18)</w:t>
            </w: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10.14+</w:t>
            </w:r>
          </w:p>
        </w:tc>
        <w:tc>
          <w:tcPr>
            <w:tcW w:w="4060" w:type="dxa"/>
            <w:vAlign w:val="bottom"/>
            <w:tcBorders>
              <w:right w:val="single" w:sz="8" w:color="auto"/>
            </w:tcBorders>
            <w:gridSpan w:val="3"/>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Nonemployee Director Compensation Policy</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300" w:type="dxa"/>
            <w:vAlign w:val="bottom"/>
            <w:tcBorders>
              <w:bottom w:val="single" w:sz="8" w:color="auto"/>
            </w:tcBorders>
            <w:shd w:val="clear" w:color="auto" w:fill="C7EAF2"/>
          </w:tcPr>
          <w:p>
            <w:pPr>
              <w:spacing w:after="0"/>
              <w:rPr>
                <w:sz w:val="20"/>
                <w:szCs w:val="20"/>
                <w:color w:val="auto"/>
              </w:rPr>
            </w:pPr>
          </w:p>
        </w:tc>
        <w:tc>
          <w:tcPr>
            <w:tcW w:w="3580" w:type="dxa"/>
            <w:vAlign w:val="bottom"/>
            <w:tcBorders>
              <w:bottom w:val="single" w:sz="8" w:color="auto"/>
              <w:right w:val="single" w:sz="8" w:color="auto"/>
            </w:tcBorders>
            <w:shd w:val="clear" w:color="auto" w:fill="C7EAF2"/>
          </w:tcPr>
          <w:p>
            <w:pPr>
              <w:spacing w:after="0"/>
              <w:rPr>
                <w:sz w:val="20"/>
                <w:szCs w:val="20"/>
                <w:color w:val="auto"/>
              </w:rPr>
            </w:pP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10.19)</w:t>
            </w: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7"/>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10.15+</w:t>
            </w:r>
          </w:p>
        </w:tc>
        <w:tc>
          <w:tcPr>
            <w:tcW w:w="4060" w:type="dxa"/>
            <w:vAlign w:val="bottom"/>
            <w:tcBorders>
              <w:right w:val="single" w:sz="8" w:color="auto"/>
            </w:tcBorders>
            <w:gridSpan w:val="3"/>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Employment Agreement, dated December 15, 2017, by</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5/27/2021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and between DeepGreen Metals Inc. and Gerard Barron</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10.17)</w:t>
            </w: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10.16+</w:t>
            </w:r>
          </w:p>
        </w:tc>
        <w:tc>
          <w:tcPr>
            <w:tcW w:w="4060" w:type="dxa"/>
            <w:vAlign w:val="bottom"/>
            <w:tcBorders>
              <w:right w:val="single" w:sz="8" w:color="auto"/>
            </w:tcBorders>
            <w:gridSpan w:val="3"/>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Amended and Restated Employment Agreement, dated</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w w:val="99"/>
              </w:rPr>
              <w:t>Form 10-Q</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5/9/2022</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60" w:type="dxa"/>
            <w:vAlign w:val="bottom"/>
            <w:tcBorders>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May 8, 2022, by and between The Metals Company</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10.3)</w:t>
            </w: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Australia Pty. LTD and Anthony O’Sullivan</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10.17+</w:t>
            </w:r>
          </w:p>
        </w:tc>
        <w:tc>
          <w:tcPr>
            <w:tcW w:w="4060" w:type="dxa"/>
            <w:vAlign w:val="bottom"/>
            <w:tcBorders>
              <w:right w:val="single" w:sz="8" w:color="auto"/>
            </w:tcBorders>
            <w:gridSpan w:val="3"/>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Employment Agreement, dated September 1, 2018, by</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5/27/2021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and between DeepGreen Metals Inc. and Erika Ilves</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10.19)</w:t>
            </w: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10.18+</w:t>
            </w:r>
          </w:p>
        </w:tc>
        <w:tc>
          <w:tcPr>
            <w:tcW w:w="4060" w:type="dxa"/>
            <w:vAlign w:val="bottom"/>
            <w:tcBorders>
              <w:right w:val="single" w:sz="8" w:color="auto"/>
            </w:tcBorders>
            <w:gridSpan w:val="3"/>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Amended and Restated Employment Agreement, dated</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w w:val="99"/>
              </w:rPr>
              <w:t>Form 10-Q</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5/9/2022</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60" w:type="dxa"/>
            <w:vAlign w:val="bottom"/>
            <w:tcBorders>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May 6, 2022, by and between DeepGreen Resources</w:t>
            </w:r>
            <w:r>
              <w:rPr>
                <w:rFonts w:ascii="Times New Roman" w:cs="Times New Roman" w:eastAsia="Times New Roman" w:hAnsi="Times New Roman"/>
                <w:sz w:val="17"/>
                <w:szCs w:val="17"/>
                <w:color w:val="010101"/>
              </w:rPr>
              <w:t>,</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10.2)</w:t>
            </w: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LLC and Craig Shesky</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7"/>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10.19.1+</w:t>
            </w:r>
          </w:p>
        </w:tc>
        <w:tc>
          <w:tcPr>
            <w:tcW w:w="4060" w:type="dxa"/>
            <w:vAlign w:val="bottom"/>
            <w:tcBorders>
              <w:right w:val="single" w:sz="8" w:color="auto"/>
            </w:tcBorders>
            <w:gridSpan w:val="3"/>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TMC the metals company Inc. 2021 Incentive Equity</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192"/>
        </w:trPr>
        <w:tc>
          <w:tcPr>
            <w:tcW w:w="920" w:type="dxa"/>
            <w:vAlign w:val="bottom"/>
            <w:tcBorders>
              <w:left w:val="single" w:sz="8" w:color="auto"/>
              <w:right w:val="single" w:sz="8" w:color="auto"/>
            </w:tcBorders>
          </w:tcPr>
          <w:p>
            <w:pPr>
              <w:spacing w:after="0"/>
              <w:rPr>
                <w:sz w:val="16"/>
                <w:szCs w:val="16"/>
                <w:color w:val="auto"/>
              </w:rPr>
            </w:pPr>
          </w:p>
        </w:tc>
        <w:tc>
          <w:tcPr>
            <w:tcW w:w="4060" w:type="dxa"/>
            <w:vAlign w:val="bottom"/>
            <w:tcBorders>
              <w:right w:val="single" w:sz="8" w:color="auto"/>
            </w:tcBorders>
            <w:gridSpan w:val="3"/>
          </w:tcPr>
          <w:p>
            <w:pPr>
              <w:ind w:left="180"/>
              <w:spacing w:after="0" w:line="193" w:lineRule="exact"/>
              <w:rPr>
                <w:sz w:val="20"/>
                <w:szCs w:val="20"/>
                <w:color w:val="auto"/>
              </w:rPr>
            </w:pPr>
            <w:r>
              <w:rPr>
                <w:rFonts w:ascii="Times New Roman" w:cs="Times New Roman" w:eastAsia="Times New Roman" w:hAnsi="Times New Roman"/>
                <w:sz w:val="17"/>
                <w:szCs w:val="17"/>
                <w:color w:val="010101"/>
              </w:rPr>
              <w:t>Plan</w:t>
            </w:r>
          </w:p>
        </w:tc>
        <w:tc>
          <w:tcPr>
            <w:tcW w:w="7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ind w:left="74"/>
              <w:spacing w:after="0" w:line="193" w:lineRule="exact"/>
              <w:rPr>
                <w:sz w:val="20"/>
                <w:szCs w:val="20"/>
                <w:color w:val="auto"/>
              </w:rPr>
            </w:pPr>
            <w:r>
              <w:rPr>
                <w:rFonts w:ascii="Times New Roman" w:cs="Times New Roman" w:eastAsia="Times New Roman" w:hAnsi="Times New Roman"/>
                <w:sz w:val="17"/>
                <w:szCs w:val="17"/>
                <w:color w:val="auto"/>
              </w:rPr>
              <w:t>(Exhibit 10.23.1)</w:t>
            </w:r>
          </w:p>
        </w:tc>
        <w:tc>
          <w:tcPr>
            <w:tcW w:w="9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10101"/>
              <w:bottom w:val="single" w:sz="8" w:color="auto"/>
            </w:tcBorders>
          </w:tcPr>
          <w:p>
            <w:pPr>
              <w:spacing w:after="0" w:line="20" w:lineRule="exact"/>
              <w:rPr>
                <w:sz w:val="1"/>
                <w:szCs w:val="1"/>
                <w:color w:val="auto"/>
              </w:rPr>
            </w:pPr>
          </w:p>
        </w:tc>
        <w:tc>
          <w:tcPr>
            <w:tcW w:w="35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75"/>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10.19.2+</w:t>
            </w:r>
          </w:p>
        </w:tc>
        <w:tc>
          <w:tcPr>
            <w:tcW w:w="4060" w:type="dxa"/>
            <w:vAlign w:val="bottom"/>
            <w:tcBorders>
              <w:right w:val="single" w:sz="8" w:color="auto"/>
            </w:tcBorders>
            <w:gridSpan w:val="3"/>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Form of Stock Option Agreement under TMC the</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metals company Inc. 2021 Incentive Equity Plan</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10.23.2)</w:t>
            </w: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10.19.3+</w:t>
            </w:r>
          </w:p>
        </w:tc>
        <w:tc>
          <w:tcPr>
            <w:tcW w:w="4060" w:type="dxa"/>
            <w:vAlign w:val="bottom"/>
            <w:tcBorders>
              <w:right w:val="single" w:sz="8" w:color="auto"/>
            </w:tcBorders>
            <w:gridSpan w:val="3"/>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Form of Restricted Stock Unit Agreement under TMC</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9/15/2021</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3"/>
          </w:tcPr>
          <w:p>
            <w:pPr>
              <w:ind w:left="180"/>
              <w:spacing w:after="0"/>
              <w:rPr>
                <w:sz w:val="20"/>
                <w:szCs w:val="20"/>
                <w:color w:val="auto"/>
              </w:rPr>
            </w:pPr>
            <w:r>
              <w:rPr>
                <w:rFonts w:ascii="Times New Roman" w:cs="Times New Roman" w:eastAsia="Times New Roman" w:hAnsi="Times New Roman"/>
                <w:sz w:val="17"/>
                <w:szCs w:val="17"/>
                <w:u w:val="single" w:color="auto"/>
                <w:color w:val="010101"/>
              </w:rPr>
              <w:t>the metals company Inc. 2021 Incentive Equity Plan</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10.23.3)</w:t>
            </w: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7"/>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10.20.1+</w:t>
            </w:r>
          </w:p>
        </w:tc>
        <w:tc>
          <w:tcPr>
            <w:tcW w:w="4060" w:type="dxa"/>
            <w:vAlign w:val="bottom"/>
            <w:tcBorders>
              <w:right w:val="single" w:sz="8" w:color="auto"/>
            </w:tcBorders>
            <w:gridSpan w:val="3"/>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u w:val="single" w:color="auto"/>
                <w:color w:val="010101"/>
              </w:rPr>
              <w:t>DeepGreen Metals Inc. Stock Option Plan and form of</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5/27/2021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3"/>
            <w:shd w:val="clear" w:color="auto" w:fill="C7EAF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Stock Option Agreement thereunder</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10.20)</w:t>
            </w: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615"/>
        </w:trPr>
        <w:tc>
          <w:tcPr>
            <w:tcW w:w="920" w:type="dxa"/>
            <w:vAlign w:val="bottom"/>
          </w:tcPr>
          <w:p>
            <w:pPr>
              <w:spacing w:after="0"/>
              <w:rPr>
                <w:sz w:val="24"/>
                <w:szCs w:val="24"/>
                <w:color w:val="auto"/>
              </w:rPr>
            </w:pPr>
          </w:p>
        </w:tc>
        <w:tc>
          <w:tcPr>
            <w:tcW w:w="4060" w:type="dxa"/>
            <w:vAlign w:val="bottom"/>
            <w:gridSpan w:val="3"/>
          </w:tcPr>
          <w:p>
            <w:pPr>
              <w:ind w:left="3760"/>
              <w:spacing w:after="0"/>
              <w:rPr>
                <w:sz w:val="20"/>
                <w:szCs w:val="20"/>
                <w:color w:val="auto"/>
              </w:rPr>
            </w:pPr>
            <w:r>
              <w:rPr>
                <w:rFonts w:ascii="Times New Roman" w:cs="Times New Roman" w:eastAsia="Times New Roman" w:hAnsi="Times New Roman"/>
                <w:sz w:val="17"/>
                <w:szCs w:val="17"/>
                <w:color w:val="auto"/>
              </w:rPr>
              <w:t>179</w:t>
            </w: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24"/>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2240" w:h="15840" w:orient="portrait"/>
          <w:cols w:equalWidth="0" w:num="1">
            <w:col w:w="9620"/>
          </w:cols>
          <w:pgMar w:left="1320" w:top="1330" w:right="1300" w:bottom="1440" w:gutter="0" w:footer="0" w:header="0"/>
        </w:sectPr>
      </w:pPr>
    </w:p>
    <w:bookmarkStart w:id="189" w:name="page190"/>
    <w:bookmarkEnd w:id="1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405">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406">
                      <a:extLst>
                        <a:ext uri="{28A0092B-C50C-407E-A947-70E740481C1C}"/>
                      </a:extLst>
                    </a:blip>
                    <a:srcRect/>
                    <a:stretch>
                      <a:fillRect/>
                    </a:stretch>
                  </pic:blipFill>
                  <pic:spPr bwMode="auto">
                    <a:xfrm>
                      <a:off x="0" y="0"/>
                      <a:ext cx="5080" cy="139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9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10.20.2+</w:t>
            </w:r>
          </w:p>
        </w:tc>
        <w:tc>
          <w:tcPr>
            <w:tcW w:w="180" w:type="dxa"/>
            <w:vAlign w:val="bottom"/>
            <w:tcBorders>
              <w:top w:val="single" w:sz="8" w:color="auto"/>
            </w:tcBorders>
          </w:tcPr>
          <w:p>
            <w:pPr>
              <w:spacing w:after="0"/>
              <w:rPr>
                <w:sz w:val="18"/>
                <w:szCs w:val="18"/>
                <w:color w:val="auto"/>
              </w:rPr>
            </w:pPr>
          </w:p>
        </w:tc>
        <w:tc>
          <w:tcPr>
            <w:tcW w:w="3880" w:type="dxa"/>
            <w:vAlign w:val="bottom"/>
            <w:tcBorders>
              <w:top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Amendment to DeepGreen Metals Inc. Stock Option</w:t>
            </w:r>
          </w:p>
        </w:tc>
        <w:tc>
          <w:tcPr>
            <w:tcW w:w="7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5/27/2021</w:t>
            </w:r>
          </w:p>
        </w:tc>
        <w:tc>
          <w:tcPr>
            <w:tcW w:w="1240" w:type="dxa"/>
            <w:vAlign w:val="bottom"/>
            <w:tcBorders>
              <w:top w:val="single" w:sz="8" w:color="auto"/>
              <w:right w:val="single" w:sz="8" w:color="auto"/>
            </w:tcBorders>
          </w:tcPr>
          <w:p>
            <w:pPr>
              <w:jc w:val="center"/>
              <w:ind w:left="54"/>
              <w:spacing w:after="0"/>
              <w:rPr>
                <w:sz w:val="20"/>
                <w:szCs w:val="20"/>
                <w:color w:val="auto"/>
              </w:rPr>
            </w:pPr>
            <w:r>
              <w:rPr>
                <w:rFonts w:ascii="Times New Roman" w:cs="Times New Roman" w:eastAsia="Times New Roman" w:hAnsi="Times New Roman"/>
                <w:sz w:val="17"/>
                <w:szCs w:val="17"/>
                <w:color w:val="auto"/>
                <w:w w:val="99"/>
              </w:rPr>
              <w:t>333-255118</w:t>
            </w:r>
          </w:p>
        </w:tc>
      </w:tr>
      <w:tr>
        <w:trPr>
          <w:trHeight w:val="192"/>
        </w:trPr>
        <w:tc>
          <w:tcPr>
            <w:tcW w:w="920" w:type="dxa"/>
            <w:vAlign w:val="bottom"/>
            <w:tcBorders>
              <w:left w:val="single" w:sz="8" w:color="auto"/>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tcBorders>
              <w:right w:val="single" w:sz="8" w:color="auto"/>
            </w:tcBorders>
            <w:gridSpan w:val="7"/>
          </w:tcPr>
          <w:p>
            <w:pPr>
              <w:spacing w:after="0" w:line="193" w:lineRule="exact"/>
              <w:rPr>
                <w:sz w:val="20"/>
                <w:szCs w:val="20"/>
                <w:color w:val="auto"/>
              </w:rPr>
            </w:pPr>
            <w:r>
              <w:rPr>
                <w:rFonts w:ascii="Times New Roman" w:cs="Times New Roman" w:eastAsia="Times New Roman" w:hAnsi="Times New Roman"/>
                <w:sz w:val="17"/>
                <w:szCs w:val="17"/>
                <w:color w:val="010101"/>
              </w:rPr>
              <w:t>Plan</w:t>
            </w:r>
          </w:p>
        </w:tc>
        <w:tc>
          <w:tcPr>
            <w:tcW w:w="7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ind w:left="74"/>
              <w:spacing w:after="0" w:line="193" w:lineRule="exact"/>
              <w:rPr>
                <w:sz w:val="20"/>
                <w:szCs w:val="20"/>
                <w:color w:val="auto"/>
              </w:rPr>
            </w:pPr>
            <w:r>
              <w:rPr>
                <w:rFonts w:ascii="Times New Roman" w:cs="Times New Roman" w:eastAsia="Times New Roman" w:hAnsi="Times New Roman"/>
                <w:sz w:val="17"/>
                <w:szCs w:val="17"/>
                <w:color w:val="auto"/>
              </w:rPr>
              <w:t>(Exhibit 10.21)</w:t>
            </w:r>
          </w:p>
        </w:tc>
        <w:tc>
          <w:tcPr>
            <w:tcW w:w="9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10101"/>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75"/>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10.21+</w:t>
            </w:r>
          </w:p>
        </w:tc>
        <w:tc>
          <w:tcPr>
            <w:tcW w:w="180" w:type="dxa"/>
            <w:vAlign w:val="bottom"/>
            <w:shd w:val="clear" w:color="auto" w:fill="C7EAF2"/>
          </w:tcPr>
          <w:p>
            <w:pPr>
              <w:spacing w:after="0"/>
              <w:rPr>
                <w:sz w:val="15"/>
                <w:szCs w:val="15"/>
                <w:color w:val="auto"/>
              </w:rPr>
            </w:pPr>
          </w:p>
        </w:tc>
        <w:tc>
          <w:tcPr>
            <w:tcW w:w="3880" w:type="dxa"/>
            <w:vAlign w:val="bottom"/>
            <w:tcBorders>
              <w:right w:val="single" w:sz="8" w:color="auto"/>
            </w:tcBorders>
            <w:gridSpan w:val="7"/>
            <w:shd w:val="clear" w:color="auto" w:fill="C7EAF2"/>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TMC the metals company Inc. 2021 Employee Stock</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w w:val="98"/>
              </w:rPr>
              <w:t>Form S-8</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5/31/2022</w:t>
            </w:r>
          </w:p>
        </w:tc>
        <w:tc>
          <w:tcPr>
            <w:tcW w:w="124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333-265318</w:t>
            </w:r>
          </w:p>
        </w:tc>
      </w:tr>
      <w:tr>
        <w:trPr>
          <w:trHeight w:val="233"/>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3880" w:type="dxa"/>
            <w:vAlign w:val="bottom"/>
            <w:tcBorders>
              <w:bottom w:val="single" w:sz="8" w:color="auto"/>
              <w:right w:val="single" w:sz="8" w:color="auto"/>
            </w:tcBorders>
            <w:gridSpan w:val="7"/>
            <w:shd w:val="clear" w:color="auto" w:fill="C7EAF2"/>
          </w:tcPr>
          <w:p>
            <w:pPr>
              <w:spacing w:after="0" w:line="193" w:lineRule="exact"/>
              <w:rPr>
                <w:sz w:val="20"/>
                <w:szCs w:val="20"/>
                <w:color w:val="auto"/>
              </w:rPr>
            </w:pPr>
            <w:r>
              <w:rPr>
                <w:rFonts w:ascii="Times New Roman" w:cs="Times New Roman" w:eastAsia="Times New Roman" w:hAnsi="Times New Roman"/>
                <w:sz w:val="17"/>
                <w:szCs w:val="17"/>
                <w:color w:val="010101"/>
              </w:rPr>
              <w:t>Purchase Plan</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jc w:val="center"/>
              <w:ind w:left="74"/>
              <w:spacing w:after="0" w:line="193" w:lineRule="exact"/>
              <w:rPr>
                <w:sz w:val="20"/>
                <w:szCs w:val="20"/>
                <w:color w:val="auto"/>
              </w:rPr>
            </w:pPr>
            <w:r>
              <w:rPr>
                <w:rFonts w:ascii="Times New Roman" w:cs="Times New Roman" w:eastAsia="Times New Roman" w:hAnsi="Times New Roman"/>
                <w:sz w:val="17"/>
                <w:szCs w:val="17"/>
                <w:color w:val="auto"/>
              </w:rPr>
              <w:t>(Exhibit 99.1)</w:t>
            </w: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5"/>
        </w:trPr>
        <w:tc>
          <w:tcPr>
            <w:tcW w:w="920" w:type="dxa"/>
            <w:vAlign w:val="bottom"/>
            <w:tcBorders>
              <w:left w:val="single" w:sz="8" w:color="auto"/>
              <w:right w:val="single" w:sz="8" w:color="auto"/>
            </w:tcBorders>
          </w:tcPr>
          <w:p>
            <w:pPr>
              <w:ind w:left="40"/>
              <w:spacing w:after="0" w:line="175" w:lineRule="exact"/>
              <w:rPr>
                <w:sz w:val="20"/>
                <w:szCs w:val="20"/>
                <w:color w:val="auto"/>
              </w:rPr>
            </w:pPr>
            <w:r>
              <w:rPr>
                <w:rFonts w:ascii="Times New Roman" w:cs="Times New Roman" w:eastAsia="Times New Roman" w:hAnsi="Times New Roman"/>
                <w:sz w:val="17"/>
                <w:szCs w:val="17"/>
                <w:color w:val="auto"/>
              </w:rPr>
              <w:t>10.22</w:t>
            </w:r>
          </w:p>
        </w:tc>
        <w:tc>
          <w:tcPr>
            <w:tcW w:w="180" w:type="dxa"/>
            <w:vAlign w:val="bottom"/>
          </w:tcPr>
          <w:p>
            <w:pPr>
              <w:spacing w:after="0"/>
              <w:rPr>
                <w:sz w:val="15"/>
                <w:szCs w:val="15"/>
                <w:color w:val="auto"/>
              </w:rPr>
            </w:pPr>
          </w:p>
        </w:tc>
        <w:tc>
          <w:tcPr>
            <w:tcW w:w="3880" w:type="dxa"/>
            <w:vAlign w:val="bottom"/>
            <w:tcBorders>
              <w:right w:val="single" w:sz="8" w:color="auto"/>
            </w:tcBorders>
            <w:gridSpan w:val="7"/>
          </w:tcPr>
          <w:p>
            <w:pPr>
              <w:spacing w:after="0" w:line="175" w:lineRule="exact"/>
              <w:rPr>
                <w:sz w:val="20"/>
                <w:szCs w:val="20"/>
                <w:color w:val="auto"/>
              </w:rPr>
            </w:pPr>
            <w:r>
              <w:rPr>
                <w:rFonts w:ascii="Times New Roman" w:cs="Times New Roman" w:eastAsia="Times New Roman" w:hAnsi="Times New Roman"/>
                <w:sz w:val="17"/>
                <w:szCs w:val="17"/>
                <w:u w:val="single" w:color="auto"/>
                <w:color w:val="010101"/>
              </w:rPr>
              <w:t>Form of Subscription Agreement for institutional</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5" w:lineRule="exact"/>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rPr>
              <w:t>8/5/2021</w:t>
            </w:r>
          </w:p>
        </w:tc>
        <w:tc>
          <w:tcPr>
            <w:tcW w:w="1240" w:type="dxa"/>
            <w:vAlign w:val="bottom"/>
            <w:tcBorders>
              <w:right w:val="single" w:sz="8" w:color="auto"/>
            </w:tcBorders>
          </w:tcPr>
          <w:p>
            <w:pPr>
              <w:jc w:val="center"/>
              <w:ind w:left="54"/>
              <w:spacing w:after="0" w:line="175"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08"/>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investors, by and between Sustainable Opportunities</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2"/>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Acquisition Corp. and the subscriber parties thereto</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10.23</w:t>
            </w:r>
          </w:p>
        </w:tc>
        <w:tc>
          <w:tcPr>
            <w:tcW w:w="180" w:type="dxa"/>
            <w:vAlign w:val="bottom"/>
            <w:shd w:val="clear" w:color="auto" w:fill="C7EAF2"/>
          </w:tcPr>
          <w:p>
            <w:pPr>
              <w:spacing w:after="0"/>
              <w:rPr>
                <w:sz w:val="15"/>
                <w:szCs w:val="15"/>
                <w:color w:val="auto"/>
              </w:rPr>
            </w:pPr>
          </w:p>
        </w:tc>
        <w:tc>
          <w:tcPr>
            <w:tcW w:w="3880" w:type="dxa"/>
            <w:vAlign w:val="bottom"/>
            <w:tcBorders>
              <w:right w:val="single" w:sz="8" w:color="auto"/>
            </w:tcBorders>
            <w:gridSpan w:val="7"/>
            <w:shd w:val="clear" w:color="auto" w:fill="C7EAF2"/>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Form of Subscription Agreement for accredited</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8/5/2021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180" w:type="dxa"/>
            <w:vAlign w:val="bottom"/>
            <w:shd w:val="clear" w:color="auto" w:fill="C7EAF2"/>
          </w:tcPr>
          <w:p>
            <w:pPr>
              <w:spacing w:after="0"/>
              <w:rPr>
                <w:sz w:val="18"/>
                <w:szCs w:val="18"/>
                <w:color w:val="auto"/>
              </w:rPr>
            </w:pPr>
          </w:p>
        </w:tc>
        <w:tc>
          <w:tcPr>
            <w:tcW w:w="3880" w:type="dxa"/>
            <w:vAlign w:val="bottom"/>
            <w:tcBorders>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investors, by and between Sustainable Opportunities</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10.2)</w:t>
            </w: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2"/>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3880" w:type="dxa"/>
            <w:vAlign w:val="bottom"/>
            <w:tcBorders>
              <w:bottom w:val="single" w:sz="8" w:color="auto"/>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Acquisition Corp. and the subscriber parties thereto</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10.24</w:t>
            </w:r>
          </w:p>
        </w:tc>
        <w:tc>
          <w:tcPr>
            <w:tcW w:w="180" w:type="dxa"/>
            <w:vAlign w:val="bottom"/>
          </w:tcPr>
          <w:p>
            <w:pPr>
              <w:spacing w:after="0"/>
              <w:rPr>
                <w:sz w:val="15"/>
                <w:szCs w:val="15"/>
                <w:color w:val="auto"/>
              </w:rPr>
            </w:pPr>
          </w:p>
        </w:tc>
        <w:tc>
          <w:tcPr>
            <w:tcW w:w="3880" w:type="dxa"/>
            <w:vAlign w:val="bottom"/>
            <w:tcBorders>
              <w:right w:val="single" w:sz="8" w:color="auto"/>
            </w:tcBorders>
            <w:gridSpan w:val="7"/>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Form of Securities Purchase Agreement, dated August</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8/15/2022</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12, 2022, by and among the Company and the</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192"/>
        </w:trPr>
        <w:tc>
          <w:tcPr>
            <w:tcW w:w="920" w:type="dxa"/>
            <w:vAlign w:val="bottom"/>
            <w:tcBorders>
              <w:left w:val="single" w:sz="8" w:color="auto"/>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tcBorders>
              <w:right w:val="single" w:sz="8" w:color="auto"/>
            </w:tcBorders>
            <w:gridSpan w:val="7"/>
          </w:tcPr>
          <w:p>
            <w:pPr>
              <w:spacing w:after="0" w:line="193" w:lineRule="exact"/>
              <w:rPr>
                <w:sz w:val="20"/>
                <w:szCs w:val="20"/>
                <w:color w:val="auto"/>
              </w:rPr>
            </w:pPr>
            <w:r>
              <w:rPr>
                <w:rFonts w:ascii="Times New Roman" w:cs="Times New Roman" w:eastAsia="Times New Roman" w:hAnsi="Times New Roman"/>
                <w:sz w:val="17"/>
                <w:szCs w:val="17"/>
                <w:color w:val="010101"/>
              </w:rPr>
              <w:t>Purchasers named therein.</w:t>
            </w:r>
          </w:p>
        </w:tc>
        <w:tc>
          <w:tcPr>
            <w:tcW w:w="7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10101"/>
              <w:bottom w:val="single" w:sz="8" w:color="auto"/>
            </w:tcBorders>
          </w:tcPr>
          <w:p>
            <w:pPr>
              <w:spacing w:after="0" w:line="20" w:lineRule="exact"/>
              <w:rPr>
                <w:sz w:val="1"/>
                <w:szCs w:val="1"/>
                <w:color w:val="auto"/>
              </w:rPr>
            </w:pPr>
          </w:p>
        </w:tc>
        <w:tc>
          <w:tcPr>
            <w:tcW w:w="40" w:type="dxa"/>
            <w:vAlign w:val="bottom"/>
            <w:tcBorders>
              <w:top w:val="single" w:sz="8" w:color="010101"/>
              <w:bottom w:val="single" w:sz="8" w:color="auto"/>
            </w:tcBorders>
          </w:tcPr>
          <w:p>
            <w:pPr>
              <w:spacing w:after="0" w:line="20" w:lineRule="exact"/>
              <w:rPr>
                <w:sz w:val="1"/>
                <w:szCs w:val="1"/>
                <w:color w:val="auto"/>
              </w:rPr>
            </w:pPr>
          </w:p>
        </w:tc>
        <w:tc>
          <w:tcPr>
            <w:tcW w:w="620" w:type="dxa"/>
            <w:vAlign w:val="bottom"/>
            <w:tcBorders>
              <w:top w:val="single" w:sz="8" w:color="010101"/>
              <w:bottom w:val="single" w:sz="8" w:color="auto"/>
            </w:tcBorders>
          </w:tcPr>
          <w:p>
            <w:pPr>
              <w:spacing w:after="0" w:line="20" w:lineRule="exact"/>
              <w:rPr>
                <w:sz w:val="1"/>
                <w:szCs w:val="1"/>
                <w:color w:val="auto"/>
              </w:rPr>
            </w:pPr>
          </w:p>
        </w:tc>
        <w:tc>
          <w:tcPr>
            <w:tcW w:w="380" w:type="dxa"/>
            <w:vAlign w:val="bottom"/>
            <w:tcBorders>
              <w:top w:val="single" w:sz="8" w:color="010101"/>
              <w:bottom w:val="single" w:sz="8" w:color="auto"/>
            </w:tcBorders>
          </w:tcPr>
          <w:p>
            <w:pPr>
              <w:spacing w:after="0" w:line="20" w:lineRule="exact"/>
              <w:rPr>
                <w:sz w:val="1"/>
                <w:szCs w:val="1"/>
                <w:color w:val="auto"/>
              </w:rPr>
            </w:pPr>
          </w:p>
        </w:tc>
        <w:tc>
          <w:tcPr>
            <w:tcW w:w="480" w:type="dxa"/>
            <w:vAlign w:val="bottom"/>
            <w:tcBorders>
              <w:top w:val="single" w:sz="8" w:color="010101"/>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75"/>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10.25</w:t>
            </w:r>
          </w:p>
        </w:tc>
        <w:tc>
          <w:tcPr>
            <w:tcW w:w="180" w:type="dxa"/>
            <w:vAlign w:val="bottom"/>
            <w:shd w:val="clear" w:color="auto" w:fill="C7EAF2"/>
          </w:tcPr>
          <w:p>
            <w:pPr>
              <w:spacing w:after="0"/>
              <w:rPr>
                <w:sz w:val="15"/>
                <w:szCs w:val="15"/>
                <w:color w:val="auto"/>
              </w:rPr>
            </w:pPr>
          </w:p>
        </w:tc>
        <w:tc>
          <w:tcPr>
            <w:tcW w:w="3880" w:type="dxa"/>
            <w:vAlign w:val="bottom"/>
            <w:tcBorders>
              <w:right w:val="single" w:sz="8" w:color="auto"/>
            </w:tcBorders>
            <w:gridSpan w:val="7"/>
            <w:shd w:val="clear" w:color="auto" w:fill="C7EAF2"/>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Securities Purchase Agreement, dated August 12, 2022</w:t>
            </w:r>
            <w:r>
              <w:rPr>
                <w:rFonts w:ascii="Times New Roman" w:cs="Times New Roman" w:eastAsia="Times New Roman" w:hAnsi="Times New Roman"/>
                <w:sz w:val="17"/>
                <w:szCs w:val="17"/>
                <w:color w:val="010101"/>
              </w:rPr>
              <w:t>,</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8/15/2022</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3880" w:type="dxa"/>
            <w:vAlign w:val="bottom"/>
            <w:tcBorders>
              <w:bottom w:val="single" w:sz="8" w:color="auto"/>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by and among the Company and Gerard Barron.</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10.2)</w:t>
            </w: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10.26</w:t>
            </w:r>
          </w:p>
        </w:tc>
        <w:tc>
          <w:tcPr>
            <w:tcW w:w="180" w:type="dxa"/>
            <w:vAlign w:val="bottom"/>
          </w:tcPr>
          <w:p>
            <w:pPr>
              <w:spacing w:after="0"/>
              <w:rPr>
                <w:sz w:val="15"/>
                <w:szCs w:val="15"/>
                <w:color w:val="auto"/>
              </w:rPr>
            </w:pPr>
          </w:p>
        </w:tc>
        <w:tc>
          <w:tcPr>
            <w:tcW w:w="3880" w:type="dxa"/>
            <w:vAlign w:val="bottom"/>
            <w:tcBorders>
              <w:right w:val="single" w:sz="8" w:color="auto"/>
            </w:tcBorders>
            <w:gridSpan w:val="7"/>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Securities Purchase Agreement, dated August 12, 2022</w:t>
            </w:r>
            <w:r>
              <w:rPr>
                <w:rFonts w:ascii="Times New Roman" w:cs="Times New Roman" w:eastAsia="Times New Roman" w:hAnsi="Times New Roman"/>
                <w:sz w:val="17"/>
                <w:szCs w:val="17"/>
                <w:color w:val="010101"/>
              </w:rPr>
              <w:t>,</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8/15/2022</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by and among the Company and ERAS Capital LLC.</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10.3)</w:t>
            </w: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10.27</w:t>
            </w:r>
          </w:p>
        </w:tc>
        <w:tc>
          <w:tcPr>
            <w:tcW w:w="180" w:type="dxa"/>
            <w:vAlign w:val="bottom"/>
            <w:shd w:val="clear" w:color="auto" w:fill="C7EAF2"/>
          </w:tcPr>
          <w:p>
            <w:pPr>
              <w:spacing w:after="0"/>
              <w:rPr>
                <w:sz w:val="15"/>
                <w:szCs w:val="15"/>
                <w:color w:val="auto"/>
              </w:rPr>
            </w:pPr>
          </w:p>
        </w:tc>
        <w:tc>
          <w:tcPr>
            <w:tcW w:w="3880" w:type="dxa"/>
            <w:vAlign w:val="bottom"/>
            <w:tcBorders>
              <w:right w:val="single" w:sz="8" w:color="auto"/>
            </w:tcBorders>
            <w:gridSpan w:val="7"/>
            <w:shd w:val="clear" w:color="auto" w:fill="C7EAF2"/>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Non-Binding Memorandum of Understanding, dated</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3/17/2022</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180" w:type="dxa"/>
            <w:vAlign w:val="bottom"/>
            <w:shd w:val="clear" w:color="auto" w:fill="C7EAF2"/>
          </w:tcPr>
          <w:p>
            <w:pPr>
              <w:spacing w:after="0"/>
              <w:rPr>
                <w:sz w:val="18"/>
                <w:szCs w:val="18"/>
                <w:color w:val="auto"/>
              </w:rPr>
            </w:pPr>
          </w:p>
        </w:tc>
        <w:tc>
          <w:tcPr>
            <w:tcW w:w="3880" w:type="dxa"/>
            <w:vAlign w:val="bottom"/>
            <w:tcBorders>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March 14, 2022, by and between TMC the metals</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2"/>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3880" w:type="dxa"/>
            <w:vAlign w:val="bottom"/>
            <w:tcBorders>
              <w:bottom w:val="single" w:sz="8" w:color="auto"/>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company Inc. and Epsilon Carbon Pvt. LTD.</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10.28</w:t>
            </w:r>
          </w:p>
        </w:tc>
        <w:tc>
          <w:tcPr>
            <w:tcW w:w="180" w:type="dxa"/>
            <w:vAlign w:val="bottom"/>
          </w:tcPr>
          <w:p>
            <w:pPr>
              <w:spacing w:after="0"/>
              <w:rPr>
                <w:sz w:val="15"/>
                <w:szCs w:val="15"/>
                <w:color w:val="auto"/>
              </w:rPr>
            </w:pPr>
          </w:p>
        </w:tc>
        <w:tc>
          <w:tcPr>
            <w:tcW w:w="3880" w:type="dxa"/>
            <w:vAlign w:val="bottom"/>
            <w:tcBorders>
              <w:right w:val="single" w:sz="8" w:color="auto"/>
            </w:tcBorders>
            <w:gridSpan w:val="7"/>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At-The-Market Equity Distribution Agreement, dated</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12/22/2022</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December 22, 2022, by and among TMC the metals</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company Inc., Stifel, Nicolaus &amp; Company</w:t>
            </w:r>
            <w:r>
              <w:rPr>
                <w:rFonts w:ascii="Times New Roman" w:cs="Times New Roman" w:eastAsia="Times New Roman" w:hAnsi="Times New Roman"/>
                <w:sz w:val="17"/>
                <w:szCs w:val="17"/>
                <w:color w:val="010101"/>
              </w:rPr>
              <w:t>,</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Incorporated and Wedbush Securities Inc.</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10.29†</w:t>
            </w:r>
          </w:p>
        </w:tc>
        <w:tc>
          <w:tcPr>
            <w:tcW w:w="180" w:type="dxa"/>
            <w:vAlign w:val="bottom"/>
            <w:shd w:val="clear" w:color="auto" w:fill="C7EAF2"/>
          </w:tcPr>
          <w:p>
            <w:pPr>
              <w:spacing w:after="0"/>
              <w:rPr>
                <w:sz w:val="15"/>
                <w:szCs w:val="15"/>
                <w:color w:val="auto"/>
              </w:rPr>
            </w:pPr>
          </w:p>
        </w:tc>
        <w:tc>
          <w:tcPr>
            <w:tcW w:w="3880" w:type="dxa"/>
            <w:vAlign w:val="bottom"/>
            <w:tcBorders>
              <w:right w:val="single" w:sz="8" w:color="auto"/>
            </w:tcBorders>
            <w:gridSpan w:val="7"/>
            <w:shd w:val="clear" w:color="auto" w:fill="C7EAF2"/>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Royalty Agreement dated February 21, 2023 by and</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2/22/2023</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180" w:type="dxa"/>
            <w:vAlign w:val="bottom"/>
            <w:shd w:val="clear" w:color="auto" w:fill="C7EAF2"/>
          </w:tcPr>
          <w:p>
            <w:pPr>
              <w:spacing w:after="0"/>
              <w:rPr>
                <w:sz w:val="18"/>
                <w:szCs w:val="18"/>
                <w:color w:val="auto"/>
              </w:rPr>
            </w:pPr>
          </w:p>
        </w:tc>
        <w:tc>
          <w:tcPr>
            <w:tcW w:w="3880" w:type="dxa"/>
            <w:vAlign w:val="bottom"/>
            <w:tcBorders>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among TMC the metals company Inc., Nauru Ocean</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10.1)</w:t>
            </w: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3880" w:type="dxa"/>
            <w:vAlign w:val="bottom"/>
            <w:tcBorders>
              <w:bottom w:val="single" w:sz="8" w:color="auto"/>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Resources Inc. and Low Carbon Royalties Inc.</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6"/>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10.30†</w:t>
            </w:r>
          </w:p>
        </w:tc>
        <w:tc>
          <w:tcPr>
            <w:tcW w:w="180" w:type="dxa"/>
            <w:vAlign w:val="bottom"/>
          </w:tcPr>
          <w:p>
            <w:pPr>
              <w:spacing w:after="0"/>
              <w:rPr>
                <w:sz w:val="15"/>
                <w:szCs w:val="15"/>
                <w:color w:val="auto"/>
              </w:rPr>
            </w:pPr>
          </w:p>
        </w:tc>
        <w:tc>
          <w:tcPr>
            <w:tcW w:w="3880" w:type="dxa"/>
            <w:vAlign w:val="bottom"/>
            <w:tcBorders>
              <w:right w:val="single" w:sz="8" w:color="auto"/>
            </w:tcBorders>
            <w:gridSpan w:val="7"/>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Investor Rights Agreement dated February 21, 2023 by</w:t>
            </w:r>
          </w:p>
        </w:tc>
        <w:tc>
          <w:tcPr>
            <w:tcW w:w="70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8-K</w:t>
            </w:r>
          </w:p>
        </w:tc>
        <w:tc>
          <w:tcPr>
            <w:tcW w:w="9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2/22/2023</w:t>
            </w:r>
          </w:p>
        </w:tc>
        <w:tc>
          <w:tcPr>
            <w:tcW w:w="1240" w:type="dxa"/>
            <w:vAlign w:val="bottom"/>
            <w:tcBorders>
              <w:right w:val="single" w:sz="8" w:color="auto"/>
            </w:tcBorders>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rPr>
              <w:t>001-39281</w:t>
            </w: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and among TMC the metals company Inc., Brian Paes-</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10.2)</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Braga and Low Carbon Royalties Inc.</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10.31</w:t>
            </w:r>
          </w:p>
        </w:tc>
        <w:tc>
          <w:tcPr>
            <w:tcW w:w="180" w:type="dxa"/>
            <w:vAlign w:val="bottom"/>
            <w:shd w:val="clear" w:color="auto" w:fill="C7EAF2"/>
          </w:tcPr>
          <w:p>
            <w:pPr>
              <w:spacing w:after="0"/>
              <w:rPr>
                <w:sz w:val="15"/>
                <w:szCs w:val="15"/>
                <w:color w:val="auto"/>
              </w:rPr>
            </w:pPr>
          </w:p>
        </w:tc>
        <w:tc>
          <w:tcPr>
            <w:tcW w:w="3880" w:type="dxa"/>
            <w:vAlign w:val="bottom"/>
            <w:tcBorders>
              <w:right w:val="single" w:sz="8" w:color="auto"/>
            </w:tcBorders>
            <w:gridSpan w:val="7"/>
            <w:shd w:val="clear" w:color="auto" w:fill="C7EAF2"/>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Unsecured Credit Facility, dated March 22, 2023, by</w:t>
            </w:r>
          </w:p>
        </w:tc>
        <w:tc>
          <w:tcPr>
            <w:tcW w:w="700" w:type="dxa"/>
            <w:vAlign w:val="bottom"/>
            <w:tcBorders>
              <w:right w:val="single" w:sz="8" w:color="auto"/>
            </w:tcBorders>
            <w:shd w:val="clear" w:color="auto" w:fill="C7EAF2"/>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shd w:val="clear" w:color="auto" w:fill="C7EAF2"/>
          </w:tcPr>
          <w:p>
            <w:pPr>
              <w:spacing w:after="0"/>
              <w:rPr>
                <w:sz w:val="15"/>
                <w:szCs w:val="15"/>
                <w:color w:val="auto"/>
              </w:rPr>
            </w:pPr>
          </w:p>
        </w:tc>
        <w:tc>
          <w:tcPr>
            <w:tcW w:w="980" w:type="dxa"/>
            <w:vAlign w:val="bottom"/>
            <w:tcBorders>
              <w:right w:val="single" w:sz="8" w:color="auto"/>
            </w:tcBorders>
            <w:shd w:val="clear" w:color="auto" w:fill="C7EAF2"/>
          </w:tcPr>
          <w:p>
            <w:pPr>
              <w:spacing w:after="0"/>
              <w:rPr>
                <w:sz w:val="15"/>
                <w:szCs w:val="15"/>
                <w:color w:val="auto"/>
              </w:rPr>
            </w:pPr>
          </w:p>
        </w:tc>
        <w:tc>
          <w:tcPr>
            <w:tcW w:w="1240" w:type="dxa"/>
            <w:vAlign w:val="bottom"/>
            <w:tcBorders>
              <w:right w:val="single" w:sz="8" w:color="auto"/>
            </w:tcBorders>
            <w:shd w:val="clear" w:color="auto" w:fill="C7EAF2"/>
          </w:tcPr>
          <w:p>
            <w:pPr>
              <w:spacing w:after="0"/>
              <w:rPr>
                <w:sz w:val="15"/>
                <w:szCs w:val="15"/>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180" w:type="dxa"/>
            <w:vAlign w:val="bottom"/>
            <w:shd w:val="clear" w:color="auto" w:fill="C7EAF2"/>
          </w:tcPr>
          <w:p>
            <w:pPr>
              <w:spacing w:after="0"/>
              <w:rPr>
                <w:sz w:val="18"/>
                <w:szCs w:val="18"/>
                <w:color w:val="auto"/>
              </w:rPr>
            </w:pPr>
          </w:p>
        </w:tc>
        <w:tc>
          <w:tcPr>
            <w:tcW w:w="3880" w:type="dxa"/>
            <w:vAlign w:val="bottom"/>
            <w:tcBorders>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and between TMC the metals company Inc. and</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3880" w:type="dxa"/>
            <w:vAlign w:val="bottom"/>
            <w:tcBorders>
              <w:bottom w:val="single" w:sz="8" w:color="auto"/>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Argentum Credit Virtuti GCV</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61"/>
        </w:trPr>
        <w:tc>
          <w:tcPr>
            <w:tcW w:w="92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7"/>
                <w:szCs w:val="17"/>
                <w:color w:val="auto"/>
              </w:rPr>
              <w:t>21.1</w:t>
            </w:r>
          </w:p>
        </w:tc>
        <w:tc>
          <w:tcPr>
            <w:tcW w:w="180" w:type="dxa"/>
            <w:vAlign w:val="bottom"/>
          </w:tcPr>
          <w:p>
            <w:pPr>
              <w:spacing w:after="0"/>
              <w:rPr>
                <w:sz w:val="14"/>
                <w:szCs w:val="14"/>
                <w:color w:val="auto"/>
              </w:rPr>
            </w:pPr>
          </w:p>
        </w:tc>
        <w:tc>
          <w:tcPr>
            <w:tcW w:w="1340" w:type="dxa"/>
            <w:vAlign w:val="bottom"/>
            <w:tcBorders>
              <w:bottom w:val="single" w:sz="8" w:color="010101"/>
            </w:tcBorders>
            <w:gridSpan w:val="4"/>
          </w:tcPr>
          <w:p>
            <w:pPr>
              <w:spacing w:after="0" w:line="149" w:lineRule="exact"/>
              <w:rPr>
                <w:sz w:val="20"/>
                <w:szCs w:val="20"/>
                <w:color w:val="auto"/>
              </w:rPr>
            </w:pPr>
            <w:r>
              <w:rPr>
                <w:rFonts w:ascii="Times New Roman" w:cs="Times New Roman" w:eastAsia="Times New Roman" w:hAnsi="Times New Roman"/>
                <w:sz w:val="17"/>
                <w:szCs w:val="17"/>
                <w:color w:val="010101"/>
                <w:w w:val="99"/>
              </w:rPr>
              <w:t>List of Subsidiaries</w:t>
            </w:r>
          </w:p>
        </w:tc>
        <w:tc>
          <w:tcPr>
            <w:tcW w:w="2460" w:type="dxa"/>
            <w:vAlign w:val="bottom"/>
            <w:gridSpan w:val="2"/>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jc w:val="center"/>
              <w:ind w:left="74"/>
              <w:spacing w:after="0" w:line="162" w:lineRule="exact"/>
              <w:rPr>
                <w:sz w:val="20"/>
                <w:szCs w:val="20"/>
                <w:color w:val="auto"/>
              </w:rPr>
            </w:pPr>
            <w:r>
              <w:rPr>
                <w:rFonts w:ascii="Times New Roman" w:cs="Times New Roman" w:eastAsia="Times New Roman" w:hAnsi="Times New Roman"/>
                <w:sz w:val="17"/>
                <w:szCs w:val="17"/>
                <w:color w:val="auto"/>
                <w:w w:val="98"/>
              </w:rPr>
              <w:t>Form S-1</w:t>
            </w:r>
          </w:p>
        </w:tc>
        <w:tc>
          <w:tcPr>
            <w:tcW w:w="980" w:type="dxa"/>
            <w:vAlign w:val="bottom"/>
            <w:tcBorders>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10/27/2021</w:t>
            </w:r>
          </w:p>
        </w:tc>
        <w:tc>
          <w:tcPr>
            <w:tcW w:w="1240" w:type="dxa"/>
            <w:vAlign w:val="bottom"/>
            <w:tcBorders>
              <w:right w:val="single" w:sz="8" w:color="auto"/>
            </w:tcBorders>
          </w:tcPr>
          <w:p>
            <w:pPr>
              <w:jc w:val="center"/>
              <w:ind w:left="74"/>
              <w:spacing w:after="0" w:line="162" w:lineRule="exact"/>
              <w:rPr>
                <w:sz w:val="20"/>
                <w:szCs w:val="20"/>
                <w:color w:val="auto"/>
              </w:rPr>
            </w:pPr>
            <w:r>
              <w:rPr>
                <w:rFonts w:ascii="Times New Roman" w:cs="Times New Roman" w:eastAsia="Times New Roman" w:hAnsi="Times New Roman"/>
                <w:sz w:val="17"/>
                <w:szCs w:val="17"/>
                <w:color w:val="auto"/>
              </w:rPr>
              <w:t>333-260126</w:t>
            </w:r>
          </w:p>
        </w:tc>
      </w:tr>
      <w:tr>
        <w:trPr>
          <w:trHeight w:val="226"/>
        </w:trPr>
        <w:tc>
          <w:tcPr>
            <w:tcW w:w="920" w:type="dxa"/>
            <w:vAlign w:val="bottom"/>
            <w:tcBorders>
              <w:left w:val="single" w:sz="8" w:color="auto"/>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21.1)</w:t>
            </w:r>
          </w:p>
        </w:tc>
        <w:tc>
          <w:tcPr>
            <w:tcW w:w="9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226"/>
        </w:trPr>
        <w:tc>
          <w:tcPr>
            <w:tcW w:w="920" w:type="dxa"/>
            <w:vAlign w:val="bottom"/>
            <w:tcBorders>
              <w:left w:val="single" w:sz="8" w:color="auto"/>
              <w:bottom w:val="single" w:sz="8" w:color="auto"/>
              <w:right w:val="single" w:sz="8" w:color="auto"/>
            </w:tcBorders>
            <w:shd w:val="clear" w:color="auto" w:fill="C7EAF2"/>
          </w:tcPr>
          <w:p>
            <w:pPr>
              <w:ind w:left="40"/>
              <w:spacing w:after="0"/>
              <w:rPr>
                <w:sz w:val="20"/>
                <w:szCs w:val="20"/>
                <w:color w:val="auto"/>
              </w:rPr>
            </w:pPr>
            <w:r>
              <w:rPr>
                <w:rFonts w:ascii="Times New Roman" w:cs="Times New Roman" w:eastAsia="Times New Roman" w:hAnsi="Times New Roman"/>
                <w:sz w:val="17"/>
                <w:szCs w:val="17"/>
                <w:color w:val="auto"/>
              </w:rPr>
              <w:t>23.1</w:t>
            </w:r>
          </w:p>
        </w:tc>
        <w:tc>
          <w:tcPr>
            <w:tcW w:w="180" w:type="dxa"/>
            <w:vAlign w:val="bottom"/>
            <w:tcBorders>
              <w:bottom w:val="single" w:sz="8" w:color="auto"/>
            </w:tcBorders>
            <w:shd w:val="clear" w:color="auto" w:fill="C7EAF2"/>
          </w:tcPr>
          <w:p>
            <w:pPr>
              <w:spacing w:after="0"/>
              <w:rPr>
                <w:sz w:val="19"/>
                <w:szCs w:val="19"/>
                <w:color w:val="auto"/>
              </w:rPr>
            </w:pPr>
          </w:p>
        </w:tc>
        <w:tc>
          <w:tcPr>
            <w:tcW w:w="3880" w:type="dxa"/>
            <w:vAlign w:val="bottom"/>
            <w:tcBorders>
              <w:bottom w:val="single" w:sz="8" w:color="auto"/>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Consent of Ernst &amp; Young LLP</w:t>
            </w:r>
          </w:p>
        </w:tc>
        <w:tc>
          <w:tcPr>
            <w:tcW w:w="700" w:type="dxa"/>
            <w:vAlign w:val="bottom"/>
            <w:tcBorders>
              <w:bottom w:val="single" w:sz="8" w:color="auto"/>
              <w:right w:val="single" w:sz="8" w:color="auto"/>
            </w:tcBorders>
            <w:shd w:val="clear" w:color="auto" w:fill="C7EAF2"/>
          </w:tcPr>
          <w:p>
            <w:pPr>
              <w:ind w:left="360"/>
              <w:spacing w:after="0"/>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bottom w:val="single" w:sz="8" w:color="auto"/>
              <w:right w:val="single" w:sz="8" w:color="auto"/>
            </w:tcBorders>
            <w:shd w:val="clear" w:color="auto" w:fill="C7EAF2"/>
          </w:tcPr>
          <w:p>
            <w:pPr>
              <w:spacing w:after="0"/>
              <w:rPr>
                <w:sz w:val="19"/>
                <w:szCs w:val="19"/>
                <w:color w:val="auto"/>
              </w:rPr>
            </w:pPr>
          </w:p>
        </w:tc>
        <w:tc>
          <w:tcPr>
            <w:tcW w:w="980" w:type="dxa"/>
            <w:vAlign w:val="bottom"/>
            <w:tcBorders>
              <w:bottom w:val="single" w:sz="8" w:color="auto"/>
              <w:right w:val="single" w:sz="8" w:color="auto"/>
            </w:tcBorders>
            <w:shd w:val="clear" w:color="auto" w:fill="C7EAF2"/>
          </w:tcPr>
          <w:p>
            <w:pPr>
              <w:spacing w:after="0"/>
              <w:rPr>
                <w:sz w:val="19"/>
                <w:szCs w:val="19"/>
                <w:color w:val="auto"/>
              </w:rPr>
            </w:pPr>
          </w:p>
        </w:tc>
        <w:tc>
          <w:tcPr>
            <w:tcW w:w="1240" w:type="dxa"/>
            <w:vAlign w:val="bottom"/>
            <w:tcBorders>
              <w:bottom w:val="single" w:sz="8" w:color="auto"/>
              <w:right w:val="single" w:sz="8" w:color="auto"/>
            </w:tcBorders>
            <w:shd w:val="clear" w:color="auto" w:fill="C7EAF2"/>
          </w:tcPr>
          <w:p>
            <w:pPr>
              <w:spacing w:after="0"/>
              <w:rPr>
                <w:sz w:val="19"/>
                <w:szCs w:val="19"/>
                <w:color w:val="auto"/>
              </w:rPr>
            </w:pPr>
          </w:p>
        </w:tc>
      </w:tr>
      <w:tr>
        <w:trPr>
          <w:trHeight w:val="177"/>
        </w:trPr>
        <w:tc>
          <w:tcPr>
            <w:tcW w:w="920" w:type="dxa"/>
            <w:vAlign w:val="bottom"/>
            <w:tcBorders>
              <w:left w:val="single" w:sz="8" w:color="auto"/>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7"/>
                <w:szCs w:val="17"/>
                <w:color w:val="auto"/>
              </w:rPr>
              <w:t>31.1</w:t>
            </w:r>
          </w:p>
        </w:tc>
        <w:tc>
          <w:tcPr>
            <w:tcW w:w="180" w:type="dxa"/>
            <w:vAlign w:val="bottom"/>
          </w:tcPr>
          <w:p>
            <w:pPr>
              <w:spacing w:after="0"/>
              <w:rPr>
                <w:sz w:val="15"/>
                <w:szCs w:val="15"/>
                <w:color w:val="auto"/>
              </w:rPr>
            </w:pPr>
          </w:p>
        </w:tc>
        <w:tc>
          <w:tcPr>
            <w:tcW w:w="3880" w:type="dxa"/>
            <w:vAlign w:val="bottom"/>
            <w:tcBorders>
              <w:right w:val="single" w:sz="8" w:color="auto"/>
            </w:tcBorders>
            <w:gridSpan w:val="7"/>
          </w:tcPr>
          <w:p>
            <w:pPr>
              <w:spacing w:after="0" w:line="177" w:lineRule="exact"/>
              <w:rPr>
                <w:sz w:val="20"/>
                <w:szCs w:val="20"/>
                <w:color w:val="auto"/>
              </w:rPr>
            </w:pPr>
            <w:r>
              <w:rPr>
                <w:rFonts w:ascii="Times New Roman" w:cs="Times New Roman" w:eastAsia="Times New Roman" w:hAnsi="Times New Roman"/>
                <w:sz w:val="17"/>
                <w:szCs w:val="17"/>
                <w:u w:val="single" w:color="auto"/>
                <w:color w:val="010101"/>
              </w:rPr>
              <w:t>Certification of the Principal Executive Officer</w:t>
            </w:r>
          </w:p>
        </w:tc>
        <w:tc>
          <w:tcPr>
            <w:tcW w:w="700" w:type="dxa"/>
            <w:vAlign w:val="bottom"/>
            <w:tcBorders>
              <w:right w:val="single" w:sz="8" w:color="auto"/>
            </w:tcBorders>
          </w:tcPr>
          <w:p>
            <w:pPr>
              <w:ind w:left="360"/>
              <w:spacing w:after="0" w:line="177"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pursuant to Section 302 of the Sarbanes-Oxley Act of</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192"/>
        </w:trPr>
        <w:tc>
          <w:tcPr>
            <w:tcW w:w="920" w:type="dxa"/>
            <w:vAlign w:val="bottom"/>
            <w:tcBorders>
              <w:left w:val="single" w:sz="8" w:color="auto"/>
              <w:right w:val="single" w:sz="8" w:color="auto"/>
            </w:tcBorders>
          </w:tcPr>
          <w:p>
            <w:pPr>
              <w:spacing w:after="0"/>
              <w:rPr>
                <w:sz w:val="16"/>
                <w:szCs w:val="16"/>
                <w:color w:val="auto"/>
              </w:rPr>
            </w:pPr>
          </w:p>
        </w:tc>
        <w:tc>
          <w:tcPr>
            <w:tcW w:w="1140" w:type="dxa"/>
            <w:vAlign w:val="bottom"/>
            <w:gridSpan w:val="4"/>
          </w:tcPr>
          <w:p>
            <w:pPr>
              <w:ind w:left="180"/>
              <w:spacing w:after="0" w:line="193" w:lineRule="exact"/>
              <w:rPr>
                <w:sz w:val="20"/>
                <w:szCs w:val="20"/>
                <w:color w:val="auto"/>
              </w:rPr>
            </w:pPr>
            <w:r>
              <w:rPr>
                <w:rFonts w:ascii="Times New Roman" w:cs="Times New Roman" w:eastAsia="Times New Roman" w:hAnsi="Times New Roman"/>
                <w:sz w:val="17"/>
                <w:szCs w:val="17"/>
                <w:color w:val="010101"/>
              </w:rPr>
              <w:t>2002</w:t>
            </w: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r>
      <w:tr>
        <w:trPr>
          <w:trHeight w:val="20"/>
        </w:trPr>
        <w:tc>
          <w:tcPr>
            <w:tcW w:w="9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10101"/>
              <w:bottom w:val="single" w:sz="8" w:color="auto"/>
            </w:tcBorders>
          </w:tcPr>
          <w:p>
            <w:pPr>
              <w:spacing w:after="0" w:line="20" w:lineRule="exact"/>
              <w:rPr>
                <w:sz w:val="1"/>
                <w:szCs w:val="1"/>
                <w:color w:val="auto"/>
              </w:rPr>
            </w:pPr>
          </w:p>
        </w:tc>
        <w:tc>
          <w:tcPr>
            <w:tcW w:w="40" w:type="dxa"/>
            <w:vAlign w:val="bottom"/>
            <w:tcBorders>
              <w:top w:val="single" w:sz="8" w:color="010101"/>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r>
      <w:tr>
        <w:trPr>
          <w:trHeight w:val="175"/>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31.2</w:t>
            </w:r>
          </w:p>
        </w:tc>
        <w:tc>
          <w:tcPr>
            <w:tcW w:w="180" w:type="dxa"/>
            <w:vAlign w:val="bottom"/>
            <w:shd w:val="clear" w:color="auto" w:fill="C7EAF2"/>
          </w:tcPr>
          <w:p>
            <w:pPr>
              <w:spacing w:after="0"/>
              <w:rPr>
                <w:sz w:val="15"/>
                <w:szCs w:val="15"/>
                <w:color w:val="auto"/>
              </w:rPr>
            </w:pPr>
          </w:p>
        </w:tc>
        <w:tc>
          <w:tcPr>
            <w:tcW w:w="3880" w:type="dxa"/>
            <w:vAlign w:val="bottom"/>
            <w:tcBorders>
              <w:right w:val="single" w:sz="8" w:color="auto"/>
            </w:tcBorders>
            <w:gridSpan w:val="7"/>
            <w:shd w:val="clear" w:color="auto" w:fill="C7EAF2"/>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Certification of the Principal Financial Officer pursuant</w:t>
            </w:r>
          </w:p>
        </w:tc>
        <w:tc>
          <w:tcPr>
            <w:tcW w:w="700" w:type="dxa"/>
            <w:vAlign w:val="bottom"/>
            <w:tcBorders>
              <w:right w:val="single" w:sz="8" w:color="auto"/>
            </w:tcBorders>
            <w:shd w:val="clear" w:color="auto" w:fill="C7EAF2"/>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shd w:val="clear" w:color="auto" w:fill="C7EAF2"/>
          </w:tcPr>
          <w:p>
            <w:pPr>
              <w:spacing w:after="0"/>
              <w:rPr>
                <w:sz w:val="15"/>
                <w:szCs w:val="15"/>
                <w:color w:val="auto"/>
              </w:rPr>
            </w:pPr>
          </w:p>
        </w:tc>
        <w:tc>
          <w:tcPr>
            <w:tcW w:w="980" w:type="dxa"/>
            <w:vAlign w:val="bottom"/>
            <w:tcBorders>
              <w:right w:val="single" w:sz="8" w:color="auto"/>
            </w:tcBorders>
            <w:shd w:val="clear" w:color="auto" w:fill="C7EAF2"/>
          </w:tcPr>
          <w:p>
            <w:pPr>
              <w:spacing w:after="0"/>
              <w:rPr>
                <w:sz w:val="15"/>
                <w:szCs w:val="15"/>
                <w:color w:val="auto"/>
              </w:rPr>
            </w:pPr>
          </w:p>
        </w:tc>
        <w:tc>
          <w:tcPr>
            <w:tcW w:w="1240" w:type="dxa"/>
            <w:vAlign w:val="bottom"/>
            <w:tcBorders>
              <w:right w:val="single" w:sz="8" w:color="auto"/>
            </w:tcBorders>
            <w:shd w:val="clear" w:color="auto" w:fill="C7EAF2"/>
          </w:tcPr>
          <w:p>
            <w:pPr>
              <w:spacing w:after="0"/>
              <w:rPr>
                <w:sz w:val="15"/>
                <w:szCs w:val="15"/>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3880" w:type="dxa"/>
            <w:vAlign w:val="bottom"/>
            <w:tcBorders>
              <w:bottom w:val="single" w:sz="8" w:color="auto"/>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to Section 302 of the Sarbanes-Oxley Act of 2002</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61"/>
        </w:trPr>
        <w:tc>
          <w:tcPr>
            <w:tcW w:w="920" w:type="dxa"/>
            <w:vAlign w:val="bottom"/>
            <w:tcBorders>
              <w:left w:val="single" w:sz="8" w:color="auto"/>
              <w:right w:val="single" w:sz="8" w:color="auto"/>
            </w:tcBorders>
          </w:tcPr>
          <w:p>
            <w:pPr>
              <w:ind w:left="40"/>
              <w:spacing w:after="0" w:line="162" w:lineRule="exact"/>
              <w:rPr>
                <w:sz w:val="20"/>
                <w:szCs w:val="20"/>
                <w:color w:val="auto"/>
              </w:rPr>
            </w:pPr>
            <w:r>
              <w:rPr>
                <w:rFonts w:ascii="Times New Roman" w:cs="Times New Roman" w:eastAsia="Times New Roman" w:hAnsi="Times New Roman"/>
                <w:sz w:val="17"/>
                <w:szCs w:val="17"/>
                <w:color w:val="auto"/>
              </w:rPr>
              <w:t>32*</w:t>
            </w:r>
          </w:p>
        </w:tc>
        <w:tc>
          <w:tcPr>
            <w:tcW w:w="180" w:type="dxa"/>
            <w:vAlign w:val="bottom"/>
          </w:tcPr>
          <w:p>
            <w:pPr>
              <w:spacing w:after="0"/>
              <w:rPr>
                <w:sz w:val="14"/>
                <w:szCs w:val="14"/>
                <w:color w:val="auto"/>
              </w:rPr>
            </w:pPr>
          </w:p>
        </w:tc>
        <w:tc>
          <w:tcPr>
            <w:tcW w:w="3800" w:type="dxa"/>
            <w:vAlign w:val="bottom"/>
            <w:tcBorders>
              <w:bottom w:val="single" w:sz="8" w:color="010101"/>
            </w:tcBorders>
            <w:gridSpan w:val="6"/>
          </w:tcPr>
          <w:p>
            <w:pPr>
              <w:spacing w:after="0" w:line="149" w:lineRule="exact"/>
              <w:rPr>
                <w:sz w:val="20"/>
                <w:szCs w:val="20"/>
                <w:color w:val="auto"/>
              </w:rPr>
            </w:pPr>
            <w:r>
              <w:rPr>
                <w:rFonts w:ascii="Times New Roman" w:cs="Times New Roman" w:eastAsia="Times New Roman" w:hAnsi="Times New Roman"/>
                <w:sz w:val="17"/>
                <w:szCs w:val="17"/>
                <w:color w:val="010101"/>
              </w:rPr>
              <w:t>Certifications of the Chief Executive Officer and Chief</w:t>
            </w:r>
          </w:p>
        </w:tc>
        <w:tc>
          <w:tcPr>
            <w:tcW w:w="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ind w:left="360"/>
              <w:spacing w:after="0" w:line="162"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r>
      <w:tr>
        <w:trPr>
          <w:trHeight w:val="202"/>
        </w:trPr>
        <w:tc>
          <w:tcPr>
            <w:tcW w:w="92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88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Financial Officer pursuant to Section 906 of the</w:t>
            </w:r>
          </w:p>
        </w:tc>
        <w:tc>
          <w:tcPr>
            <w:tcW w:w="700" w:type="dxa"/>
            <w:vAlign w:val="bottom"/>
            <w:tcBorders>
              <w:right w:val="single" w:sz="8" w:color="auto"/>
            </w:tcBorders>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7"/>
                <w:szCs w:val="17"/>
                <w:u w:val="single" w:color="auto"/>
                <w:color w:val="010101"/>
              </w:rPr>
              <w:t>Sarbanes-Oxley Act of 2002</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6"/>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96.1</w:t>
            </w:r>
          </w:p>
        </w:tc>
        <w:tc>
          <w:tcPr>
            <w:tcW w:w="180" w:type="dxa"/>
            <w:vAlign w:val="bottom"/>
            <w:shd w:val="clear" w:color="auto" w:fill="C7EAF2"/>
          </w:tcPr>
          <w:p>
            <w:pPr>
              <w:spacing w:after="0"/>
              <w:rPr>
                <w:sz w:val="15"/>
                <w:szCs w:val="15"/>
                <w:color w:val="auto"/>
              </w:rPr>
            </w:pPr>
          </w:p>
        </w:tc>
        <w:tc>
          <w:tcPr>
            <w:tcW w:w="3880" w:type="dxa"/>
            <w:vAlign w:val="bottom"/>
            <w:tcBorders>
              <w:right w:val="single" w:sz="8" w:color="auto"/>
            </w:tcBorders>
            <w:gridSpan w:val="7"/>
            <w:shd w:val="clear" w:color="auto" w:fill="C7EAF2"/>
          </w:tcPr>
          <w:p>
            <w:pPr>
              <w:spacing w:after="0" w:line="176" w:lineRule="exact"/>
              <w:rPr>
                <w:sz w:val="20"/>
                <w:szCs w:val="20"/>
                <w:color w:val="auto"/>
              </w:rPr>
            </w:pPr>
            <w:r>
              <w:rPr>
                <w:rFonts w:ascii="Times New Roman" w:cs="Times New Roman" w:eastAsia="Times New Roman" w:hAnsi="Times New Roman"/>
                <w:sz w:val="17"/>
                <w:szCs w:val="17"/>
                <w:u w:val="single" w:color="auto"/>
                <w:color w:val="010101"/>
              </w:rPr>
              <w:t>Technical Report Summary — Initial Assessment of</w:t>
            </w:r>
          </w:p>
        </w:tc>
        <w:tc>
          <w:tcPr>
            <w:tcW w:w="700" w:type="dxa"/>
            <w:vAlign w:val="bottom"/>
            <w:tcBorders>
              <w:right w:val="single" w:sz="8" w:color="auto"/>
            </w:tcBorders>
            <w:shd w:val="clear" w:color="auto" w:fill="C7EAF2"/>
          </w:tcPr>
          <w:p>
            <w:pPr>
              <w:spacing w:after="0"/>
              <w:rPr>
                <w:sz w:val="15"/>
                <w:szCs w:val="15"/>
                <w:color w:val="auto"/>
              </w:rPr>
            </w:pPr>
          </w:p>
        </w:tc>
        <w:tc>
          <w:tcPr>
            <w:tcW w:w="1720" w:type="dxa"/>
            <w:vAlign w:val="bottom"/>
            <w:tcBorders>
              <w:right w:val="single" w:sz="8" w:color="auto"/>
            </w:tcBorders>
            <w:shd w:val="clear" w:color="auto" w:fill="C7EAF2"/>
          </w:tcPr>
          <w:p>
            <w:pPr>
              <w:jc w:val="center"/>
              <w:ind w:left="74"/>
              <w:spacing w:after="0" w:line="176" w:lineRule="exact"/>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right w:val="single" w:sz="8" w:color="auto"/>
            </w:tcBorders>
            <w:shd w:val="clear" w:color="auto" w:fill="C7EAF2"/>
          </w:tcPr>
          <w:p>
            <w:pPr>
              <w:jc w:val="center"/>
              <w:spacing w:after="0" w:line="176" w:lineRule="exact"/>
              <w:rPr>
                <w:sz w:val="20"/>
                <w:szCs w:val="20"/>
                <w:color w:val="auto"/>
              </w:rPr>
            </w:pPr>
            <w:r>
              <w:rPr>
                <w:rFonts w:ascii="Times New Roman" w:cs="Times New Roman" w:eastAsia="Times New Roman" w:hAnsi="Times New Roman"/>
                <w:sz w:val="17"/>
                <w:szCs w:val="17"/>
                <w:color w:val="auto"/>
              </w:rPr>
              <w:t>8/5/2021</w:t>
            </w:r>
          </w:p>
        </w:tc>
        <w:tc>
          <w:tcPr>
            <w:tcW w:w="1240" w:type="dxa"/>
            <w:vAlign w:val="bottom"/>
            <w:tcBorders>
              <w:right w:val="single" w:sz="8" w:color="auto"/>
            </w:tcBorders>
            <w:shd w:val="clear" w:color="auto" w:fill="C7EAF2"/>
          </w:tcPr>
          <w:p>
            <w:pPr>
              <w:jc w:val="center"/>
              <w:ind w:left="54"/>
              <w:spacing w:after="0" w:line="176" w:lineRule="exact"/>
              <w:rPr>
                <w:sz w:val="20"/>
                <w:szCs w:val="20"/>
                <w:color w:val="auto"/>
              </w:rPr>
            </w:pPr>
            <w:r>
              <w:rPr>
                <w:rFonts w:ascii="Times New Roman" w:cs="Times New Roman" w:eastAsia="Times New Roman" w:hAnsi="Times New Roman"/>
                <w:sz w:val="17"/>
                <w:szCs w:val="17"/>
                <w:color w:val="auto"/>
                <w:w w:val="99"/>
              </w:rPr>
              <w:t>333-255118</w:t>
            </w: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180" w:type="dxa"/>
            <w:vAlign w:val="bottom"/>
            <w:shd w:val="clear" w:color="auto" w:fill="C7EAF2"/>
          </w:tcPr>
          <w:p>
            <w:pPr>
              <w:spacing w:after="0"/>
              <w:rPr>
                <w:sz w:val="18"/>
                <w:szCs w:val="18"/>
                <w:color w:val="auto"/>
              </w:rPr>
            </w:pPr>
          </w:p>
        </w:tc>
        <w:tc>
          <w:tcPr>
            <w:tcW w:w="3880" w:type="dxa"/>
            <w:vAlign w:val="bottom"/>
            <w:tcBorders>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the NORI Property, Clarion-Clipperton Zone, for Deep</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jc w:val="center"/>
              <w:ind w:left="74"/>
              <w:spacing w:after="0"/>
              <w:rPr>
                <w:sz w:val="20"/>
                <w:szCs w:val="20"/>
                <w:color w:val="auto"/>
              </w:rPr>
            </w:pPr>
            <w:r>
              <w:rPr>
                <w:rFonts w:ascii="Times New Roman" w:cs="Times New Roman" w:eastAsia="Times New Roman" w:hAnsi="Times New Roman"/>
                <w:sz w:val="17"/>
                <w:szCs w:val="17"/>
                <w:color w:val="auto"/>
              </w:rPr>
              <w:t>(Exhibit 96.1)</w:t>
            </w: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180" w:type="dxa"/>
            <w:vAlign w:val="bottom"/>
            <w:shd w:val="clear" w:color="auto" w:fill="C7EAF2"/>
          </w:tcPr>
          <w:p>
            <w:pPr>
              <w:spacing w:after="0"/>
              <w:rPr>
                <w:sz w:val="18"/>
                <w:szCs w:val="18"/>
                <w:color w:val="auto"/>
              </w:rPr>
            </w:pPr>
          </w:p>
        </w:tc>
        <w:tc>
          <w:tcPr>
            <w:tcW w:w="3880" w:type="dxa"/>
            <w:vAlign w:val="bottom"/>
            <w:tcBorders>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Green Metals Inc., effective as of March 17, 2021, by</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180" w:type="dxa"/>
            <w:vAlign w:val="bottom"/>
            <w:tcBorders>
              <w:bottom w:val="single" w:sz="8" w:color="auto"/>
            </w:tcBorders>
            <w:shd w:val="clear" w:color="auto" w:fill="C7EAF2"/>
          </w:tcPr>
          <w:p>
            <w:pPr>
              <w:spacing w:after="0"/>
              <w:rPr>
                <w:sz w:val="20"/>
                <w:szCs w:val="20"/>
                <w:color w:val="auto"/>
              </w:rPr>
            </w:pPr>
          </w:p>
        </w:tc>
        <w:tc>
          <w:tcPr>
            <w:tcW w:w="3880" w:type="dxa"/>
            <w:vAlign w:val="bottom"/>
            <w:tcBorders>
              <w:bottom w:val="single" w:sz="8" w:color="auto"/>
              <w:right w:val="single" w:sz="8" w:color="auto"/>
            </w:tcBorders>
            <w:gridSpan w:val="7"/>
            <w:shd w:val="clear" w:color="auto" w:fill="C7EAF2"/>
          </w:tcPr>
          <w:p>
            <w:pPr>
              <w:spacing w:after="0"/>
              <w:rPr>
                <w:sz w:val="20"/>
                <w:szCs w:val="20"/>
                <w:color w:val="auto"/>
              </w:rPr>
            </w:pPr>
            <w:r>
              <w:rPr>
                <w:rFonts w:ascii="Times New Roman" w:cs="Times New Roman" w:eastAsia="Times New Roman" w:hAnsi="Times New Roman"/>
                <w:sz w:val="17"/>
                <w:szCs w:val="17"/>
                <w:u w:val="single" w:color="auto"/>
                <w:color w:val="010101"/>
              </w:rPr>
              <w:t>AMC Consultants Pty Ltd and other qualified persons.</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615"/>
        </w:trPr>
        <w:tc>
          <w:tcPr>
            <w:tcW w:w="920" w:type="dxa"/>
            <w:vAlign w:val="bottom"/>
          </w:tcPr>
          <w:p>
            <w:pPr>
              <w:spacing w:after="0"/>
              <w:rPr>
                <w:sz w:val="24"/>
                <w:szCs w:val="24"/>
                <w:color w:val="auto"/>
              </w:rPr>
            </w:pPr>
          </w:p>
        </w:tc>
        <w:tc>
          <w:tcPr>
            <w:tcW w:w="4060" w:type="dxa"/>
            <w:vAlign w:val="bottom"/>
            <w:gridSpan w:val="8"/>
          </w:tcPr>
          <w:p>
            <w:pPr>
              <w:jc w:val="right"/>
              <w:ind w:right="40"/>
              <w:spacing w:after="0"/>
              <w:rPr>
                <w:sz w:val="20"/>
                <w:szCs w:val="20"/>
                <w:color w:val="auto"/>
              </w:rPr>
            </w:pPr>
            <w:r>
              <w:rPr>
                <w:rFonts w:ascii="Times New Roman" w:cs="Times New Roman" w:eastAsia="Times New Roman" w:hAnsi="Times New Roman"/>
                <w:sz w:val="17"/>
                <w:szCs w:val="17"/>
                <w:color w:val="auto"/>
              </w:rPr>
              <w:t>180</w:t>
            </w: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24"/>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2240" w:h="15840" w:orient="portrait"/>
          <w:cols w:equalWidth="0" w:num="1">
            <w:col w:w="9620"/>
          </w:cols>
          <w:pgMar w:left="1320" w:top="1330" w:right="1300" w:bottom="1440" w:gutter="0" w:footer="0" w:header="0"/>
        </w:sectPr>
      </w:pPr>
    </w:p>
    <w:bookmarkStart w:id="190" w:name="page191"/>
    <w:bookmarkEnd w:id="1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407">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408">
                      <a:extLst>
                        <a:ext uri="{28A0092B-C50C-407E-A947-70E740481C1C}"/>
                      </a:extLst>
                    </a:blip>
                    <a:srcRect/>
                    <a:stretch>
                      <a:fillRect/>
                    </a:stretch>
                  </pic:blipFill>
                  <pic:spPr bwMode="auto">
                    <a:xfrm>
                      <a:off x="0" y="0"/>
                      <a:ext cx="5080" cy="139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7"/>
        </w:trPr>
        <w:tc>
          <w:tcPr>
            <w:tcW w:w="9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96.2</w:t>
            </w:r>
          </w:p>
        </w:tc>
        <w:tc>
          <w:tcPr>
            <w:tcW w:w="4060" w:type="dxa"/>
            <w:vAlign w:val="bottom"/>
            <w:tcBorders>
              <w:top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Technical Report Summary — Initial Assessment of</w:t>
            </w:r>
          </w:p>
        </w:tc>
        <w:tc>
          <w:tcPr>
            <w:tcW w:w="7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Form S-4/A</w:t>
            </w:r>
          </w:p>
        </w:tc>
        <w:tc>
          <w:tcPr>
            <w:tcW w:w="980" w:type="dxa"/>
            <w:vAlign w:val="bottom"/>
            <w:tcBorders>
              <w:top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8/5/2021</w:t>
            </w:r>
          </w:p>
        </w:tc>
        <w:tc>
          <w:tcPr>
            <w:tcW w:w="1240" w:type="dxa"/>
            <w:vAlign w:val="bottom"/>
            <w:tcBorders>
              <w:top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333-255118</w:t>
            </w: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the TOML Mineral Resource, Clarion-Clipperton Zone</w:t>
            </w:r>
            <w:r>
              <w:rPr>
                <w:rFonts w:ascii="Times New Roman" w:cs="Times New Roman" w:eastAsia="Times New Roman" w:hAnsi="Times New Roman"/>
                <w:sz w:val="17"/>
                <w:szCs w:val="17"/>
                <w:color w:val="010101"/>
              </w:rPr>
              <w:t>,</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ind w:left="74"/>
              <w:spacing w:after="0"/>
              <w:rPr>
                <w:sz w:val="20"/>
                <w:szCs w:val="20"/>
                <w:color w:val="auto"/>
              </w:rPr>
            </w:pPr>
            <w:r>
              <w:rPr>
                <w:rFonts w:ascii="Times New Roman" w:cs="Times New Roman" w:eastAsia="Times New Roman" w:hAnsi="Times New Roman"/>
                <w:sz w:val="17"/>
                <w:szCs w:val="17"/>
                <w:color w:val="auto"/>
              </w:rPr>
              <w:t>(Exhibit 96.2)</w:t>
            </w: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Pacific Ocean, for Deep Green Metals Inc., effective as</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07"/>
        </w:trPr>
        <w:tc>
          <w:tcPr>
            <w:tcW w:w="92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of March 26, 2021, by AMC Consultants Pty Ltd and</w:t>
            </w:r>
          </w:p>
        </w:tc>
        <w:tc>
          <w:tcPr>
            <w:tcW w:w="70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u w:val="single" w:color="auto"/>
                <w:color w:val="010101"/>
              </w:rPr>
              <w:t>other qualified persons.</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7"/>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101.INS</w:t>
            </w:r>
          </w:p>
        </w:tc>
        <w:tc>
          <w:tcPr>
            <w:tcW w:w="4060" w:type="dxa"/>
            <w:vAlign w:val="bottom"/>
            <w:tcBorders>
              <w:right w:val="single" w:sz="8" w:color="auto"/>
            </w:tcBorders>
            <w:gridSpan w:val="2"/>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color w:val="auto"/>
              </w:rPr>
              <w:t>Inline XBRL Instance Document (the instance</w:t>
            </w:r>
          </w:p>
        </w:tc>
        <w:tc>
          <w:tcPr>
            <w:tcW w:w="700" w:type="dxa"/>
            <w:vAlign w:val="bottom"/>
            <w:tcBorders>
              <w:right w:val="single" w:sz="8" w:color="auto"/>
            </w:tcBorders>
            <w:shd w:val="clear" w:color="auto" w:fill="C7EAF2"/>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shd w:val="clear" w:color="auto" w:fill="C7EAF2"/>
          </w:tcPr>
          <w:p>
            <w:pPr>
              <w:spacing w:after="0"/>
              <w:rPr>
                <w:sz w:val="15"/>
                <w:szCs w:val="15"/>
                <w:color w:val="auto"/>
              </w:rPr>
            </w:pPr>
          </w:p>
        </w:tc>
        <w:tc>
          <w:tcPr>
            <w:tcW w:w="980" w:type="dxa"/>
            <w:vAlign w:val="bottom"/>
            <w:tcBorders>
              <w:right w:val="single" w:sz="8" w:color="auto"/>
            </w:tcBorders>
            <w:shd w:val="clear" w:color="auto" w:fill="C7EAF2"/>
          </w:tcPr>
          <w:p>
            <w:pPr>
              <w:spacing w:after="0"/>
              <w:rPr>
                <w:sz w:val="15"/>
                <w:szCs w:val="15"/>
                <w:color w:val="auto"/>
              </w:rPr>
            </w:pPr>
          </w:p>
        </w:tc>
        <w:tc>
          <w:tcPr>
            <w:tcW w:w="1240" w:type="dxa"/>
            <w:vAlign w:val="bottom"/>
            <w:tcBorders>
              <w:right w:val="single" w:sz="8" w:color="auto"/>
            </w:tcBorders>
            <w:shd w:val="clear" w:color="auto" w:fill="C7EAF2"/>
          </w:tcPr>
          <w:p>
            <w:pPr>
              <w:spacing w:after="0"/>
              <w:rPr>
                <w:sz w:val="15"/>
                <w:szCs w:val="15"/>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60" w:type="dxa"/>
            <w:vAlign w:val="bottom"/>
            <w:tcBorders>
              <w:right w:val="single" w:sz="8" w:color="auto"/>
            </w:tcBorders>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document does not appear in the Interactive Data File</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07"/>
        </w:trPr>
        <w:tc>
          <w:tcPr>
            <w:tcW w:w="920" w:type="dxa"/>
            <w:vAlign w:val="bottom"/>
            <w:tcBorders>
              <w:left w:val="single" w:sz="8" w:color="auto"/>
              <w:right w:val="single" w:sz="8" w:color="auto"/>
            </w:tcBorders>
            <w:shd w:val="clear" w:color="auto" w:fill="C7EAF2"/>
          </w:tcPr>
          <w:p>
            <w:pPr>
              <w:spacing w:after="0"/>
              <w:rPr>
                <w:sz w:val="18"/>
                <w:szCs w:val="18"/>
                <w:color w:val="auto"/>
              </w:rPr>
            </w:pPr>
          </w:p>
        </w:tc>
        <w:tc>
          <w:tcPr>
            <w:tcW w:w="4060" w:type="dxa"/>
            <w:vAlign w:val="bottom"/>
            <w:tcBorders>
              <w:right w:val="single" w:sz="8" w:color="auto"/>
            </w:tcBorders>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because its XBRL tags are embedded within the Inline</w:t>
            </w:r>
          </w:p>
        </w:tc>
        <w:tc>
          <w:tcPr>
            <w:tcW w:w="700" w:type="dxa"/>
            <w:vAlign w:val="bottom"/>
            <w:tcBorders>
              <w:right w:val="single" w:sz="8" w:color="auto"/>
            </w:tcBorders>
            <w:shd w:val="clear" w:color="auto" w:fill="C7EAF2"/>
          </w:tcPr>
          <w:p>
            <w:pPr>
              <w:spacing w:after="0"/>
              <w:rPr>
                <w:sz w:val="18"/>
                <w:szCs w:val="18"/>
                <w:color w:val="auto"/>
              </w:rPr>
            </w:pPr>
          </w:p>
        </w:tc>
        <w:tc>
          <w:tcPr>
            <w:tcW w:w="1720" w:type="dxa"/>
            <w:vAlign w:val="bottom"/>
            <w:tcBorders>
              <w:right w:val="single" w:sz="8" w:color="auto"/>
            </w:tcBorders>
            <w:shd w:val="clear" w:color="auto" w:fill="C7EAF2"/>
          </w:tcPr>
          <w:p>
            <w:pPr>
              <w:spacing w:after="0"/>
              <w:rPr>
                <w:sz w:val="18"/>
                <w:szCs w:val="18"/>
                <w:color w:val="auto"/>
              </w:rPr>
            </w:pPr>
          </w:p>
        </w:tc>
        <w:tc>
          <w:tcPr>
            <w:tcW w:w="980" w:type="dxa"/>
            <w:vAlign w:val="bottom"/>
            <w:tcBorders>
              <w:right w:val="single" w:sz="8" w:color="auto"/>
            </w:tcBorders>
            <w:shd w:val="clear" w:color="auto" w:fill="C7EAF2"/>
          </w:tcPr>
          <w:p>
            <w:pPr>
              <w:spacing w:after="0"/>
              <w:rPr>
                <w:sz w:val="18"/>
                <w:szCs w:val="18"/>
                <w:color w:val="auto"/>
              </w:rPr>
            </w:pPr>
          </w:p>
        </w:tc>
        <w:tc>
          <w:tcPr>
            <w:tcW w:w="1240" w:type="dxa"/>
            <w:vAlign w:val="bottom"/>
            <w:tcBorders>
              <w:right w:val="single" w:sz="8" w:color="auto"/>
            </w:tcBorders>
            <w:shd w:val="clear" w:color="auto" w:fill="C7EAF2"/>
          </w:tcPr>
          <w:p>
            <w:pPr>
              <w:spacing w:after="0"/>
              <w:rPr>
                <w:sz w:val="18"/>
                <w:szCs w:val="18"/>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XBRL document)</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226"/>
        </w:trPr>
        <w:tc>
          <w:tcPr>
            <w:tcW w:w="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101.SCH</w:t>
            </w:r>
          </w:p>
        </w:tc>
        <w:tc>
          <w:tcPr>
            <w:tcW w:w="40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70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r>
      <w:tr>
        <w:trPr>
          <w:trHeight w:val="177"/>
        </w:trPr>
        <w:tc>
          <w:tcPr>
            <w:tcW w:w="920" w:type="dxa"/>
            <w:vAlign w:val="bottom"/>
            <w:tcBorders>
              <w:left w:val="single" w:sz="8" w:color="auto"/>
              <w:right w:val="single" w:sz="8" w:color="auto"/>
            </w:tcBorders>
            <w:shd w:val="clear" w:color="auto" w:fill="C7EAF2"/>
          </w:tcPr>
          <w:p>
            <w:pPr>
              <w:ind w:left="40"/>
              <w:spacing w:after="0" w:line="177" w:lineRule="exact"/>
              <w:rPr>
                <w:sz w:val="20"/>
                <w:szCs w:val="20"/>
                <w:color w:val="auto"/>
              </w:rPr>
            </w:pPr>
            <w:r>
              <w:rPr>
                <w:rFonts w:ascii="Times New Roman" w:cs="Times New Roman" w:eastAsia="Times New Roman" w:hAnsi="Times New Roman"/>
                <w:sz w:val="17"/>
                <w:szCs w:val="17"/>
                <w:color w:val="auto"/>
              </w:rPr>
              <w:t>101.CAL</w:t>
            </w:r>
          </w:p>
        </w:tc>
        <w:tc>
          <w:tcPr>
            <w:tcW w:w="4060" w:type="dxa"/>
            <w:vAlign w:val="bottom"/>
            <w:tcBorders>
              <w:right w:val="single" w:sz="8" w:color="auto"/>
            </w:tcBorders>
            <w:gridSpan w:val="2"/>
            <w:shd w:val="clear" w:color="auto" w:fill="C7EAF2"/>
          </w:tcPr>
          <w:p>
            <w:pPr>
              <w:ind w:left="180"/>
              <w:spacing w:after="0" w:line="177" w:lineRule="exact"/>
              <w:rPr>
                <w:sz w:val="20"/>
                <w:szCs w:val="20"/>
                <w:color w:val="auto"/>
              </w:rPr>
            </w:pPr>
            <w:r>
              <w:rPr>
                <w:rFonts w:ascii="Times New Roman" w:cs="Times New Roman" w:eastAsia="Times New Roman" w:hAnsi="Times New Roman"/>
                <w:sz w:val="17"/>
                <w:szCs w:val="17"/>
                <w:color w:val="auto"/>
              </w:rPr>
              <w:t>Inline XBRL Taxonomy Extension Calculation</w:t>
            </w:r>
          </w:p>
        </w:tc>
        <w:tc>
          <w:tcPr>
            <w:tcW w:w="700" w:type="dxa"/>
            <w:vAlign w:val="bottom"/>
            <w:tcBorders>
              <w:right w:val="single" w:sz="8" w:color="auto"/>
            </w:tcBorders>
            <w:shd w:val="clear" w:color="auto" w:fill="C7EAF2"/>
          </w:tcPr>
          <w:p>
            <w:pPr>
              <w:ind w:left="360"/>
              <w:spacing w:after="0" w:line="177"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shd w:val="clear" w:color="auto" w:fill="C7EAF2"/>
          </w:tcPr>
          <w:p>
            <w:pPr>
              <w:spacing w:after="0"/>
              <w:rPr>
                <w:sz w:val="15"/>
                <w:szCs w:val="15"/>
                <w:color w:val="auto"/>
              </w:rPr>
            </w:pPr>
          </w:p>
        </w:tc>
        <w:tc>
          <w:tcPr>
            <w:tcW w:w="980" w:type="dxa"/>
            <w:vAlign w:val="bottom"/>
            <w:tcBorders>
              <w:right w:val="single" w:sz="8" w:color="auto"/>
            </w:tcBorders>
            <w:shd w:val="clear" w:color="auto" w:fill="C7EAF2"/>
          </w:tcPr>
          <w:p>
            <w:pPr>
              <w:spacing w:after="0"/>
              <w:rPr>
                <w:sz w:val="15"/>
                <w:szCs w:val="15"/>
                <w:color w:val="auto"/>
              </w:rPr>
            </w:pPr>
          </w:p>
        </w:tc>
        <w:tc>
          <w:tcPr>
            <w:tcW w:w="1240" w:type="dxa"/>
            <w:vAlign w:val="bottom"/>
            <w:tcBorders>
              <w:right w:val="single" w:sz="8" w:color="auto"/>
            </w:tcBorders>
            <w:shd w:val="clear" w:color="auto" w:fill="C7EAF2"/>
          </w:tcPr>
          <w:p>
            <w:pPr>
              <w:spacing w:after="0"/>
              <w:rPr>
                <w:sz w:val="15"/>
                <w:szCs w:val="15"/>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Linkbase Document</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7"/>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101.DEF</w:t>
            </w:r>
          </w:p>
        </w:tc>
        <w:tc>
          <w:tcPr>
            <w:tcW w:w="4060" w:type="dxa"/>
            <w:vAlign w:val="bottom"/>
            <w:tcBorders>
              <w:right w:val="single" w:sz="8" w:color="auto"/>
            </w:tcBorders>
            <w:gridSpan w:val="2"/>
          </w:tcPr>
          <w:p>
            <w:pPr>
              <w:ind w:left="180"/>
              <w:spacing w:after="0" w:line="176" w:lineRule="exact"/>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700" w:type="dxa"/>
            <w:vAlign w:val="bottom"/>
            <w:tcBorders>
              <w:right w:val="single" w:sz="8" w:color="auto"/>
            </w:tcBorders>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Document</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7"/>
        </w:trPr>
        <w:tc>
          <w:tcPr>
            <w:tcW w:w="920" w:type="dxa"/>
            <w:vAlign w:val="bottom"/>
            <w:tcBorders>
              <w:left w:val="single" w:sz="8" w:color="auto"/>
              <w:right w:val="single" w:sz="8" w:color="auto"/>
            </w:tcBorders>
            <w:shd w:val="clear" w:color="auto" w:fill="C7EAF2"/>
          </w:tcPr>
          <w:p>
            <w:pPr>
              <w:ind w:left="40"/>
              <w:spacing w:after="0" w:line="176" w:lineRule="exact"/>
              <w:rPr>
                <w:sz w:val="20"/>
                <w:szCs w:val="20"/>
                <w:color w:val="auto"/>
              </w:rPr>
            </w:pPr>
            <w:r>
              <w:rPr>
                <w:rFonts w:ascii="Times New Roman" w:cs="Times New Roman" w:eastAsia="Times New Roman" w:hAnsi="Times New Roman"/>
                <w:sz w:val="17"/>
                <w:szCs w:val="17"/>
                <w:color w:val="auto"/>
              </w:rPr>
              <w:t>101.LAB</w:t>
            </w:r>
          </w:p>
        </w:tc>
        <w:tc>
          <w:tcPr>
            <w:tcW w:w="4060" w:type="dxa"/>
            <w:vAlign w:val="bottom"/>
            <w:tcBorders>
              <w:right w:val="single" w:sz="8" w:color="auto"/>
            </w:tcBorders>
            <w:gridSpan w:val="2"/>
            <w:shd w:val="clear" w:color="auto" w:fill="C7EAF2"/>
          </w:tcPr>
          <w:p>
            <w:pPr>
              <w:ind w:left="180"/>
              <w:spacing w:after="0" w:line="176" w:lineRule="exact"/>
              <w:rPr>
                <w:sz w:val="20"/>
                <w:szCs w:val="20"/>
                <w:color w:val="auto"/>
              </w:rPr>
            </w:pPr>
            <w:r>
              <w:rPr>
                <w:rFonts w:ascii="Times New Roman" w:cs="Times New Roman" w:eastAsia="Times New Roman" w:hAnsi="Times New Roman"/>
                <w:sz w:val="17"/>
                <w:szCs w:val="17"/>
                <w:color w:val="auto"/>
              </w:rPr>
              <w:t>Inline XBRL Taxonomy Extension Label Linkbase</w:t>
            </w:r>
          </w:p>
        </w:tc>
        <w:tc>
          <w:tcPr>
            <w:tcW w:w="700" w:type="dxa"/>
            <w:vAlign w:val="bottom"/>
            <w:tcBorders>
              <w:right w:val="single" w:sz="8" w:color="auto"/>
            </w:tcBorders>
            <w:shd w:val="clear" w:color="auto" w:fill="C7EAF2"/>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shd w:val="clear" w:color="auto" w:fill="C7EAF2"/>
          </w:tcPr>
          <w:p>
            <w:pPr>
              <w:spacing w:after="0"/>
              <w:rPr>
                <w:sz w:val="15"/>
                <w:szCs w:val="15"/>
                <w:color w:val="auto"/>
              </w:rPr>
            </w:pPr>
          </w:p>
        </w:tc>
        <w:tc>
          <w:tcPr>
            <w:tcW w:w="980" w:type="dxa"/>
            <w:vAlign w:val="bottom"/>
            <w:tcBorders>
              <w:right w:val="single" w:sz="8" w:color="auto"/>
            </w:tcBorders>
            <w:shd w:val="clear" w:color="auto" w:fill="C7EAF2"/>
          </w:tcPr>
          <w:p>
            <w:pPr>
              <w:spacing w:after="0"/>
              <w:rPr>
                <w:sz w:val="15"/>
                <w:szCs w:val="15"/>
                <w:color w:val="auto"/>
              </w:rPr>
            </w:pPr>
          </w:p>
        </w:tc>
        <w:tc>
          <w:tcPr>
            <w:tcW w:w="1240" w:type="dxa"/>
            <w:vAlign w:val="bottom"/>
            <w:tcBorders>
              <w:right w:val="single" w:sz="8" w:color="auto"/>
            </w:tcBorders>
            <w:shd w:val="clear" w:color="auto" w:fill="C7EAF2"/>
          </w:tcPr>
          <w:p>
            <w:pPr>
              <w:spacing w:after="0"/>
              <w:rPr>
                <w:sz w:val="15"/>
                <w:szCs w:val="15"/>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Document</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177"/>
        </w:trPr>
        <w:tc>
          <w:tcPr>
            <w:tcW w:w="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101.PRE</w:t>
            </w:r>
          </w:p>
        </w:tc>
        <w:tc>
          <w:tcPr>
            <w:tcW w:w="4060" w:type="dxa"/>
            <w:vAlign w:val="bottom"/>
            <w:tcBorders>
              <w:right w:val="single" w:sz="8" w:color="auto"/>
            </w:tcBorders>
            <w:gridSpan w:val="2"/>
          </w:tcPr>
          <w:p>
            <w:pPr>
              <w:ind w:left="180"/>
              <w:spacing w:after="0" w:line="176" w:lineRule="exact"/>
              <w:rPr>
                <w:sz w:val="20"/>
                <w:szCs w:val="20"/>
                <w:color w:val="auto"/>
              </w:rPr>
            </w:pPr>
            <w:r>
              <w:rPr>
                <w:rFonts w:ascii="Times New Roman" w:cs="Times New Roman" w:eastAsia="Times New Roman" w:hAnsi="Times New Roman"/>
                <w:sz w:val="17"/>
                <w:szCs w:val="17"/>
                <w:color w:val="auto"/>
              </w:rPr>
              <w:t>Inline XBRL Taxonomy Extension Presentation</w:t>
            </w:r>
          </w:p>
        </w:tc>
        <w:tc>
          <w:tcPr>
            <w:tcW w:w="700" w:type="dxa"/>
            <w:vAlign w:val="bottom"/>
            <w:tcBorders>
              <w:right w:val="single" w:sz="8" w:color="auto"/>
            </w:tcBorders>
          </w:tcPr>
          <w:p>
            <w:pPr>
              <w:ind w:left="360"/>
              <w:spacing w:after="0" w:line="176"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231"/>
        </w:trPr>
        <w:tc>
          <w:tcPr>
            <w:tcW w:w="92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Linkbase Document</w:t>
            </w:r>
          </w:p>
        </w:tc>
        <w:tc>
          <w:tcPr>
            <w:tcW w:w="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r>
      <w:tr>
        <w:trPr>
          <w:trHeight w:val="177"/>
        </w:trPr>
        <w:tc>
          <w:tcPr>
            <w:tcW w:w="920" w:type="dxa"/>
            <w:vAlign w:val="bottom"/>
            <w:tcBorders>
              <w:left w:val="single" w:sz="8" w:color="auto"/>
              <w:right w:val="single" w:sz="8" w:color="auto"/>
            </w:tcBorders>
            <w:shd w:val="clear" w:color="auto" w:fill="C7EAF2"/>
          </w:tcPr>
          <w:p>
            <w:pPr>
              <w:ind w:left="40"/>
              <w:spacing w:after="0" w:line="177" w:lineRule="exact"/>
              <w:rPr>
                <w:sz w:val="20"/>
                <w:szCs w:val="20"/>
                <w:color w:val="auto"/>
              </w:rPr>
            </w:pPr>
            <w:r>
              <w:rPr>
                <w:rFonts w:ascii="Times New Roman" w:cs="Times New Roman" w:eastAsia="Times New Roman" w:hAnsi="Times New Roman"/>
                <w:sz w:val="17"/>
                <w:szCs w:val="17"/>
                <w:color w:val="auto"/>
              </w:rPr>
              <w:t>104</w:t>
            </w:r>
          </w:p>
        </w:tc>
        <w:tc>
          <w:tcPr>
            <w:tcW w:w="4060" w:type="dxa"/>
            <w:vAlign w:val="bottom"/>
            <w:tcBorders>
              <w:right w:val="single" w:sz="8" w:color="auto"/>
            </w:tcBorders>
            <w:gridSpan w:val="2"/>
            <w:shd w:val="clear" w:color="auto" w:fill="C7EAF2"/>
          </w:tcPr>
          <w:p>
            <w:pPr>
              <w:ind w:left="180"/>
              <w:spacing w:after="0" w:line="177" w:lineRule="exact"/>
              <w:rPr>
                <w:sz w:val="20"/>
                <w:szCs w:val="20"/>
                <w:color w:val="auto"/>
              </w:rPr>
            </w:pPr>
            <w:r>
              <w:rPr>
                <w:rFonts w:ascii="Times New Roman" w:cs="Times New Roman" w:eastAsia="Times New Roman" w:hAnsi="Times New Roman"/>
                <w:sz w:val="17"/>
                <w:szCs w:val="17"/>
                <w:color w:val="auto"/>
              </w:rPr>
              <w:t>Cover Page Interactive Data File (embedded within the</w:t>
            </w:r>
          </w:p>
        </w:tc>
        <w:tc>
          <w:tcPr>
            <w:tcW w:w="700" w:type="dxa"/>
            <w:vAlign w:val="bottom"/>
            <w:tcBorders>
              <w:right w:val="single" w:sz="8" w:color="auto"/>
            </w:tcBorders>
            <w:shd w:val="clear" w:color="auto" w:fill="C7EAF2"/>
          </w:tcPr>
          <w:p>
            <w:pPr>
              <w:ind w:left="360"/>
              <w:spacing w:after="0" w:line="177" w:lineRule="exact"/>
              <w:rPr>
                <w:sz w:val="20"/>
                <w:szCs w:val="20"/>
                <w:color w:val="auto"/>
              </w:rPr>
            </w:pPr>
            <w:r>
              <w:rPr>
                <w:rFonts w:ascii="Times New Roman" w:cs="Times New Roman" w:eastAsia="Times New Roman" w:hAnsi="Times New Roman"/>
                <w:sz w:val="17"/>
                <w:szCs w:val="17"/>
                <w:color w:val="auto"/>
              </w:rPr>
              <w:t>X</w:t>
            </w:r>
          </w:p>
        </w:tc>
        <w:tc>
          <w:tcPr>
            <w:tcW w:w="1720" w:type="dxa"/>
            <w:vAlign w:val="bottom"/>
            <w:tcBorders>
              <w:right w:val="single" w:sz="8" w:color="auto"/>
            </w:tcBorders>
            <w:shd w:val="clear" w:color="auto" w:fill="C7EAF2"/>
          </w:tcPr>
          <w:p>
            <w:pPr>
              <w:spacing w:after="0"/>
              <w:rPr>
                <w:sz w:val="15"/>
                <w:szCs w:val="15"/>
                <w:color w:val="auto"/>
              </w:rPr>
            </w:pPr>
          </w:p>
        </w:tc>
        <w:tc>
          <w:tcPr>
            <w:tcW w:w="980" w:type="dxa"/>
            <w:vAlign w:val="bottom"/>
            <w:tcBorders>
              <w:right w:val="single" w:sz="8" w:color="auto"/>
            </w:tcBorders>
            <w:shd w:val="clear" w:color="auto" w:fill="C7EAF2"/>
          </w:tcPr>
          <w:p>
            <w:pPr>
              <w:spacing w:after="0"/>
              <w:rPr>
                <w:sz w:val="15"/>
                <w:szCs w:val="15"/>
                <w:color w:val="auto"/>
              </w:rPr>
            </w:pPr>
          </w:p>
        </w:tc>
        <w:tc>
          <w:tcPr>
            <w:tcW w:w="1240" w:type="dxa"/>
            <w:vAlign w:val="bottom"/>
            <w:tcBorders>
              <w:right w:val="single" w:sz="8" w:color="auto"/>
            </w:tcBorders>
            <w:shd w:val="clear" w:color="auto" w:fill="C7EAF2"/>
          </w:tcPr>
          <w:p>
            <w:pPr>
              <w:spacing w:after="0"/>
              <w:rPr>
                <w:sz w:val="15"/>
                <w:szCs w:val="15"/>
                <w:color w:val="auto"/>
              </w:rPr>
            </w:pPr>
          </w:p>
        </w:tc>
      </w:tr>
      <w:tr>
        <w:trPr>
          <w:trHeight w:val="231"/>
        </w:trPr>
        <w:tc>
          <w:tcPr>
            <w:tcW w:w="920" w:type="dxa"/>
            <w:vAlign w:val="bottom"/>
            <w:tcBorders>
              <w:left w:val="single" w:sz="8" w:color="auto"/>
              <w:bottom w:val="single" w:sz="8" w:color="auto"/>
              <w:right w:val="single" w:sz="8" w:color="auto"/>
            </w:tcBorders>
            <w:shd w:val="clear" w:color="auto" w:fill="C7EAF2"/>
          </w:tcPr>
          <w:p>
            <w:pPr>
              <w:spacing w:after="0"/>
              <w:rPr>
                <w:sz w:val="20"/>
                <w:szCs w:val="20"/>
                <w:color w:val="auto"/>
              </w:rPr>
            </w:pPr>
          </w:p>
        </w:tc>
        <w:tc>
          <w:tcPr>
            <w:tcW w:w="4060" w:type="dxa"/>
            <w:vAlign w:val="bottom"/>
            <w:tcBorders>
              <w:bottom w:val="single" w:sz="8" w:color="auto"/>
              <w:right w:val="single" w:sz="8" w:color="auto"/>
            </w:tcBorders>
            <w:gridSpan w:val="2"/>
            <w:shd w:val="clear" w:color="auto" w:fill="C7EAF2"/>
          </w:tcPr>
          <w:p>
            <w:pPr>
              <w:ind w:left="180"/>
              <w:spacing w:after="0"/>
              <w:rPr>
                <w:sz w:val="20"/>
                <w:szCs w:val="20"/>
                <w:color w:val="auto"/>
              </w:rPr>
            </w:pPr>
            <w:r>
              <w:rPr>
                <w:rFonts w:ascii="Times New Roman" w:cs="Times New Roman" w:eastAsia="Times New Roman" w:hAnsi="Times New Roman"/>
                <w:sz w:val="17"/>
                <w:szCs w:val="17"/>
                <w:color w:val="auto"/>
              </w:rPr>
              <w:t>Inline XBRL document)</w:t>
            </w:r>
          </w:p>
        </w:tc>
        <w:tc>
          <w:tcPr>
            <w:tcW w:w="700" w:type="dxa"/>
            <w:vAlign w:val="bottom"/>
            <w:tcBorders>
              <w:bottom w:val="single" w:sz="8" w:color="auto"/>
              <w:right w:val="single" w:sz="8" w:color="auto"/>
            </w:tcBorders>
            <w:shd w:val="clear" w:color="auto" w:fill="C7EAF2"/>
          </w:tcPr>
          <w:p>
            <w:pPr>
              <w:spacing w:after="0"/>
              <w:rPr>
                <w:sz w:val="20"/>
                <w:szCs w:val="20"/>
                <w:color w:val="auto"/>
              </w:rPr>
            </w:pPr>
          </w:p>
        </w:tc>
        <w:tc>
          <w:tcPr>
            <w:tcW w:w="1720" w:type="dxa"/>
            <w:vAlign w:val="bottom"/>
            <w:tcBorders>
              <w:bottom w:val="single" w:sz="8" w:color="auto"/>
              <w:right w:val="single" w:sz="8" w:color="auto"/>
            </w:tcBorders>
            <w:shd w:val="clear" w:color="auto" w:fill="C7EAF2"/>
          </w:tcPr>
          <w:p>
            <w:pPr>
              <w:spacing w:after="0"/>
              <w:rPr>
                <w:sz w:val="20"/>
                <w:szCs w:val="20"/>
                <w:color w:val="auto"/>
              </w:rPr>
            </w:pPr>
          </w:p>
        </w:tc>
        <w:tc>
          <w:tcPr>
            <w:tcW w:w="980" w:type="dxa"/>
            <w:vAlign w:val="bottom"/>
            <w:tcBorders>
              <w:bottom w:val="single" w:sz="8" w:color="auto"/>
              <w:right w:val="single" w:sz="8" w:color="auto"/>
            </w:tcBorders>
            <w:shd w:val="clear" w:color="auto" w:fill="C7EAF2"/>
          </w:tcPr>
          <w:p>
            <w:pPr>
              <w:spacing w:after="0"/>
              <w:rPr>
                <w:sz w:val="20"/>
                <w:szCs w:val="20"/>
                <w:color w:val="auto"/>
              </w:rPr>
            </w:pPr>
          </w:p>
        </w:tc>
        <w:tc>
          <w:tcPr>
            <w:tcW w:w="1240" w:type="dxa"/>
            <w:vAlign w:val="bottom"/>
            <w:tcBorders>
              <w:bottom w:val="single" w:sz="8" w:color="auto"/>
              <w:right w:val="single" w:sz="8" w:color="auto"/>
            </w:tcBorders>
            <w:shd w:val="clear" w:color="auto" w:fill="C7EAF2"/>
          </w:tcPr>
          <w:p>
            <w:pPr>
              <w:spacing w:after="0"/>
              <w:rPr>
                <w:sz w:val="20"/>
                <w:szCs w:val="20"/>
                <w:color w:val="auto"/>
              </w:rPr>
            </w:pPr>
          </w:p>
        </w:tc>
      </w:tr>
      <w:tr>
        <w:trPr>
          <w:trHeight w:val="97"/>
        </w:trPr>
        <w:tc>
          <w:tcPr>
            <w:tcW w:w="92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r>
    </w:tbl>
    <w:p>
      <w:pPr>
        <w:spacing w:after="0" w:line="67" w:lineRule="exact"/>
        <w:rPr>
          <w:sz w:val="20"/>
          <w:szCs w:val="20"/>
          <w:color w:val="auto"/>
        </w:rPr>
      </w:pPr>
    </w:p>
    <w:p>
      <w:pPr>
        <w:ind w:left="320" w:right="360" w:hanging="311"/>
        <w:spacing w:after="0" w:line="276" w:lineRule="auto"/>
        <w:tabs>
          <w:tab w:leader="none" w:pos="3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line="155" w:lineRule="exact"/>
        <w:rPr>
          <w:sz w:val="20"/>
          <w:szCs w:val="20"/>
          <w:color w:val="auto"/>
        </w:rPr>
      </w:pPr>
    </w:p>
    <w:p>
      <w:pPr>
        <w:ind w:left="320" w:right="540" w:hanging="311"/>
        <w:spacing w:after="0" w:line="298" w:lineRule="auto"/>
        <w:tabs>
          <w:tab w:leader="none" w:pos="3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37" w:lineRule="exact"/>
        <w:rPr>
          <w:sz w:val="20"/>
          <w:szCs w:val="20"/>
          <w:color w:val="auto"/>
        </w:rPr>
      </w:pPr>
    </w:p>
    <w:p>
      <w:pPr>
        <w:ind w:left="320" w:hanging="311"/>
        <w:spacing w:after="0"/>
        <w:tabs>
          <w:tab w:leader="none" w:pos="32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or arrangement.</w:t>
      </w:r>
    </w:p>
    <w:p>
      <w:pPr>
        <w:spacing w:after="0" w:line="219" w:lineRule="exact"/>
        <w:rPr>
          <w:sz w:val="20"/>
          <w:szCs w:val="20"/>
          <w:color w:val="auto"/>
        </w:rPr>
      </w:pPr>
    </w:p>
    <w:p>
      <w:pPr>
        <w:ind w:left="320" w:right="200" w:hanging="311"/>
        <w:spacing w:after="0" w:line="269" w:lineRule="auto"/>
        <w:tabs>
          <w:tab w:leader="none" w:pos="3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 that accompany this Annual Report on Form 10-K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10-K), irrespective of any general incorporation language contained in such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16.FORM 10-K SUMMARY</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46">
                          <a:solidFill>
                            <a:srgbClr val="000000"/>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5pt"/>
            </w:pict>
          </mc:Fallback>
        </mc:AlternateContent>
      </w:r>
    </w:p>
    <w:p>
      <w:pPr>
        <w:sectPr>
          <w:pgSz w:w="12240" w:h="15840" w:orient="portrait"/>
          <w:cols w:equalWidth="0" w:num="1">
            <w:col w:w="9620"/>
          </w:cols>
          <w:pgMar w:left="1320" w:top="1330" w:right="1300" w:bottom="1440" w:gutter="0" w:footer="0" w:header="0"/>
        </w:sectPr>
      </w:pPr>
    </w:p>
    <w:bookmarkStart w:id="191" w:name="page192"/>
    <w:bookmarkEnd w:id="19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409">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410">
                      <a:extLst>
                        <a:ext uri="{28A0092B-C50C-407E-A947-70E740481C1C}"/>
                      </a:extLst>
                    </a:blip>
                    <a:srcRect/>
                    <a:stretch>
                      <a:fillRect/>
                    </a:stretch>
                  </pic:blipFill>
                  <pic:spPr bwMode="auto">
                    <a:xfrm>
                      <a:off x="0" y="0"/>
                      <a:ext cx="5080" cy="13970"/>
                    </a:xfrm>
                    <a:prstGeom prst="rect">
                      <a:avLst/>
                    </a:prstGeom>
                    <a:noFill/>
                  </pic:spPr>
                </pic:pic>
              </a:graphicData>
            </a:graphic>
          </wp:anchor>
        </w:drawing>
        <w:t>SIGNATURES</w:t>
      </w:r>
    </w:p>
    <w:p>
      <w:pPr>
        <w:spacing w:after="0" w:line="222" w:lineRule="exact"/>
        <w:rPr>
          <w:sz w:val="20"/>
          <w:szCs w:val="20"/>
          <w:color w:val="auto"/>
        </w:rPr>
      </w:pPr>
    </w:p>
    <w:p>
      <w:pPr>
        <w:ind w:firstLine="310"/>
        <w:spacing w:after="0" w:line="303"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7"/>
          <w:szCs w:val="17"/>
          <w:b w:val="1"/>
          <w:bCs w:val="1"/>
          <w:color w:val="auto"/>
        </w:rPr>
        <w:t>.</w:t>
      </w:r>
    </w:p>
    <w:p>
      <w:pPr>
        <w:spacing w:after="0" w:line="13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22" w:lineRule="exact"/>
        <w:rPr>
          <w:sz w:val="20"/>
          <w:szCs w:val="20"/>
          <w:color w:val="auto"/>
        </w:rPr>
      </w:pPr>
    </w:p>
    <w:p>
      <w:pPr>
        <w:ind w:left="20"/>
        <w:spacing w:after="0"/>
        <w:tabs>
          <w:tab w:leader="none" w:pos="4660" w:val="left"/>
        </w:tabs>
        <w:rPr>
          <w:sz w:val="20"/>
          <w:szCs w:val="20"/>
          <w:color w:val="auto"/>
        </w:rPr>
      </w:pPr>
      <w:r>
        <w:rPr>
          <w:rFonts w:ascii="Times New Roman" w:cs="Times New Roman" w:eastAsia="Times New Roman" w:hAnsi="Times New Roman"/>
          <w:sz w:val="17"/>
          <w:szCs w:val="17"/>
          <w:color w:val="auto"/>
        </w:rPr>
        <w:t>Date: March 27, 2023</w:t>
      </w:r>
      <w:r>
        <w:rPr>
          <w:sz w:val="20"/>
          <w:szCs w:val="20"/>
          <w:color w:val="auto"/>
        </w:rPr>
        <w:tab/>
      </w:r>
      <w:r>
        <w:rPr>
          <w:rFonts w:ascii="Times New Roman" w:cs="Times New Roman" w:eastAsia="Times New Roman" w:hAnsi="Times New Roman"/>
          <w:sz w:val="17"/>
          <w:szCs w:val="17"/>
          <w:color w:val="auto"/>
        </w:rPr>
        <w:t>By:/s/ Gerard Barron</w:t>
      </w:r>
    </w:p>
    <w:p>
      <w:pPr>
        <w:spacing w:after="0" w:line="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Gerard Barron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3143250</wp:posOffset>
                </wp:positionH>
                <wp:positionV relativeFrom="paragraph">
                  <wp:posOffset>-113030</wp:posOffset>
                </wp:positionV>
                <wp:extent cx="2969260" cy="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9260" cy="4763"/>
                        </a:xfrm>
                        <a:prstGeom prst="line">
                          <a:avLst/>
                        </a:prstGeom>
                        <a:solidFill>
                          <a:srgbClr val="FFFFFF"/>
                        </a:solidFill>
                        <a:ln w="8217">
                          <a:solidFill>
                            <a:srgbClr val="000000"/>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7.5pt,-8.8999pt" to="481.3pt,-8.8999pt" o:allowincell="f" strokecolor="#000000" strokeweight="0.647pt"/>
            </w:pict>
          </mc:Fallback>
        </mc:AlternateContent>
      </w:r>
    </w:p>
    <w:p>
      <w:pPr>
        <w:ind w:left="49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19" w:lineRule="exact"/>
        <w:rPr>
          <w:sz w:val="20"/>
          <w:szCs w:val="20"/>
          <w:color w:val="auto"/>
        </w:rPr>
      </w:pPr>
    </w:p>
    <w:p>
      <w:pPr>
        <w:ind w:firstLine="311"/>
        <w:spacing w:after="0" w:line="29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indicated below and on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Signatures</w:t>
            </w:r>
          </w:p>
        </w:tc>
        <w:tc>
          <w:tcPr>
            <w:tcW w:w="180" w:type="dxa"/>
            <w:vAlign w:val="bottom"/>
          </w:tcPr>
          <w:p>
            <w:pPr>
              <w:spacing w:after="0"/>
              <w:rPr>
                <w:sz w:val="20"/>
                <w:szCs w:val="20"/>
                <w:color w:val="auto"/>
              </w:rPr>
            </w:pPr>
          </w:p>
        </w:tc>
        <w:tc>
          <w:tcPr>
            <w:tcW w:w="372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7"/>
                <w:szCs w:val="17"/>
                <w:color w:val="auto"/>
              </w:rPr>
              <w:t>Title</w:t>
            </w:r>
          </w:p>
        </w:tc>
        <w:tc>
          <w:tcPr>
            <w:tcW w:w="18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Date</w:t>
            </w:r>
          </w:p>
        </w:tc>
        <w:tc>
          <w:tcPr>
            <w:tcW w:w="0" w:type="dxa"/>
            <w:vAlign w:val="bottom"/>
          </w:tcPr>
          <w:p>
            <w:pPr>
              <w:spacing w:after="0"/>
              <w:rPr>
                <w:sz w:val="1"/>
                <w:szCs w:val="1"/>
                <w:color w:val="auto"/>
              </w:rPr>
            </w:pPr>
          </w:p>
        </w:tc>
      </w:tr>
      <w:tr>
        <w:trPr>
          <w:trHeight w:val="384"/>
        </w:trPr>
        <w:tc>
          <w:tcPr>
            <w:tcW w:w="3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/s/ Gerard Barron</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Chief Executive Officer and Chairman</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Borders>
              <w:bottom w:val="single" w:sz="8" w:color="auto"/>
            </w:tcBorders>
            <w:gridSpan w:val="2"/>
          </w:tcPr>
          <w:p>
            <w:pPr>
              <w:spacing w:after="0"/>
              <w:rPr>
                <w:sz w:val="2"/>
                <w:szCs w:val="2"/>
                <w:color w:val="auto"/>
              </w:rPr>
            </w:pPr>
          </w:p>
        </w:tc>
        <w:tc>
          <w:tcPr>
            <w:tcW w:w="4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auto"/>
              </w:rPr>
              <w:t>(principal executive officer) and Director</w:t>
            </w: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Gerard Barron</w:t>
            </w:r>
          </w:p>
        </w:tc>
        <w:tc>
          <w:tcPr>
            <w:tcW w:w="4080" w:type="dxa"/>
            <w:vAlign w:val="bottom"/>
            <w:gridSpan w:val="3"/>
            <w:vMerge w:val="continue"/>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3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/s/ Craig Shesky</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Chief Financial Officer</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160" w:type="dxa"/>
            <w:vAlign w:val="bottom"/>
            <w:tcBorders>
              <w:bottom w:val="single" w:sz="8" w:color="auto"/>
            </w:tcBorders>
            <w:gridSpan w:val="2"/>
          </w:tcPr>
          <w:p>
            <w:pPr>
              <w:spacing w:after="0"/>
              <w:rPr>
                <w:sz w:val="2"/>
                <w:szCs w:val="2"/>
                <w:color w:val="auto"/>
              </w:rPr>
            </w:pPr>
          </w:p>
        </w:tc>
        <w:tc>
          <w:tcPr>
            <w:tcW w:w="40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Craig Shesky</w:t>
            </w:r>
          </w:p>
        </w:tc>
        <w:tc>
          <w:tcPr>
            <w:tcW w:w="4080" w:type="dxa"/>
            <w:vAlign w:val="bottom"/>
            <w:gridSpan w:val="3"/>
            <w:vMerge w:val="continue"/>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8"/>
        </w:trPr>
        <w:tc>
          <w:tcPr>
            <w:tcW w:w="3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Andrew Greig</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/s/ Christian Madsbjerg</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Christian Madsbjerg</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/s/ Andrew Hall</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Andrew Hall</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/s/ Sheila Khama</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Sheila Khama</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/s/ Andrei Karkar</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Andrei Karkar</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/s/ Amelia Kinahoi Siamomua</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Amelia Kinahoi Siamomua</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0"/>
        </w:trPr>
        <w:tc>
          <w:tcPr>
            <w:tcW w:w="34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By: /s/ Kathleen McAllister</w:t>
            </w:r>
          </w:p>
        </w:tc>
        <w:tc>
          <w:tcPr>
            <w:tcW w:w="4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27, 2023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Kathleen McAllister</w:t>
            </w:r>
          </w:p>
        </w:tc>
        <w:tc>
          <w:tcPr>
            <w:tcW w:w="1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360045</wp:posOffset>
                </wp:positionV>
                <wp:extent cx="6110605" cy="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10605" cy="4763"/>
                        </a:xfrm>
                        <a:prstGeom prst="line">
                          <a:avLst/>
                        </a:prstGeom>
                        <a:solidFill>
                          <a:srgbClr val="FFFFFF"/>
                        </a:solidFill>
                        <a:ln w="16459">
                          <a:solidFill>
                            <a:srgbClr val="000000"/>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8.35pt" to="481.3pt,28.35pt" o:allowincell="f" strokecolor="#000000" strokeweight="1.296pt"/>
            </w:pict>
          </mc:Fallback>
        </mc:AlternateContent>
      </w:r>
    </w:p>
    <w:p>
      <w:pPr>
        <w:sectPr>
          <w:pgSz w:w="12240" w:h="15840" w:orient="portrait"/>
          <w:cols w:equalWidth="0" w:num="1">
            <w:col w:w="9620"/>
          </w:cols>
          <w:pgMar w:left="1320" w:top="1334" w:right="1300" w:bottom="1440" w:gutter="0" w:footer="0" w:header="0"/>
        </w:sectPr>
      </w:pPr>
    </w:p>
    <w:bookmarkStart w:id="192" w:name="page193"/>
    <w:bookmarkEnd w:id="192"/>
    <w:p>
      <w:pPr>
        <w:jc w:val="right"/>
        <w:spacing w:after="0"/>
        <w:rPr>
          <w:sz w:val="20"/>
          <w:szCs w:val="20"/>
          <w:color w:val="auto"/>
        </w:rPr>
      </w:pPr>
      <w:r>
        <w:rPr>
          <w:rFonts w:ascii="Arial" w:cs="Arial" w:eastAsia="Arial" w:hAnsi="Arial"/>
          <w:sz w:val="16"/>
          <w:szCs w:val="16"/>
          <w:color w:val="A29E9D"/>
        </w:rPr>
        <w:drawing>
          <wp:anchor simplePos="0" relativeHeight="251657728" behindDoc="1" locked="0" layoutInCell="0" allowOverlap="1">
            <wp:simplePos x="0" y="0"/>
            <wp:positionH relativeFrom="page">
              <wp:posOffset>1009015</wp:posOffset>
            </wp:positionH>
            <wp:positionV relativeFrom="page">
              <wp:posOffset>0</wp:posOffset>
            </wp:positionV>
            <wp:extent cx="12700" cy="10058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411">
                      <a:extLst>
                        <a:ext uri="{28A0092B-C50C-407E-A947-70E740481C1C}"/>
                      </a:extLst>
                    </a:blip>
                    <a:srcRect/>
                    <a:stretch>
                      <a:fillRect/>
                    </a:stretch>
                  </pic:blipFill>
                  <pic:spPr bwMode="auto">
                    <a:xfrm>
                      <a:off x="0" y="0"/>
                      <a:ext cx="12700" cy="10058400"/>
                    </a:xfrm>
                    <a:prstGeom prst="rect">
                      <a:avLst/>
                    </a:prstGeom>
                    <a:noFill/>
                  </pic:spPr>
                </pic:pic>
              </a:graphicData>
            </a:graphic>
          </wp:anchor>
        </w:drawing>
        <w:drawing>
          <wp:anchor simplePos="0" relativeHeight="251657728" behindDoc="1" locked="0" layoutInCell="0" allowOverlap="1">
            <wp:simplePos x="0" y="0"/>
            <wp:positionH relativeFrom="page">
              <wp:posOffset>3175</wp:posOffset>
            </wp:positionH>
            <wp:positionV relativeFrom="page">
              <wp:posOffset>0</wp:posOffset>
            </wp:positionV>
            <wp:extent cx="13970" cy="1397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412">
                      <a:extLst>
                        <a:ext uri="{28A0092B-C50C-407E-A947-70E740481C1C}"/>
                      </a:extLst>
                    </a:blip>
                    <a:srcRect/>
                    <a:stretch>
                      <a:fillRect/>
                    </a:stretch>
                  </pic:blipFill>
                  <pic:spPr bwMode="auto">
                    <a:xfrm>
                      <a:off x="0" y="0"/>
                      <a:ext cx="13970" cy="13970"/>
                    </a:xfrm>
                    <a:prstGeom prst="rect">
                      <a:avLst/>
                    </a:prstGeom>
                    <a:noFill/>
                  </pic:spPr>
                </pic:pic>
              </a:graphicData>
            </a:graphic>
          </wp:anchor>
        </w:drawing>
        <w:drawing>
          <wp:anchor simplePos="0" relativeHeight="251657728" behindDoc="1" locked="0" layoutInCell="0" allowOverlap="1">
            <wp:simplePos x="0" y="0"/>
            <wp:positionH relativeFrom="page">
              <wp:posOffset>7764780</wp:posOffset>
            </wp:positionH>
            <wp:positionV relativeFrom="page">
              <wp:posOffset>0</wp:posOffset>
            </wp:positionV>
            <wp:extent cx="5080" cy="1397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413">
                      <a:extLst>
                        <a:ext uri="{28A0092B-C50C-407E-A947-70E740481C1C}"/>
                      </a:extLst>
                    </a:blip>
                    <a:srcRect/>
                    <a:stretch>
                      <a:fillRect/>
                    </a:stretch>
                  </pic:blipFill>
                  <pic:spPr bwMode="auto">
                    <a:xfrm>
                      <a:off x="0" y="0"/>
                      <a:ext cx="5080" cy="13970"/>
                    </a:xfrm>
                    <a:prstGeom prst="rect">
                      <a:avLst/>
                    </a:prstGeom>
                    <a:noFill/>
                  </pic:spPr>
                </pic:pic>
              </a:graphicData>
            </a:graphic>
          </wp:anchor>
        </w:drawing>
        <w:t>TMC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Forward-Looking Statements.</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Letter to Shareholders and summary information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contained at the beginning of this annual report contain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“forward-looking statements” within the meaning of Section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27A of the Securities Act of 1933, as amended, and Section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21E of the Securities Exchange Act of 1934, as amended,</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that relate to future events, TMC the metals company Inc.’s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future operations or financial performance,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or the Company’s plans, strategies and prospects. These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statements involve risks, uncertainties and assumptions and</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are based on the current estimates and assumptions of the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management of the Company as of the date of this annual</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report and are subject to uncertainty and changes. Given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uncertainties, you should not place undue reliance 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forward-looking statements. Important factors that</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could cause actual results to differ materially from those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indicated by such forward-looking statements include,</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among others, those set forth under the heading “Risk</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Factors” contained in the enclosed Annual Report on Form</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10-K for the year ended December 31, 2022, which was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filed with the Securities and Exchange Commission on</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March 27, 2023, as well as any updates to those risk factors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filed from time to time in our periodic and current reports.</w:t>
      </w:r>
    </w:p>
    <w:p>
      <w:pPr>
        <w:spacing w:after="0" w:line="200" w:lineRule="exact"/>
        <w:rPr>
          <w:sz w:val="20"/>
          <w:szCs w:val="20"/>
          <w:color w:val="auto"/>
        </w:rPr>
      </w:pPr>
    </w:p>
    <w:p>
      <w:pPr>
        <w:spacing w:after="0" w:line="2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information in the Letter to Shareholders and summary</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contained at the beginning of this annual report</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is as of the date of this annual report, and the Company</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undertakes no duty to update this information unless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required by law.</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information in the enclosed Annual Report on Form 10-K</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year ended December 31, 2022 is as of the date of</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filing the Annual Report on Form 10-K with the Securities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Exchange Commission on March 27, 2023 or as</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otherwise set forth therein, and the Company undertakes no</w:t>
      </w:r>
    </w:p>
    <w:p>
      <w:pPr>
        <w:spacing w:after="0" w:line="5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duty to update the information unless required by law.</w:t>
      </w:r>
    </w:p>
    <w:p>
      <w:pPr>
        <w:spacing w:after="0" w:line="2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“us”, “our”, “TMC”, “The Metals Company” and the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“Company” when used in the Letter to Shareholders and</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summary information contained at the beginning of this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annual report refer to TMC the metals company Inc. and 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subsidiaries.</w:t>
      </w:r>
    </w:p>
    <w:p>
      <w:pPr>
        <w:sectPr>
          <w:pgSz w:w="12240" w:h="15840" w:orient="portrait"/>
          <w:cols w:equalWidth="0" w:num="1">
            <w:col w:w="9720"/>
          </w:cols>
          <w:pgMar w:left="1440" w:top="740" w:right="1080"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3175</wp:posOffset>
            </wp:positionH>
            <wp:positionV relativeFrom="page">
              <wp:posOffset>0</wp:posOffset>
            </wp:positionV>
            <wp:extent cx="7766050" cy="98361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414">
                      <a:extLst>
                        <a:ext uri="{28A0092B-C50C-407E-A947-70E740481C1C}"/>
                      </a:extLst>
                    </a:blip>
                    <a:srcRect/>
                    <a:stretch>
                      <a:fillRect/>
                    </a:stretch>
                  </pic:blipFill>
                  <pic:spPr bwMode="auto">
                    <a:xfrm>
                      <a:off x="0" y="0"/>
                      <a:ext cx="7766050" cy="9836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960"/>
        <w:spacing w:after="0"/>
        <w:rPr>
          <w:sz w:val="20"/>
          <w:szCs w:val="20"/>
          <w:color w:val="auto"/>
        </w:rPr>
      </w:pPr>
      <w:r>
        <w:rPr>
          <w:rFonts w:ascii="Arial" w:cs="Arial" w:eastAsia="Arial" w:hAnsi="Arial"/>
          <w:sz w:val="48"/>
          <w:szCs w:val="48"/>
          <w:color w:val="FFFFFF"/>
        </w:rPr>
        <w:t>metals.co</w:t>
      </w:r>
    </w:p>
    <w:sectPr>
      <w:pgSz w:w="12240" w:h="15840" w:orient="portrait"/>
      <w:cols w:equalWidth="0" w:num="1">
        <w:col w:w="10100"/>
      </w:cols>
      <w:pgMar w:left="1440" w:top="1440" w:right="700" w:bottom="22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Segoe UI Symbol">
    <w:panose1 w:val="020B0502040204020203"/>
    <w:charset w:val="00"/>
    <w:family w:val="swiss"/>
    <w:pitch w:val="variable"/>
    <w:sig w:usb0="800001E3" w:usb1="1200FFEF" w:usb2="00040000" w:usb3="04000000" w:csb0="00000001" w:csb1="40000000"/>
  </w:font>
  <w:font w:name="Cambria Math">
    <w:panose1 w:val="02040503050406030204"/>
    <w:charset w:val="00"/>
    <w:family w:val="roman"/>
    <w:pitch w:val="variable"/>
    <w:sig w:usb0="E00002FF" w:usb1="420024FF" w:usb2="00000000" w:usb3="00000000" w:csb0="2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F10FD8"/>
    <w:multiLevelType w:val="hybridMultilevel"/>
    <w:lvl w:ilvl="0">
      <w:lvlJc w:val="left"/>
      <w:lvlText w:val="☒"/>
      <w:numFmt w:val="bullet"/>
      <w:start w:val="1"/>
    </w:lvl>
  </w:abstractNum>
  <w:abstractNum w:abstractNumId="1">
    <w:nsid w:val="180115BE"/>
    <w:multiLevelType w:val="hybridMultilevel"/>
    <w:lvl w:ilvl="0">
      <w:lvlJc w:val="left"/>
      <w:lvlText w:val="☐"/>
      <w:numFmt w:val="bullet"/>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
      <w:numFmt w:val="bullet"/>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
      <w:numFmt w:val="bullet"/>
      <w:start w:val="1"/>
    </w:lvl>
  </w:abstractNum>
  <w:abstractNum w:abstractNumId="7">
    <w:nsid w:val="D34B6A8"/>
    <w:multiLevelType w:val="hybridMultilevel"/>
    <w:lvl w:ilvl="0">
      <w:lvlJc w:val="left"/>
      <w:lvlText w:val="(%1)"/>
      <w:numFmt w:val="lowerRoman"/>
      <w:start w:val="1"/>
    </w:lvl>
  </w:abstractNum>
  <w:abstractNum w:abstractNumId="8">
    <w:nsid w:val="10233C99"/>
    <w:multiLevelType w:val="hybridMultilevel"/>
    <w:lvl w:ilvl="0">
      <w:lvlJc w:val="left"/>
      <w:lvlText w:val="(%1)"/>
      <w:numFmt w:val="lowerRoman"/>
      <w:start w:val="2"/>
    </w:lvl>
  </w:abstractNum>
  <w:abstractNum w:abstractNumId="9">
    <w:nsid w:val="3F6AB60F"/>
    <w:multiLevelType w:val="hybridMultilevel"/>
    <w:lvl w:ilvl="0">
      <w:lvlJc w:val="left"/>
      <w:lvlText w:val="(%1)"/>
      <w:numFmt w:val="lowerRoman"/>
      <w:start w:val="3"/>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
      <w:numFmt w:val="bullet"/>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
      <w:numFmt w:val="bullet"/>
      <w:start w:val="1"/>
    </w:lvl>
  </w:abstractNum>
  <w:abstractNum w:abstractNumId="21">
    <w:nsid w:val="1381823A"/>
    <w:multiLevelType w:val="hybridMultilevel"/>
    <w:lvl w:ilvl="0">
      <w:lvlJc w:val="left"/>
      <w:lvlText w:val="●"/>
      <w:numFmt w:val="bullet"/>
      <w:start w:val="1"/>
    </w:lvl>
  </w:abstractNum>
  <w:abstractNum w:abstractNumId="22">
    <w:nsid w:val="5DB70AE5"/>
    <w:multiLevelType w:val="hybridMultilevel"/>
    <w:lvl w:ilvl="0">
      <w:lvlJc w:val="left"/>
      <w:lvlText w:val="%1."/>
      <w:numFmt w:val="upperLetter"/>
      <w:start w:val="8"/>
    </w:lvl>
    <w:lvl w:ilvl="1">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1)"/>
      <w:numFmt w:val="lowerRoman"/>
      <w:start w:val="7"/>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1."/>
      <w:numFmt w:val="upperLetter"/>
      <w:start w:val="22"/>
    </w:lvl>
  </w:abstractNum>
  <w:abstractNum w:abstractNumId="29">
    <w:nsid w:val="6B94764"/>
    <w:multiLevelType w:val="hybridMultilevel"/>
    <w:lvl w:ilvl="0">
      <w:lvlJc w:val="left"/>
      <w:lvlText w:val="●"/>
      <w:numFmt w:val="bullet"/>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
      <w:numFmt w:val="bullet"/>
      <w:start w:val="1"/>
    </w:lvl>
  </w:abstractNum>
  <w:abstractNum w:abstractNumId="32">
    <w:nsid w:val="1EBA5D23"/>
    <w:multiLevelType w:val="hybridMultilevel"/>
    <w:lvl w:ilvl="0">
      <w:lvlJc w:val="left"/>
      <w:lvlText w:val="\emdash "/>
      <w:numFmt w:val="bullet"/>
      <w:start w:val="1"/>
    </w:lvl>
  </w:abstractNum>
  <w:abstractNum w:abstractNumId="33">
    <w:nsid w:val="661E3F1E"/>
    <w:multiLevelType w:val="hybridMultilevel"/>
    <w:lvl w:ilvl="0">
      <w:lvlJc w:val="left"/>
      <w:lvlText w:val="(%1)"/>
      <w:numFmt w:val="lowerRoman"/>
      <w:start w:val="4"/>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1"/>
      <w:numFmt w:val="upperLetter"/>
      <w:start w:val="30"/>
    </w:lvl>
  </w:abstractNum>
  <w:abstractNum w:abstractNumId="41">
    <w:nsid w:val="42963E5A"/>
    <w:multiLevelType w:val="hybridMultilevel"/>
    <w:lvl w:ilvl="0">
      <w:lvlJc w:val="left"/>
      <w:lvlText w:val="*"/>
      <w:numFmt w:val="bullet"/>
      <w:start w:val="1"/>
    </w:lvl>
  </w:abstractNum>
  <w:abstractNum w:abstractNumId="42">
    <w:nsid w:val="A0382C5"/>
    <w:multiLevelType w:val="hybridMultilevel"/>
    <w:lvl w:ilvl="0">
      <w:lvlJc w:val="left"/>
      <w:lvlText w:val="●"/>
      <w:numFmt w:val="bullet"/>
      <w:start w:val="1"/>
    </w:lvl>
  </w:abstractNum>
  <w:abstractNum w:abstractNumId="43">
    <w:nsid w:val="8F2B15E"/>
    <w:multiLevelType w:val="hybridMultilevel"/>
    <w:lvl w:ilvl="0">
      <w:lvlJc w:val="left"/>
      <w:lvlText w:val="●"/>
      <w:numFmt w:val="bullet"/>
      <w:start w:val="1"/>
    </w:lvl>
  </w:abstractNum>
  <w:abstractNum w:abstractNumId="44">
    <w:nsid w:val="1A32234B"/>
    <w:multiLevelType w:val="hybridMultilevel"/>
    <w:lvl w:ilvl="0">
      <w:lvlJc w:val="left"/>
      <w:lvlText w:val="●"/>
      <w:numFmt w:val="bullet"/>
      <w:start w:val="1"/>
    </w:lvl>
  </w:abstractNum>
  <w:abstractNum w:abstractNumId="45">
    <w:nsid w:val="3B0FD379"/>
    <w:multiLevelType w:val="hybridMultilevel"/>
    <w:lvl w:ilvl="0">
      <w:lvlJc w:val="left"/>
      <w:lvlText w:val="●"/>
      <w:numFmt w:val="bullet"/>
      <w:start w:val="1"/>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1"/>
      <w:numFmt w:val="lowerLetter"/>
      <w:start w:val="15"/>
    </w:lvl>
  </w:abstractNum>
  <w:abstractNum w:abstractNumId="48">
    <w:nsid w:val="60B6DF70"/>
    <w:multiLevelType w:val="hybridMultilevel"/>
    <w:lvl w:ilvl="0">
      <w:lvlJc w:val="left"/>
      <w:lvlText w:val="%1"/>
      <w:numFmt w:val="lowerLetter"/>
      <w:start w:val="15"/>
    </w:lvl>
  </w:abstractNum>
  <w:abstractNum w:abstractNumId="49">
    <w:nsid w:val="6A5EE64"/>
    <w:multiLevelType w:val="hybridMultilevel"/>
    <w:lvl w:ilvl="0">
      <w:lvlJc w:val="left"/>
      <w:lvlText w:val="●"/>
      <w:numFmt w:val="bullet"/>
      <w:start w:val="1"/>
    </w:lvl>
    <w:lvl w:ilvl="1">
      <w:lvlJc w:val="left"/>
      <w:lvlText w:val="%2"/>
      <w:numFmt w:val="lowerLetter"/>
      <w:start w:val="15"/>
    </w:lvl>
  </w:abstractNum>
  <w:abstractNum w:abstractNumId="50">
    <w:nsid w:val="14330624"/>
    <w:multiLevelType w:val="hybridMultilevel"/>
    <w:lvl w:ilvl="0">
      <w:lvlJc w:val="left"/>
      <w:lvlText w:val="●"/>
      <w:numFmt w:val="bullet"/>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1."/>
      <w:numFmt w:val="decimal"/>
      <w:start w:val="1"/>
    </w:lvl>
  </w:abstractNum>
  <w:abstractNum w:abstractNumId="55">
    <w:nsid w:val="7FB7E0AA"/>
    <w:multiLevelType w:val="hybridMultilevel"/>
    <w:lvl w:ilvl="0">
      <w:lvlJc w:val="left"/>
      <w:lvlText w:val="%1."/>
      <w:numFmt w:val="decimal"/>
      <w:start w:val="2"/>
    </w:lvl>
  </w:abstractNum>
  <w:abstractNum w:abstractNumId="56">
    <w:nsid w:val="6EB5BD4"/>
    <w:multiLevelType w:val="hybridMultilevel"/>
    <w:lvl w:ilvl="0">
      <w:lvlJc w:val="left"/>
      <w:lvlText w:val="%1."/>
      <w:numFmt w:val="decimal"/>
      <w:start w:val="3"/>
    </w:lvl>
  </w:abstractNum>
  <w:abstractNum w:abstractNumId="57">
    <w:nsid w:val="6F6DD9AC"/>
    <w:multiLevelType w:val="hybridMultilevel"/>
    <w:lvl w:ilvl="0">
      <w:lvlJc w:val="left"/>
      <w:lvlText w:val="%1."/>
      <w:numFmt w:val="lowerRoman"/>
      <w:start w:val="5"/>
    </w:lvl>
  </w:abstractNum>
  <w:abstractNum w:abstractNumId="58">
    <w:nsid w:val="94211F2"/>
    <w:multiLevelType w:val="hybridMultilevel"/>
    <w:lvl w:ilvl="0">
      <w:lvlJc w:val="left"/>
      <w:lvlText w:val="●"/>
      <w:numFmt w:val="bullet"/>
      <w:start w:val="1"/>
    </w:lvl>
  </w:abstractNum>
  <w:abstractNum w:abstractNumId="59">
    <w:nsid w:val="885E1B"/>
    <w:multiLevelType w:val="hybridMultilevel"/>
    <w:lvl w:ilvl="0">
      <w:lvlJc w:val="left"/>
      <w:lvlText w:val="%1."/>
      <w:numFmt w:val="lowerRoman"/>
      <w:start w:val="10"/>
    </w:lvl>
  </w:abstractNum>
  <w:abstractNum w:abstractNumId="60">
    <w:nsid w:val="76272110"/>
    <w:multiLevelType w:val="hybridMultilevel"/>
    <w:lvl w:ilvl="0">
      <w:lvlJc w:val="left"/>
      <w:lvlText w:val="%1."/>
      <w:numFmt w:val="decimal"/>
      <w:start w:val="4"/>
    </w:lvl>
  </w:abstractNum>
  <w:abstractNum w:abstractNumId="61">
    <w:nsid w:val="4C04A8AF"/>
    <w:multiLevelType w:val="hybridMultilevel"/>
    <w:lvl w:ilvl="0">
      <w:lvlJc w:val="left"/>
      <w:lvlText w:val="●"/>
      <w:numFmt w:val="bullet"/>
      <w:start w:val="1"/>
    </w:lvl>
  </w:abstractNum>
  <w:abstractNum w:abstractNumId="62">
    <w:nsid w:val="1716703B"/>
    <w:multiLevelType w:val="hybridMultilevel"/>
    <w:lvl w:ilvl="0">
      <w:lvlJc w:val="left"/>
      <w:lvlText w:val="%1."/>
      <w:numFmt w:val="decimal"/>
      <w:start w:val="5"/>
    </w:lvl>
  </w:abstractNum>
  <w:abstractNum w:abstractNumId="63">
    <w:nsid w:val="14E17E33"/>
    <w:multiLevelType w:val="hybridMultilevel"/>
    <w:lvl w:ilvl="0">
      <w:lvlJc w:val="left"/>
      <w:lvlText w:val="%1."/>
      <w:numFmt w:val="decimal"/>
      <w:start w:val="7"/>
    </w:lvl>
  </w:abstractNum>
  <w:abstractNum w:abstractNumId="64">
    <w:nsid w:val="3222E7CD"/>
    <w:multiLevelType w:val="hybridMultilevel"/>
    <w:lvl w:ilvl="0">
      <w:lvlJc w:val="left"/>
      <w:lvlText w:val="%1."/>
      <w:numFmt w:val="decimal"/>
      <w:start w:val="1"/>
    </w:lvl>
  </w:abstractNum>
  <w:abstractNum w:abstractNumId="65">
    <w:nsid w:val="74DE0EE3"/>
    <w:multiLevelType w:val="hybridMultilevel"/>
    <w:lvl w:ilvl="0">
      <w:lvlJc w:val="left"/>
      <w:lvlText w:val="%1."/>
      <w:numFmt w:val="decimal"/>
      <w:start w:val="8"/>
    </w:lvl>
  </w:abstractNum>
  <w:abstractNum w:abstractNumId="66">
    <w:nsid w:val="68EBC550"/>
    <w:multiLevelType w:val="hybridMultilevel"/>
    <w:lvl w:ilvl="0">
      <w:lvlJc w:val="left"/>
      <w:lvlText w:val="%1."/>
      <w:numFmt w:val="decimal"/>
      <w:start w:val="9"/>
    </w:lvl>
  </w:abstractNum>
  <w:abstractNum w:abstractNumId="67">
    <w:nsid w:val="2DF6D648"/>
    <w:multiLevelType w:val="hybridMultilevel"/>
    <w:lvl w:ilvl="0">
      <w:lvlJc w:val="left"/>
      <w:lvlText w:val="%1."/>
      <w:numFmt w:val="decimal"/>
      <w:start w:val="10"/>
    </w:lvl>
  </w:abstractNum>
  <w:abstractNum w:abstractNumId="68">
    <w:nsid w:val="46B7D447"/>
    <w:multiLevelType w:val="hybridMultilevel"/>
    <w:lvl w:ilvl="0">
      <w:lvlJc w:val="left"/>
      <w:lvlText w:val="●"/>
      <w:numFmt w:val="bullet"/>
      <w:start w:val="1"/>
    </w:lvl>
  </w:abstractNum>
  <w:abstractNum w:abstractNumId="69">
    <w:nsid w:val="4A2AC315"/>
    <w:multiLevelType w:val="hybridMultilevel"/>
    <w:lvl w:ilvl="0">
      <w:lvlJc w:val="left"/>
      <w:lvlText w:val="%1"/>
      <w:numFmt w:val="decimal"/>
      <w:start w:val="1"/>
    </w:lvl>
    <w:lvl w:ilvl="1">
      <w:lvlJc w:val="left"/>
      <w:lvlText w:val="(%2)"/>
      <w:numFmt w:val="decimal"/>
      <w:start w:val="1"/>
    </w:lvl>
  </w:abstractNum>
  <w:abstractNum w:abstractNumId="70">
    <w:nsid w:val="39EE015C"/>
    <w:multiLevelType w:val="hybridMultilevel"/>
    <w:lvl w:ilvl="0">
      <w:lvlJc w:val="left"/>
      <w:lvlText w:val="%1."/>
      <w:numFmt w:val="decimal"/>
      <w:start w:val="12"/>
    </w:lvl>
    <w:lvl w:ilvl="1">
      <w:lvlJc w:val="left"/>
      <w:lvlText w:val="%2"/>
      <w:numFmt w:val="decimal"/>
      <w:start w:val="1"/>
    </w:lvl>
  </w:abstractNum>
  <w:abstractNum w:abstractNumId="71">
    <w:nsid w:val="57FC4FBB"/>
    <w:multiLevelType w:val="hybridMultilevel"/>
    <w:lvl w:ilvl="0">
      <w:lvlJc w:val="left"/>
      <w:lvlText w:val="●"/>
      <w:numFmt w:val="bullet"/>
      <w:start w:val="1"/>
    </w:lvl>
  </w:abstractNum>
  <w:abstractNum w:abstractNumId="72">
    <w:nsid w:val="CC1016F"/>
    <w:multiLevelType w:val="hybridMultilevel"/>
    <w:lvl w:ilvl="0">
      <w:lvlJc w:val="left"/>
      <w:lvlText w:val="●"/>
      <w:numFmt w:val="bullet"/>
      <w:start w:val="1"/>
    </w:lvl>
  </w:abstractNum>
  <w:abstractNum w:abstractNumId="73">
    <w:nsid w:val="43F18422"/>
    <w:multiLevelType w:val="hybridMultilevel"/>
    <w:lvl w:ilvl="0">
      <w:lvlJc w:val="left"/>
      <w:lvlText w:val="(%1)"/>
      <w:numFmt w:val="lowerRoman"/>
      <w:start w:val="1"/>
    </w:lvl>
  </w:abstractNum>
  <w:abstractNum w:abstractNumId="74">
    <w:nsid w:val="60EF0119"/>
    <w:multiLevelType w:val="hybridMultilevel"/>
    <w:lvl w:ilvl="0">
      <w:lvlJc w:val="left"/>
      <w:lvlText w:val="●"/>
      <w:numFmt w:val="bullet"/>
      <w:start w:val="1"/>
    </w:lvl>
  </w:abstractNum>
  <w:abstractNum w:abstractNumId="75">
    <w:nsid w:val="26F324BA"/>
    <w:multiLevelType w:val="hybridMultilevel"/>
    <w:lvl w:ilvl="0">
      <w:lvlJc w:val="left"/>
      <w:lvlText w:val="%1."/>
      <w:numFmt w:val="decimal"/>
      <w:start w:val="14"/>
    </w:lvl>
  </w:abstractNum>
  <w:abstractNum w:abstractNumId="76">
    <w:nsid w:val="7F01579B"/>
    <w:multiLevelType w:val="hybridMultilevel"/>
    <w:lvl w:ilvl="0">
      <w:lvlJc w:val="left"/>
      <w:lvlText w:val="%1."/>
      <w:numFmt w:val="decimal"/>
      <w:start w:val="15"/>
    </w:lvl>
  </w:abstractNum>
  <w:abstractNum w:abstractNumId="77">
    <w:nsid w:val="49DA307D"/>
    <w:multiLevelType w:val="hybridMultilevel"/>
    <w:lvl w:ilvl="0">
      <w:lvlJc w:val="left"/>
      <w:lvlText w:val="(%1)"/>
      <w:numFmt w:val="decimal"/>
      <w:start w:val="1"/>
    </w:lvl>
  </w:abstractNum>
  <w:abstractNum w:abstractNumId="78">
    <w:nsid w:val="7055A5F5"/>
    <w:multiLevelType w:val="hybridMultilevel"/>
    <w:lvl w:ilvl="0">
      <w:lvlJc w:val="left"/>
      <w:lvlText w:val="%1."/>
      <w:numFmt w:val="decimal"/>
      <w:start w:val="1"/>
    </w:lvl>
  </w:abstractNum>
  <w:abstractNum w:abstractNumId="79">
    <w:nsid w:val="5FB8370B"/>
    <w:multiLevelType w:val="hybridMultilevel"/>
    <w:lvl w:ilvl="0">
      <w:lvlJc w:val="left"/>
      <w:lvlText w:val="(%1)"/>
      <w:numFmt w:val="decimal"/>
      <w:start w:val="1"/>
    </w:lvl>
  </w:abstractNum>
  <w:abstractNum w:abstractNumId="80">
    <w:nsid w:val="50801EE1"/>
    <w:multiLevelType w:val="hybridMultilevel"/>
    <w:lvl w:ilvl="0">
      <w:lvlJc w:val="left"/>
      <w:lvlText w:val="●"/>
      <w:numFmt w:val="bullet"/>
      <w:start w:val="1"/>
    </w:lvl>
  </w:abstractNum>
  <w:abstractNum w:abstractNumId="81">
    <w:nsid w:val="488AC1A"/>
    <w:multiLevelType w:val="hybridMultilevel"/>
    <w:lvl w:ilvl="0">
      <w:lvlJc w:val="left"/>
      <w:lvlText w:val="%1."/>
      <w:numFmt w:val="decimal"/>
      <w:start w:val="16"/>
    </w:lvl>
  </w:abstractNum>
  <w:abstractNum w:abstractNumId="82">
    <w:nsid w:val="5FB8011C"/>
    <w:multiLevelType w:val="hybridMultilevel"/>
    <w:lvl w:ilvl="0">
      <w:lvlJc w:val="left"/>
      <w:lvlText w:val="%1."/>
      <w:numFmt w:val="decimal"/>
      <w:start w:val="18"/>
    </w:lvl>
  </w:abstractNum>
  <w:abstractNum w:abstractNumId="83">
    <w:nsid w:val="6AA78F7F"/>
    <w:multiLevelType w:val="hybridMultilevel"/>
    <w:lvl w:ilvl="0">
      <w:lvlJc w:val="left"/>
      <w:lvlText w:val="%1."/>
      <w:numFmt w:val="decimal"/>
      <w:start w:val="19"/>
    </w:lvl>
  </w:abstractNum>
  <w:abstractNum w:abstractNumId="84">
    <w:nsid w:val="7672BD23"/>
    <w:multiLevelType w:val="hybridMultilevel"/>
    <w:lvl w:ilvl="0">
      <w:lvlJc w:val="left"/>
      <w:lvlText w:val="%1."/>
      <w:numFmt w:val="decimal"/>
      <w:start w:val="23"/>
    </w:lvl>
  </w:abstractNum>
  <w:abstractNum w:abstractNumId="85">
    <w:nsid w:val="6FC75AF8"/>
    <w:multiLevelType w:val="hybridMultilevel"/>
    <w:lvl w:ilvl="0">
      <w:lvlJc w:val="left"/>
      <w:lvlText w:val="%1."/>
      <w:numFmt w:val="decimal"/>
      <w:start w:val="24"/>
    </w:lvl>
  </w:abstractNum>
  <w:abstractNum w:abstractNumId="86">
    <w:nsid w:val="6A5F7029"/>
    <w:multiLevelType w:val="hybridMultilevel"/>
    <w:lvl w:ilvl="0">
      <w:lvlJc w:val="left"/>
      <w:lvlText w:val="●"/>
      <w:numFmt w:val="bullet"/>
      <w:start w:val="1"/>
    </w:lvl>
  </w:abstractNum>
  <w:abstractNum w:abstractNumId="87">
    <w:nsid w:val="7D5E18F8"/>
    <w:multiLevelType w:val="hybridMultilevel"/>
    <w:lvl w:ilvl="0">
      <w:lvlJc w:val="left"/>
      <w:lvlText w:val="●"/>
      <w:numFmt w:val="bullet"/>
      <w:start w:val="1"/>
    </w:lvl>
  </w:abstractNum>
  <w:abstractNum w:abstractNumId="88">
    <w:nsid w:val="5F3534A4"/>
    <w:multiLevelType w:val="hybridMultilevel"/>
    <w:lvl w:ilvl="0">
      <w:lvlJc w:val="left"/>
      <w:lvlText w:val="●"/>
      <w:numFmt w:val="bullet"/>
      <w:start w:val="1"/>
    </w:lvl>
  </w:abstractNum>
  <w:abstractNum w:abstractNumId="89">
    <w:nsid w:val="73A1821B"/>
    <w:multiLevelType w:val="hybridMultilevel"/>
    <w:lvl w:ilvl="0">
      <w:lvlJc w:val="left"/>
      <w:lvlText w:val="●"/>
      <w:numFmt w:val="bullet"/>
      <w:start w:val="1"/>
    </w:lvl>
  </w:abstractNum>
  <w:abstractNum w:abstractNumId="90">
    <w:nsid w:val="7DE67713"/>
    <w:multiLevelType w:val="hybridMultilevel"/>
    <w:lvl w:ilvl="0">
      <w:lvlJc w:val="left"/>
      <w:lvlText w:val="●"/>
      <w:numFmt w:val="bullet"/>
      <w:start w:val="1"/>
    </w:lvl>
  </w:abstractNum>
  <w:abstractNum w:abstractNumId="91">
    <w:nsid w:val="555C55B5"/>
    <w:multiLevelType w:val="hybridMultilevel"/>
    <w:lvl w:ilvl="0">
      <w:lvlJc w:val="left"/>
      <w:lvlText w:val="●"/>
      <w:numFmt w:val="bullet"/>
      <w:start w:val="1"/>
    </w:lvl>
  </w:abstractNum>
  <w:abstractNum w:abstractNumId="92">
    <w:nsid w:val="3FA62ACA"/>
    <w:multiLevelType w:val="hybridMultilevel"/>
    <w:lvl w:ilvl="0">
      <w:lvlJc w:val="left"/>
      <w:lvlText w:val="●"/>
      <w:numFmt w:val="bullet"/>
      <w:start w:val="1"/>
    </w:lvl>
  </w:abstractNum>
  <w:abstractNum w:abstractNumId="93">
    <w:nsid w:val="14FCE74E"/>
    <w:multiLevelType w:val="hybridMultilevel"/>
    <w:lvl w:ilvl="0">
      <w:lvlJc w:val="left"/>
      <w:lvlText w:val="(%1)"/>
      <w:numFmt w:val="decimal"/>
      <w:start w:val="1"/>
    </w:lvl>
  </w:abstractNum>
  <w:abstractNum w:abstractNumId="94">
    <w:nsid w:val="6A3DD3E8"/>
    <w:multiLevelType w:val="hybridMultilevel"/>
    <w:lvl w:ilvl="0">
      <w:lvlJc w:val="left"/>
      <w:lvlText w:val="(%1)"/>
      <w:numFmt w:val="decimal"/>
      <w:start w:val="1"/>
    </w:lvl>
  </w:abstractNum>
  <w:abstractNum w:abstractNumId="95">
    <w:nsid w:val="71C91298"/>
    <w:multiLevelType w:val="hybridMultilevel"/>
    <w:lvl w:ilvl="0">
      <w:lvlJc w:val="left"/>
      <w:lvlText w:val="(%1)"/>
      <w:numFmt w:val="lowerLetter"/>
      <w:start w:val="26"/>
    </w:lvl>
  </w:abstractNum>
  <w:abstractNum w:abstractNumId="96">
    <w:nsid w:val="9DAF632"/>
    <w:multiLevelType w:val="hybridMultilevel"/>
    <w:lvl w:ilvl="0">
      <w:lvlJc w:val="left"/>
      <w:lvlText w:val="(%1)"/>
      <w:numFmt w:val="lowerRoman"/>
      <w:start w:val="2"/>
    </w:lvl>
  </w:abstractNum>
  <w:abstractNum w:abstractNumId="97">
    <w:nsid w:val="53299938"/>
    <w:multiLevelType w:val="hybridMultilevel"/>
    <w:lvl w:ilvl="0">
      <w:lvlJc w:val="left"/>
      <w:lvlText w:val="●"/>
      <w:numFmt w:val="bullet"/>
      <w:start w:val="1"/>
    </w:lvl>
  </w:abstractNum>
  <w:abstractNum w:abstractNumId="98">
    <w:nsid w:val="1FBFE8E0"/>
    <w:multiLevelType w:val="hybridMultilevel"/>
    <w:lvl w:ilvl="0">
      <w:lvlJc w:val="left"/>
      <w:lvlText w:val="(%1)"/>
      <w:numFmt w:val="decimal"/>
      <w:start w:val="1"/>
    </w:lvl>
  </w:abstractNum>
  <w:abstractNum w:abstractNumId="99">
    <w:nsid w:val="5092CA79"/>
    <w:multiLevelType w:val="hybridMultilevel"/>
    <w:lvl w:ilvl="0">
      <w:lvlJc w:val="left"/>
      <w:lvlText w:val="(%1)"/>
      <w:numFmt w:val="decimal"/>
      <w:start w:val="1"/>
    </w:lvl>
  </w:abstractNum>
  <w:abstractNum w:abstractNumId="100">
    <w:nsid w:val="1D545C4D"/>
    <w:multiLevelType w:val="hybridMultilevel"/>
    <w:lvl w:ilvl="0">
      <w:lvlJc w:val="left"/>
      <w:lvlText w:val="●"/>
      <w:numFmt w:val="bullet"/>
      <w:start w:val="1"/>
    </w:lvl>
  </w:abstractNum>
  <w:abstractNum w:abstractNumId="101">
    <w:nsid w:val="59ADEA3D"/>
    <w:multiLevelType w:val="hybridMultilevel"/>
    <w:lvl w:ilvl="0">
      <w:lvlJc w:val="left"/>
      <w:lvlText w:val="●"/>
      <w:numFmt w:val="bullet"/>
      <w:start w:val="1"/>
    </w:lvl>
  </w:abstractNum>
  <w:abstractNum w:abstractNumId="102">
    <w:nsid w:val="288F1A34"/>
    <w:multiLevelType w:val="hybridMultilevel"/>
    <w:lvl w:ilvl="0">
      <w:lvlJc w:val="left"/>
      <w:lvlText w:val="*"/>
      <w:numFmt w:val="bullet"/>
      <w:start w:val="1"/>
    </w:lvl>
  </w:abstractNum>
  <w:abstractNum w:abstractNumId="103">
    <w:nsid w:val="2A155DBC"/>
    <w:multiLevelType w:val="hybridMultilevel"/>
    <w:lvl w:ilvl="0">
      <w:lvlJc w:val="left"/>
      <w:lvlText w:val="(%1)"/>
      <w:numFmt w:val="decimal"/>
      <w:start w:val="1"/>
    </w:lvl>
  </w:abstractNum>
  <w:abstractNum w:abstractNumId="104">
    <w:nsid w:val="1D9F6E5F"/>
    <w:multiLevelType w:val="hybridMultilevel"/>
    <w:lvl w:ilvl="0">
      <w:lvlJc w:val="left"/>
      <w:lvlText w:val="(%1)"/>
      <w:numFmt w:val="decimal"/>
      <w:start w:val="4"/>
    </w:lvl>
  </w:abstractNum>
  <w:abstractNum w:abstractNumId="105">
    <w:nsid w:val="97E1B4E"/>
    <w:multiLevelType w:val="hybridMultilevel"/>
    <w:lvl w:ilvl="0">
      <w:lvlJc w:val="left"/>
      <w:lvlText w:val="(%1)"/>
      <w:numFmt w:val="decimal"/>
      <w:start w:val="1"/>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1)"/>
      <w:numFmt w:val="decimal"/>
      <w:start w:val="1"/>
    </w:lvl>
  </w:abstractNum>
  <w:abstractNum w:abstractNumId="109">
    <w:nsid w:val="415E286C"/>
    <w:multiLevelType w:val="hybridMultilevel"/>
    <w:lvl w:ilvl="0">
      <w:lvlJc w:val="left"/>
      <w:lvlText w:val="†"/>
      <w:numFmt w:val="bullet"/>
      <w:start w:val="1"/>
    </w:lvl>
  </w:abstractNum>
  <w:abstractNum w:abstractNumId="110">
    <w:nsid w:val="7C58FD05"/>
    <w:multiLevelType w:val="hybridMultilevel"/>
    <w:lvl w:ilvl="0">
      <w:lvlJc w:val="left"/>
      <w:lvlText w:val="††"/>
      <w:numFmt w:val="bullet"/>
      <w:start w:val="1"/>
    </w:lvl>
  </w:abstractNum>
  <w:abstractNum w:abstractNumId="111">
    <w:nsid w:val="23D86AAC"/>
    <w:multiLevelType w:val="hybridMultilevel"/>
    <w:lvl w:ilvl="0">
      <w:lvlJc w:val="left"/>
      <w:lvlText w:val="+"/>
      <w:numFmt w:val="bullet"/>
      <w:start w:val="1"/>
    </w:lvl>
  </w:abstractNum>
  <w:abstractNum w:abstractNumId="112">
    <w:nsid w:val="45E6D48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2023-04-20T19:10:47Z</dcterms:created>
  <dcterms:modified xsi:type="dcterms:W3CDTF">2023-04-20T19:10:47Z</dcterms:modified>
</cp:coreProperties>
</file>