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394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9394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8"/>
          <w:szCs w:val="48"/>
          <w:color w:val="FFFFFF"/>
        </w:rPr>
        <w:t xml:space="preserve">annual report </w:t>
      </w:r>
      <w:r>
        <w:rPr>
          <w:rFonts w:ascii="Arial" w:cs="Arial" w:eastAsia="Arial" w:hAnsi="Arial"/>
          <w:sz w:val="59"/>
          <w:szCs w:val="59"/>
          <w:color w:val="F8D004"/>
        </w:rPr>
        <w:t>|</w:t>
      </w:r>
      <w:r>
        <w:rPr>
          <w:rFonts w:ascii="Arial" w:cs="Arial" w:eastAsia="Arial" w:hAnsi="Arial"/>
          <w:sz w:val="48"/>
          <w:szCs w:val="48"/>
          <w:color w:val="FFFFFF"/>
        </w:rPr>
        <w:t xml:space="preserve"> 2023</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999490</wp:posOffset>
            </wp:positionH>
            <wp:positionV relativeFrom="page">
              <wp:posOffset>0</wp:posOffset>
            </wp:positionV>
            <wp:extent cx="1591945"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1945" cy="10058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365760</wp:posOffset>
                </wp:positionH>
                <wp:positionV relativeFrom="paragraph">
                  <wp:posOffset>16510</wp:posOffset>
                </wp:positionV>
                <wp:extent cx="7524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2700">
                          <a:solidFill>
                            <a:srgbClr val="F8D004"/>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pt,1.3pt" to="88.05pt,1.3pt" o:allowincell="f" strokecolor="#F8D004" strokeweight="1pt"/>
            </w:pict>
          </mc:Fallback>
        </mc:AlternateConten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Chairman &amp; CEO</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E"/>
        </w:rPr>
        <w:t>TMC Annual Report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4906645</wp:posOffset>
                </wp:positionH>
                <wp:positionV relativeFrom="paragraph">
                  <wp:posOffset>-578485</wp:posOffset>
                </wp:positionV>
                <wp:extent cx="158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35pt,-45.5499pt" to="387.6pt,-45.5499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4912995</wp:posOffset>
                </wp:positionH>
                <wp:positionV relativeFrom="paragraph">
                  <wp:posOffset>-578485</wp:posOffset>
                </wp:positionV>
                <wp:extent cx="31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6.85pt,-45.5499pt" to="387.1pt,-45.5499pt" o:allowincell="f" strokecolor="#000000" strokeweight="0.25pt"/>
            </w:pict>
          </mc:Fallback>
        </mc:AlternateConten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8D004"/>
        </w:rPr>
        <w:t>2023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78" w:lineRule="exact"/>
        <w:rPr>
          <w:sz w:val="20"/>
          <w:szCs w:val="20"/>
          <w:color w:val="auto"/>
        </w:rPr>
      </w:pPr>
    </w:p>
    <w:p>
      <w:pPr>
        <w:ind w:right="120"/>
        <w:spacing w:after="0" w:line="343" w:lineRule="auto"/>
        <w:rPr>
          <w:sz w:val="20"/>
          <w:szCs w:val="20"/>
          <w:color w:val="auto"/>
        </w:rPr>
      </w:pPr>
      <w:r>
        <w:rPr>
          <w:rFonts w:ascii="Arial" w:cs="Arial" w:eastAsia="Arial" w:hAnsi="Arial"/>
          <w:sz w:val="17"/>
          <w:szCs w:val="17"/>
          <w:color w:val="auto"/>
        </w:rPr>
        <w:t>Over the past 12 months, we have made a great deal of progress towards understanding the future impacts of our nodule projects, achieving several significant milestones.</w:t>
      </w:r>
    </w:p>
    <w:p>
      <w:pPr>
        <w:spacing w:after="0" w:line="94" w:lineRule="exact"/>
        <w:rPr>
          <w:sz w:val="20"/>
          <w:szCs w:val="20"/>
          <w:color w:val="auto"/>
        </w:rPr>
      </w:pPr>
    </w:p>
    <w:p>
      <w:pPr>
        <w:ind w:right="80"/>
        <w:spacing w:after="0" w:line="322" w:lineRule="auto"/>
        <w:rPr>
          <w:sz w:val="20"/>
          <w:szCs w:val="20"/>
          <w:color w:val="auto"/>
        </w:rPr>
      </w:pPr>
      <w:r>
        <w:rPr>
          <w:rFonts w:ascii="Arial" w:cs="Arial" w:eastAsia="Arial" w:hAnsi="Arial"/>
          <w:sz w:val="17"/>
          <w:szCs w:val="17"/>
          <w:color w:val="auto"/>
        </w:rPr>
        <w:t>The NORI-D project has seen considerable advancements this past year. Key environmental data gathered as part of our 2022 test mining campaign provided early insights into the absolute impacts of our operations on the seafloor including for sediment plumes, which are now known definitively to hug the seafloor without lofting into the water column where they could be transported great distances as had been claimed. We also began the process of publishing data from our 22 prior offshore campaigns, in what we believe is the most comprehensive dataset ever gathered in the deep-sea. This data, now stored in global repositories such as the ISA DeepData and UNESCO’s OBIS database, underpins seven peer-reviewed research papers, with more expected to follow.</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A comprehensive lifecycle assessment conducted by Benchmark Mineral Intelligence, underpinned by an independent third-party review, underscores our commitment to deliver a net-positive impact for the planet. This assessment detailed the comparative advantages of our NORI-D project, which was found to outperform land-based routes for producing nickel, copper and cobalt in almost every impact category analyzed versus conventional land-based metal sourcing methods. A supplementary study by Benchmark on the impacts of mining for nickel and cobalt on land-based carbon sinks further investigated the lifecycle carbon footprint of metal production by quantifying the impacts of removing forests, none of which are found on the abyssal seafloor.</w:t>
      </w:r>
    </w:p>
    <w:p>
      <w:pPr>
        <w:spacing w:after="0" w:line="128" w:lineRule="exact"/>
        <w:rPr>
          <w:sz w:val="20"/>
          <w:szCs w:val="20"/>
          <w:color w:val="auto"/>
        </w:rPr>
      </w:pPr>
    </w:p>
    <w:p>
      <w:pPr>
        <w:ind w:right="120"/>
        <w:spacing w:after="0" w:line="303" w:lineRule="auto"/>
        <w:rPr>
          <w:sz w:val="20"/>
          <w:szCs w:val="20"/>
          <w:color w:val="auto"/>
        </w:rPr>
      </w:pPr>
      <w:r>
        <w:rPr>
          <w:rFonts w:ascii="Arial" w:cs="Arial" w:eastAsia="Arial" w:hAnsi="Arial"/>
          <w:sz w:val="18"/>
          <w:szCs w:val="18"/>
          <w:color w:val="auto"/>
        </w:rPr>
        <w:t>Our collaboration with a consortium led by Australia’s national science agency, CSIRO, to define environmental thresholds for operations is setting new standards for the industry. These efforts, coupled with our active participation in creating an ESG Handbook for Marine Minerals, reinforce our leadership in advocating for responsible environmental management practices within the marine minerals sector.</w:t>
      </w:r>
    </w:p>
    <w:p>
      <w:pPr>
        <w:spacing w:after="0" w:line="126" w:lineRule="exact"/>
        <w:rPr>
          <w:sz w:val="20"/>
          <w:szCs w:val="20"/>
          <w:color w:val="auto"/>
        </w:rPr>
      </w:pPr>
    </w:p>
    <w:p>
      <w:pPr>
        <w:ind w:right="300"/>
        <w:spacing w:after="0" w:line="303" w:lineRule="auto"/>
        <w:rPr>
          <w:sz w:val="20"/>
          <w:szCs w:val="20"/>
          <w:color w:val="auto"/>
        </w:rPr>
      </w:pPr>
      <w:r>
        <w:rPr>
          <w:rFonts w:ascii="Arial" w:cs="Arial" w:eastAsia="Arial" w:hAnsi="Arial"/>
          <w:sz w:val="18"/>
          <w:szCs w:val="18"/>
          <w:color w:val="auto"/>
        </w:rPr>
        <w:t>We expect NORI’s exploitation application to the ISA to be the world’s first application of its kind. In the year ahead, we will harness the data we have gathered over more than a decade to advance our Environmental Impact Statement (EIS), Environmental Management and Monitoring Plan (EMMP), and Social Impact Statement as we look to deliver the highest-quality application possible.</w:t>
      </w:r>
    </w:p>
    <w:p>
      <w:pPr>
        <w:spacing w:after="0" w:line="126" w:lineRule="exact"/>
        <w:rPr>
          <w:sz w:val="20"/>
          <w:szCs w:val="20"/>
          <w:color w:val="auto"/>
        </w:rPr>
      </w:pPr>
    </w:p>
    <w:p>
      <w:pPr>
        <w:ind w:right="60"/>
        <w:spacing w:after="0" w:line="303" w:lineRule="auto"/>
        <w:rPr>
          <w:sz w:val="20"/>
          <w:szCs w:val="20"/>
          <w:color w:val="auto"/>
        </w:rPr>
      </w:pPr>
      <w:r>
        <w:rPr>
          <w:rFonts w:ascii="Arial" w:cs="Arial" w:eastAsia="Arial" w:hAnsi="Arial"/>
          <w:sz w:val="18"/>
          <w:szCs w:val="18"/>
          <w:color w:val="auto"/>
        </w:rPr>
        <w:t>We are also encouraged by the pace of U.S. initiatives aimed at supporting domestic processing and refining of polymetallic nodules, as well as re-invigorated calls for the U.S. to ratify the Law of the Sea treaty and take advantage of Member State rights that come with the ratification. Meanwhile, two new applications for deep-sea mineral exploration have recently been submitted to the ISA by the government of India.</w:t>
      </w:r>
    </w:p>
    <w:p>
      <w:pPr>
        <w:spacing w:after="0" w:line="126" w:lineRule="exact"/>
        <w:rPr>
          <w:sz w:val="20"/>
          <w:szCs w:val="20"/>
          <w:color w:val="auto"/>
        </w:rPr>
      </w:pPr>
    </w:p>
    <w:p>
      <w:pPr>
        <w:ind w:right="880"/>
        <w:spacing w:after="0" w:line="311" w:lineRule="auto"/>
        <w:rPr>
          <w:sz w:val="20"/>
          <w:szCs w:val="20"/>
          <w:color w:val="auto"/>
        </w:rPr>
      </w:pPr>
      <w:r>
        <w:rPr>
          <w:rFonts w:ascii="Arial" w:cs="Arial" w:eastAsia="Arial" w:hAnsi="Arial"/>
          <w:sz w:val="18"/>
          <w:szCs w:val="18"/>
          <w:color w:val="auto"/>
        </w:rPr>
        <w:t>Finally, I would like to thank our dedicated partners and team members for their extraordinary efforts in helping us advance this important mission.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1203325" cy="3708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1203325"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16510</wp:posOffset>
                </wp:positionV>
                <wp:extent cx="7524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2700">
                          <a:solidFill>
                            <a:srgbClr val="F8D004"/>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pt" to="59.6pt,1.3pt" o:allowincell="f" strokecolor="#F8D004" strokeweight="1pt"/>
            </w:pict>
          </mc:Fallback>
        </mc:AlternateConten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April 18 , 2024</w:t>
      </w:r>
    </w:p>
    <w:p>
      <w:pPr>
        <w:sectPr>
          <w:pgSz w:w="12240" w:h="15840" w:orient="portrait"/>
          <w:cols w:equalWidth="0" w:num="2">
            <w:col w:w="2340" w:space="720"/>
            <w:col w:w="7020"/>
          </w:cols>
          <w:pgMar w:left="1440" w:top="727" w:right="720" w:bottom="55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40"/>
          <w:szCs w:val="40"/>
          <w:color w:val="F8D004"/>
        </w:rPr>
        <w:t>Company Highlights</w:t>
      </w:r>
    </w:p>
    <w:p>
      <w:pPr>
        <w:spacing w:after="0" w:line="82" w:lineRule="exact"/>
        <w:rPr>
          <w:sz w:val="20"/>
          <w:szCs w:val="20"/>
          <w:color w:val="auto"/>
        </w:rPr>
      </w:pPr>
    </w:p>
    <w:p>
      <w:pPr>
        <w:ind w:left="560" w:right="220"/>
        <w:spacing w:after="0" w:line="264" w:lineRule="auto"/>
        <w:rPr>
          <w:sz w:val="20"/>
          <w:szCs w:val="20"/>
          <w:color w:val="auto"/>
        </w:rPr>
      </w:pPr>
      <w:r>
        <w:rPr>
          <w:rFonts w:ascii="Arial" w:cs="Arial" w:eastAsia="Arial" w:hAnsi="Arial"/>
          <w:sz w:val="18"/>
          <w:szCs w:val="18"/>
          <w:color w:val="auto"/>
        </w:rPr>
        <w:t>Update on Application Timeline and Costs, Increased Production Capacity</w:t>
      </w:r>
    </w:p>
    <w:p>
      <w:pPr>
        <w:spacing w:after="0" w:line="205" w:lineRule="exact"/>
        <w:rPr>
          <w:sz w:val="20"/>
          <w:szCs w:val="20"/>
          <w:color w:val="auto"/>
        </w:rPr>
      </w:pPr>
    </w:p>
    <w:p>
      <w:pPr>
        <w:ind w:left="560"/>
        <w:spacing w:after="0" w:line="320" w:lineRule="auto"/>
        <w:rPr>
          <w:sz w:val="20"/>
          <w:szCs w:val="20"/>
          <w:color w:val="auto"/>
        </w:rPr>
      </w:pPr>
      <w:r>
        <w:rPr>
          <w:rFonts w:ascii="Arial" w:cs="Arial" w:eastAsia="Arial" w:hAnsi="Arial"/>
          <w:sz w:val="17"/>
          <w:szCs w:val="17"/>
          <w:color w:val="auto"/>
        </w:rPr>
        <w:t>In August 2023, we provided a corporate update on our expected project development timeline, production capacity and application costs for our NORI Area D Nodule Project following the recent ISA Council decisions on a roadmap to deliver final rules, regulations and procedures, also known as the Mining Code. Our wholly-owned subsidiary NORI intends to submit an application to the ISA for an exploitation contract for NORI Area D following the July 2024 meeting of the ISA. Assuming an approximate one-year review process, NORI now expects to enter commercial production near the end of the first quarter of 2026 if the application is approved. NORI and strategic partner Allseas plan for an increased production capacity for the Project Zero Offshore Nodule Collection System, using the Hidden Gem vessel, from an estimated 1.3 million wet tonnes to up to an estimated 3.0 million wet tonnes per annum, a potential increase of 130%.</w:t>
      </w:r>
    </w:p>
    <w:p>
      <w:pPr>
        <w:spacing w:after="0" w:line="200" w:lineRule="exact"/>
        <w:rPr>
          <w:sz w:val="20"/>
          <w:szCs w:val="20"/>
          <w:color w:val="auto"/>
        </w:rPr>
      </w:pPr>
    </w:p>
    <w:p>
      <w:pPr>
        <w:spacing w:after="0" w:line="281" w:lineRule="exact"/>
        <w:rPr>
          <w:sz w:val="20"/>
          <w:szCs w:val="20"/>
          <w:color w:val="auto"/>
        </w:rPr>
      </w:pPr>
    </w:p>
    <w:p>
      <w:pPr>
        <w:ind w:left="560" w:right="260"/>
        <w:spacing w:after="0" w:line="259" w:lineRule="auto"/>
        <w:rPr>
          <w:sz w:val="20"/>
          <w:szCs w:val="20"/>
          <w:color w:val="auto"/>
        </w:rPr>
      </w:pPr>
      <w:r>
        <w:rPr>
          <w:rFonts w:ascii="Arial" w:cs="Arial" w:eastAsia="Arial" w:hAnsi="Arial"/>
          <w:sz w:val="18"/>
          <w:szCs w:val="18"/>
          <w:color w:val="auto"/>
        </w:rPr>
        <w:t>TMC Subsidiary NORI Concludes Key Offshore Research Campaign, Evaluating Seafloor Ecosystem Function a Year Post Nodule Collection Test</w:t>
      </w:r>
    </w:p>
    <w:p>
      <w:pPr>
        <w:spacing w:after="0" w:line="210" w:lineRule="exact"/>
        <w:rPr>
          <w:sz w:val="20"/>
          <w:szCs w:val="20"/>
          <w:color w:val="auto"/>
        </w:rPr>
      </w:pPr>
    </w:p>
    <w:p>
      <w:pPr>
        <w:ind w:left="560"/>
        <w:spacing w:after="0" w:line="302" w:lineRule="auto"/>
        <w:rPr>
          <w:sz w:val="20"/>
          <w:szCs w:val="20"/>
          <w:color w:val="auto"/>
        </w:rPr>
      </w:pPr>
      <w:r>
        <w:rPr>
          <w:rFonts w:ascii="Arial" w:cs="Arial" w:eastAsia="Arial" w:hAnsi="Arial"/>
          <w:sz w:val="18"/>
          <w:szCs w:val="18"/>
          <w:color w:val="auto"/>
        </w:rPr>
        <w:t>In December 2023, we announced the completion of one of the two offshore scientific research campaigns to assess seafloor impacts and recovery rates twelve months after the pilot nodule collection system test conducted by NORI. NORI’s December offshore scientific research campaign successfully gathered crucial environmental data on ecosystem recovery and functioning to further support our application for a commercial exploitation contract, and the preliminary qualitative assessments are encouraging.</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E"/>
        </w:rPr>
        <w:t>TMC Annual Report</w:t>
      </w:r>
      <w:r>
        <w:rPr>
          <w:sz w:val="20"/>
          <w:szCs w:val="20"/>
          <w:color w:val="auto"/>
        </w:rPr>
        <w:tab/>
      </w:r>
      <w:r>
        <w:rPr>
          <w:rFonts w:ascii="Arial" w:cs="Arial" w:eastAsia="Arial" w:hAnsi="Arial"/>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NORI Shares Preliminary Findings on Environmental Impacts of Pilot Nodule Collection System Test</w:t>
      </w:r>
    </w:p>
    <w:p>
      <w:pPr>
        <w:spacing w:after="0" w:line="205"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In November 2023, we began sharing emerging data on the impacts of seafloor sediment plumes, which show that the plume forms a gravity-driven turbidity current that hugs the contours of the seafloor and does not loft up into the water column where it could possibly be transported longer distances by ocean currents. A key component to understanding our environmental impacts, the data builds upon earlier laboratory predictions and in-field verifications from prior collector tests.</w:t>
      </w:r>
    </w:p>
    <w:p>
      <w:pPr>
        <w:spacing w:after="0" w:line="200" w:lineRule="exact"/>
        <w:rPr>
          <w:sz w:val="20"/>
          <w:szCs w:val="20"/>
          <w:color w:val="auto"/>
        </w:rPr>
      </w:pPr>
    </w:p>
    <w:p>
      <w:pPr>
        <w:spacing w:after="0" w:line="28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Extensive Deep-sea Environmental Data Submission to the ISA</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In March 2023, we announced that NORI had begun the process of submitting data collected during 17 offshore resource definition and environmental baseline campaigns in NORI Area D to the DeepData platform, an open database of contractor data managed by the ISA. Collected using a suite of high-tech equipment, the dataset submitted to the ISA includes over 1,400 biological samples from extensive boxcore and multicore sampling, and over 8,000 images analysed for benthic megafauna captured by remotely operated vehicles from two offshore campaigns. This first submission of benthic data, which includes over 270,000 occurrences, will provide a significant expansion to the biological holdings contained within the DeepData platform.</w:t>
      </w:r>
    </w:p>
    <w:p>
      <w:pPr>
        <w:sectPr>
          <w:pgSz w:w="12240" w:h="15840" w:orient="portrait"/>
          <w:cols w:equalWidth="0" w:num="2">
            <w:col w:w="5080" w:space="420"/>
            <w:col w:w="4580"/>
          </w:cols>
          <w:pgMar w:left="1440" w:top="727" w:right="720" w:bottom="436"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999490</wp:posOffset>
            </wp:positionH>
            <wp:positionV relativeFrom="page">
              <wp:posOffset>0</wp:posOffset>
            </wp:positionV>
            <wp:extent cx="12700" cy="10058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12700" cy="10058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r>
    </w:p>
    <w:p>
      <w:pPr>
        <w:spacing w:after="0" w:line="352" w:lineRule="exact"/>
        <w:rPr>
          <w:sz w:val="20"/>
          <w:szCs w:val="20"/>
          <w:color w:val="auto"/>
        </w:rPr>
      </w:pPr>
    </w:p>
    <w:p>
      <w:pPr>
        <w:ind w:left="560" w:right="100"/>
        <w:spacing w:after="0" w:line="264" w:lineRule="auto"/>
        <w:rPr>
          <w:sz w:val="20"/>
          <w:szCs w:val="20"/>
          <w:color w:val="auto"/>
        </w:rPr>
      </w:pPr>
      <w:r>
        <w:rPr>
          <w:rFonts w:ascii="Arial" w:cs="Arial" w:eastAsia="Arial" w:hAnsi="Arial"/>
          <w:sz w:val="18"/>
          <w:szCs w:val="18"/>
          <w:color w:val="auto"/>
        </w:rPr>
        <w:t>Publication of NORI Area D Data to Ocean Biodiversity Information System</w:t>
      </w:r>
    </w:p>
    <w:p>
      <w:pPr>
        <w:spacing w:after="0" w:line="205" w:lineRule="exact"/>
        <w:rPr>
          <w:sz w:val="20"/>
          <w:szCs w:val="20"/>
          <w:color w:val="auto"/>
        </w:rPr>
      </w:pPr>
    </w:p>
    <w:p>
      <w:pPr>
        <w:ind w:left="560"/>
        <w:spacing w:after="0" w:line="321" w:lineRule="auto"/>
        <w:rPr>
          <w:sz w:val="20"/>
          <w:szCs w:val="20"/>
          <w:color w:val="auto"/>
        </w:rPr>
      </w:pPr>
      <w:r>
        <w:rPr>
          <w:rFonts w:ascii="Arial" w:cs="Arial" w:eastAsia="Arial" w:hAnsi="Arial"/>
          <w:sz w:val="17"/>
          <w:szCs w:val="17"/>
          <w:color w:val="auto"/>
        </w:rPr>
        <w:t>In July 2023, we announced that data from two offshore environmental research campaigns conducted by NORI had been published by the ISA to the Ocean Biodiversity Information System (OBIS), the world’s largest scientific knowledge base on the diversity, distribution and abundance of marine organisms. NORI is now the single largest contributor of biological occurrence data to the OBIS ISA-node, providing approximately 60% of all records. With much more data to be submitted, we expect NORI Area D will be one of the most highly characterized deep-sea areas in the region that hosts approximately 90% of all nodule exploration.</w:t>
      </w:r>
    </w:p>
    <w:p>
      <w:pPr>
        <w:spacing w:after="0" w:line="200" w:lineRule="exact"/>
        <w:rPr>
          <w:sz w:val="20"/>
          <w:szCs w:val="20"/>
          <w:color w:val="auto"/>
        </w:rPr>
      </w:pPr>
    </w:p>
    <w:p>
      <w:pPr>
        <w:spacing w:after="0" w:line="268" w:lineRule="exact"/>
        <w:rPr>
          <w:sz w:val="20"/>
          <w:szCs w:val="20"/>
          <w:color w:val="auto"/>
        </w:rPr>
      </w:pPr>
    </w:p>
    <w:p>
      <w:pPr>
        <w:ind w:left="560" w:right="860"/>
        <w:spacing w:after="0" w:line="264" w:lineRule="auto"/>
        <w:rPr>
          <w:sz w:val="20"/>
          <w:szCs w:val="20"/>
          <w:color w:val="auto"/>
        </w:rPr>
      </w:pPr>
      <w:r>
        <w:rPr>
          <w:rFonts w:ascii="Arial" w:cs="Arial" w:eastAsia="Arial" w:hAnsi="Arial"/>
          <w:sz w:val="18"/>
          <w:szCs w:val="18"/>
          <w:color w:val="auto"/>
        </w:rPr>
        <w:t>Next Phase of Adaptive Management System Development Announced</w:t>
      </w:r>
    </w:p>
    <w:p>
      <w:pPr>
        <w:spacing w:after="0" w:line="205" w:lineRule="exact"/>
        <w:rPr>
          <w:sz w:val="20"/>
          <w:szCs w:val="20"/>
          <w:color w:val="auto"/>
        </w:rPr>
      </w:pPr>
    </w:p>
    <w:p>
      <w:pPr>
        <w:ind w:left="560" w:right="120"/>
        <w:spacing w:after="0" w:line="319" w:lineRule="auto"/>
        <w:rPr>
          <w:sz w:val="20"/>
          <w:szCs w:val="20"/>
          <w:color w:val="auto"/>
        </w:rPr>
      </w:pPr>
      <w:r>
        <w:rPr>
          <w:rFonts w:ascii="Arial" w:cs="Arial" w:eastAsia="Arial" w:hAnsi="Arial"/>
          <w:sz w:val="17"/>
          <w:szCs w:val="17"/>
          <w:color w:val="auto"/>
        </w:rPr>
        <w:t>Following the delivery of a prototype Digital Twin from Kongsberg Digital in 2022 and its deployment during the collector tests in 2022, we announced in September 2023 that we had entered into the next phase of our relationship with Kongsberg Digital to further develop the Digital Twin which will integrate multiple data streams from our future production system and is designed</w:t>
      </w:r>
    </w:p>
    <w:p>
      <w:pPr>
        <w:spacing w:after="0" w:line="1" w:lineRule="exact"/>
        <w:rPr>
          <w:sz w:val="20"/>
          <w:szCs w:val="20"/>
          <w:color w:val="auto"/>
        </w:rPr>
      </w:pPr>
    </w:p>
    <w:p>
      <w:pPr>
        <w:ind w:left="560" w:right="20"/>
        <w:spacing w:after="0" w:line="322" w:lineRule="auto"/>
        <w:rPr>
          <w:sz w:val="20"/>
          <w:szCs w:val="20"/>
          <w:color w:val="auto"/>
        </w:rPr>
      </w:pPr>
      <w:r>
        <w:rPr>
          <w:rFonts w:ascii="Arial" w:cs="Arial" w:eastAsia="Arial" w:hAnsi="Arial"/>
          <w:sz w:val="17"/>
          <w:szCs w:val="17"/>
          <w:color w:val="auto"/>
        </w:rPr>
        <w:t>to enable 3D visualization of our deep-sea operating environment, providing ‘eyes and ears’ to the regulator and stakeholders. The Digital Twin is a core component of our broader Adaptive Management System (AMS) which is designed to utilise AI and hybrid machine learning capabilities of the Digital Twin with expert analysis to ensure operations remain within environmental impact thresholds, a system with potential applications for resource operations at sea and on 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151765</wp:posOffset>
            </wp:positionV>
            <wp:extent cx="2889250" cy="265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2889250" cy="2651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E"/>
        </w:rPr>
        <w:t>TMC Annual Report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3357245</wp:posOffset>
                </wp:positionH>
                <wp:positionV relativeFrom="paragraph">
                  <wp:posOffset>-578485</wp:posOffset>
                </wp:positionV>
                <wp:extent cx="1587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35pt,-45.5499pt" to="265.6pt,-45.5499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3363595</wp:posOffset>
                </wp:positionH>
                <wp:positionV relativeFrom="paragraph">
                  <wp:posOffset>-578485</wp:posOffset>
                </wp:positionV>
                <wp:extent cx="317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85pt,-45.5499pt" to="265.1pt,-45.5499pt" o:allowincell="f" strokecolor="#000000" strokeweight="0.25pt"/>
            </w:pict>
          </mc:Fallback>
        </mc:AlternateConten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8D004"/>
        </w:rPr>
        <w:t>Research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Benchmark LCA of NORI-D Project</w:t>
      </w:r>
    </w:p>
    <w:p>
      <w:pPr>
        <w:spacing w:after="0" w:line="233" w:lineRule="exact"/>
        <w:rPr>
          <w:sz w:val="20"/>
          <w:szCs w:val="20"/>
          <w:color w:val="auto"/>
        </w:rPr>
      </w:pPr>
    </w:p>
    <w:p>
      <w:pPr>
        <w:ind w:right="20"/>
        <w:spacing w:after="0" w:line="302" w:lineRule="auto"/>
        <w:rPr>
          <w:sz w:val="20"/>
          <w:szCs w:val="20"/>
          <w:color w:val="auto"/>
        </w:rPr>
      </w:pPr>
      <w:r>
        <w:rPr>
          <w:rFonts w:ascii="Arial" w:cs="Arial" w:eastAsia="Arial" w:hAnsi="Arial"/>
          <w:sz w:val="18"/>
          <w:szCs w:val="18"/>
          <w:color w:val="auto"/>
        </w:rPr>
        <w:t>In March 2023, we announced that leading lithium-ion battery supply chain research firm, Benchmark Mineral Intelligence (“Benchmark”), had completed an independent third-party lifecycle assessment (“LCA”) of the environmental impacts of our NORI Area D project, comparing the production of key energy transition metals (nickel, cobalt and copper) from the NORI Area D project to key land-based production routes for the same metals. Benchmark’s LCA shows the NORI Area D project model performed better in almost every impact category analysed than all the land-based routes chosen by Benchmark for comparison.</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Benchmark Carbon Sinks Study</w:t>
      </w:r>
    </w:p>
    <w:p>
      <w:pPr>
        <w:spacing w:after="0" w:line="233" w:lineRule="exact"/>
        <w:rPr>
          <w:sz w:val="20"/>
          <w:szCs w:val="20"/>
          <w:color w:val="auto"/>
        </w:rPr>
      </w:pPr>
    </w:p>
    <w:p>
      <w:pPr>
        <w:ind w:right="80"/>
        <w:spacing w:after="0" w:line="319" w:lineRule="auto"/>
        <w:rPr>
          <w:sz w:val="20"/>
          <w:szCs w:val="20"/>
          <w:color w:val="auto"/>
        </w:rPr>
      </w:pPr>
      <w:r>
        <w:rPr>
          <w:rFonts w:ascii="Arial" w:cs="Arial" w:eastAsia="Arial" w:hAnsi="Arial"/>
          <w:sz w:val="17"/>
          <w:szCs w:val="17"/>
          <w:color w:val="auto"/>
        </w:rPr>
        <w:t>Forest ecosystems play a critical role in the carbon cycle, yet mining’s impacts on their carbon sequestration services often goes unaccounted for in studies. In 2023, we commissioned Benchmark to address some of these gaps in information in a follow-up study by looking at mining in the top nickel and cobalt producing regions of Sulawesi, Indonesia and Katanga, DRC. When accounting for forest removal, the lifecycle global warming potential (GWP) per kilogram of nickel mined in Indonesia, Benchmark’s earlier LCA would increase by between</w:t>
      </w:r>
    </w:p>
    <w:p>
      <w:pPr>
        <w:spacing w:after="0" w:line="1" w:lineRule="exact"/>
        <w:rPr>
          <w:sz w:val="20"/>
          <w:szCs w:val="20"/>
          <w:color w:val="auto"/>
        </w:rPr>
      </w:pPr>
    </w:p>
    <w:p>
      <w:pPr>
        <w:ind w:right="280"/>
        <w:spacing w:after="0" w:line="306" w:lineRule="auto"/>
        <w:rPr>
          <w:sz w:val="20"/>
          <w:szCs w:val="20"/>
          <w:color w:val="auto"/>
        </w:rPr>
      </w:pPr>
      <w:r>
        <w:rPr>
          <w:rFonts w:ascii="Arial" w:cs="Arial" w:eastAsia="Arial" w:hAnsi="Arial"/>
          <w:sz w:val="18"/>
          <w:szCs w:val="18"/>
          <w:color w:val="auto"/>
        </w:rPr>
        <w:t>7-49% per kilogram of Indonesian nickel (depending on production routes) and by 35% per kilogram of cobalt mined in DRC.</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8D004"/>
        </w:rPr>
        <w:t>Industry Updates</w:t>
      </w:r>
    </w:p>
    <w:p>
      <w:pPr>
        <w:spacing w:after="0" w:line="9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MoUs with PAMCO to Evaluate Nodule Processing at Existing Facility</w:t>
      </w:r>
    </w:p>
    <w:p>
      <w:pPr>
        <w:spacing w:after="0" w:line="205" w:lineRule="exact"/>
        <w:rPr>
          <w:sz w:val="20"/>
          <w:szCs w:val="20"/>
          <w:color w:val="auto"/>
        </w:rPr>
      </w:pPr>
    </w:p>
    <w:p>
      <w:pPr>
        <w:ind w:right="60"/>
        <w:spacing w:after="0" w:line="321" w:lineRule="auto"/>
        <w:rPr>
          <w:sz w:val="20"/>
          <w:szCs w:val="20"/>
          <w:color w:val="auto"/>
        </w:rPr>
      </w:pPr>
      <w:r>
        <w:rPr>
          <w:rFonts w:ascii="Arial" w:cs="Arial" w:eastAsia="Arial" w:hAnsi="Arial"/>
          <w:sz w:val="17"/>
          <w:szCs w:val="17"/>
          <w:color w:val="auto"/>
        </w:rPr>
        <w:t>In March 2023, we announced that we had entered into a non-binding MoU with PAMCO of Japan, to evaluate the toll treatment and conversion of polymetallic nodules into battery metal feedstock at PAMCO’s Hachinohe, Japan smelting facility. This announcement was followed with the signing of a binding MoU with PAMCO in November 2023 for a feasibility study to process 1.3 million tonnes of wet polymetallic nodules per year at their existing smelting facility in Hachinohe, Japan. The agreement underscores our stated capital-light strategy to get into initial commercial production swiftly and with lower upfront capital by re-using existing onshore production assets.</w:t>
      </w:r>
    </w:p>
    <w:p>
      <w:pPr>
        <w:sectPr>
          <w:pgSz w:w="12240" w:h="15840" w:orient="portrait"/>
          <w:cols w:equalWidth="0" w:num="2">
            <w:col w:w="5060" w:space="440"/>
            <w:col w:w="4580"/>
          </w:cols>
          <w:pgMar w:left="1440" w:top="727" w:right="720" w:bottom="932"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40"/>
          <w:szCs w:val="40"/>
          <w:color w:val="F8D004"/>
        </w:rPr>
        <w:t>Sponsoring States</w:t>
      </w:r>
    </w:p>
    <w:p>
      <w:pPr>
        <w:spacing w:after="0" w:line="122" w:lineRule="exact"/>
        <w:rPr>
          <w:sz w:val="20"/>
          <w:szCs w:val="20"/>
          <w:color w:val="auto"/>
        </w:rPr>
      </w:pPr>
    </w:p>
    <w:p>
      <w:pPr>
        <w:jc w:val="both"/>
        <w:ind w:left="560" w:right="20"/>
        <w:spacing w:after="0" w:line="327" w:lineRule="auto"/>
        <w:rPr>
          <w:sz w:val="20"/>
          <w:szCs w:val="20"/>
          <w:color w:val="auto"/>
        </w:rPr>
      </w:pPr>
      <w:r>
        <w:rPr>
          <w:rFonts w:ascii="Arial" w:cs="Arial" w:eastAsia="Arial" w:hAnsi="Arial"/>
          <w:sz w:val="17"/>
          <w:szCs w:val="17"/>
          <w:color w:val="auto"/>
        </w:rPr>
        <w:t>TMC and its subsidiaries, NORI and TOML, are supporting a range of educational and community-led initiatives in the Republic of Nauru and the Kingdom of Tonga. Some of the highlights from 2023 are shared below.</w:t>
      </w:r>
    </w:p>
    <w:p>
      <w:pPr>
        <w:spacing w:after="0" w:line="200" w:lineRule="exact"/>
        <w:rPr>
          <w:sz w:val="20"/>
          <w:szCs w:val="20"/>
          <w:color w:val="auto"/>
        </w:rPr>
      </w:pP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Education Programs</w:t>
      </w:r>
    </w:p>
    <w:p>
      <w:pPr>
        <w:spacing w:after="0" w:line="233" w:lineRule="exact"/>
        <w:rPr>
          <w:sz w:val="20"/>
          <w:szCs w:val="20"/>
          <w:color w:val="auto"/>
        </w:rPr>
      </w:pPr>
    </w:p>
    <w:p>
      <w:pPr>
        <w:ind w:left="560"/>
        <w:spacing w:after="0" w:line="302" w:lineRule="auto"/>
        <w:rPr>
          <w:sz w:val="20"/>
          <w:szCs w:val="20"/>
          <w:color w:val="auto"/>
        </w:rPr>
      </w:pPr>
      <w:r>
        <w:rPr>
          <w:rFonts w:ascii="Arial" w:cs="Arial" w:eastAsia="Arial" w:hAnsi="Arial"/>
          <w:sz w:val="18"/>
          <w:szCs w:val="18"/>
          <w:color w:val="auto"/>
        </w:rPr>
        <w:t>In 2023, NORI supported the undergraduate studies of five students through scholarships at the University of the South Pacific’s Laucala Campus in Suva, Fiji. In addition to its support for Nauruan students, NORI supported a further five developing state students in their studies at USP as part of its obligations as an ISA contractor, as well as one offshore traineeship.</w:t>
      </w:r>
    </w:p>
    <w:p>
      <w:pPr>
        <w:spacing w:after="0" w:line="129" w:lineRule="exact"/>
        <w:rPr>
          <w:sz w:val="20"/>
          <w:szCs w:val="20"/>
          <w:color w:val="auto"/>
        </w:rPr>
      </w:pPr>
    </w:p>
    <w:p>
      <w:pPr>
        <w:ind w:left="560" w:right="140"/>
        <w:spacing w:after="0" w:line="322" w:lineRule="auto"/>
        <w:rPr>
          <w:sz w:val="20"/>
          <w:szCs w:val="20"/>
          <w:color w:val="auto"/>
        </w:rPr>
      </w:pPr>
      <w:r>
        <w:rPr>
          <w:rFonts w:ascii="Arial" w:cs="Arial" w:eastAsia="Arial" w:hAnsi="Arial"/>
          <w:sz w:val="17"/>
          <w:szCs w:val="17"/>
          <w:color w:val="auto"/>
        </w:rPr>
        <w:t>In Tonga, TOML supported the undergraduate studies of seven Tongan students through scholarships at the University of the South Pacific’s Laucala Campus in Suva, Fiji. In addition to its support for Tongan students, TOML supported a further four developing state students in their studies at USP as part of its obligations as an ISA contractor, as well as one offshore traineeship. TOML also provides secondary school scholarships in Tonga, supporting 16 students in 2023.</w:t>
      </w:r>
    </w:p>
    <w:p>
      <w:pPr>
        <w:spacing w:after="0" w:line="20" w:lineRule="exact"/>
        <w:rPr>
          <w:sz w:val="20"/>
          <w:szCs w:val="20"/>
          <w:color w:val="auto"/>
        </w:rPr>
      </w:pPr>
      <w:r>
        <w:rPr>
          <w:sz w:val="20"/>
          <w:szCs w:val="20"/>
          <w:color w:val="auto"/>
        </w:rPr>
        <w:br w:type="column"/>
      </w:r>
    </w:p>
    <w:p>
      <w:pPr>
        <w:jc w:val="right"/>
        <w:spacing w:after="0"/>
        <w:tabs>
          <w:tab w:leader="none" w:pos="60" w:val="left"/>
        </w:tabs>
        <w:rPr>
          <w:sz w:val="20"/>
          <w:szCs w:val="20"/>
          <w:color w:val="auto"/>
        </w:rPr>
      </w:pPr>
      <w:r>
        <w:rPr>
          <w:rFonts w:ascii="Arial" w:cs="Arial" w:eastAsia="Arial" w:hAnsi="Arial"/>
          <w:sz w:val="16"/>
          <w:szCs w:val="16"/>
          <w:color w:val="A29E9E"/>
        </w:rPr>
        <w:t>TMC Annual Report</w:t>
      </w:r>
      <w:r>
        <w:rPr>
          <w:sz w:val="20"/>
          <w:szCs w:val="20"/>
          <w:color w:val="auto"/>
        </w:rPr>
        <w:tab/>
      </w:r>
      <w:r>
        <w:rPr>
          <w:rFonts w:ascii="Arial" w:cs="Arial" w:eastAsia="Arial" w:hAnsi="Arial"/>
          <w:sz w:val="14"/>
          <w:szCs w:val="14"/>
          <w:color w:val="auto"/>
        </w:rPr>
        <w:t>5</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News &amp; Reports</w:t>
      </w:r>
    </w:p>
    <w:p>
      <w:pPr>
        <w:spacing w:after="0" w:line="233" w:lineRule="exact"/>
        <w:rPr>
          <w:sz w:val="20"/>
          <w:szCs w:val="20"/>
          <w:color w:val="auto"/>
        </w:rPr>
      </w:pPr>
    </w:p>
    <w:p>
      <w:pPr>
        <w:jc w:val="both"/>
        <w:ind w:right="560"/>
        <w:spacing w:after="0" w:line="306" w:lineRule="auto"/>
        <w:rPr>
          <w:sz w:val="20"/>
          <w:szCs w:val="20"/>
          <w:color w:val="auto"/>
        </w:rPr>
      </w:pPr>
      <w:r>
        <w:rPr>
          <w:rFonts w:ascii="Arial" w:cs="Arial" w:eastAsia="Arial" w:hAnsi="Arial"/>
          <w:sz w:val="18"/>
          <w:szCs w:val="18"/>
          <w:i w:val="1"/>
          <w:iCs w:val="1"/>
          <w:color w:val="auto"/>
        </w:rPr>
        <w:t>Thirty-One Members of the U.S. Congress Call Upon Pentagon to Develop Plan for Processing Deep-Sea Polymetallic Nodules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8"/>
          <w:szCs w:val="18"/>
          <w:color w:val="auto"/>
        </w:rPr>
        <w:t>In December 2023, we welcomed a letter by thirty-one Members of the U.S. House of Representatives calling upon the U.S. Department of Defense to address the national security implications of deep-sea nodule collection as part of its mandate to ensure the stability and strength of critical minerals used for defense and clean energy technologies like batteries and renewable energy infrastructure.</w:t>
      </w:r>
    </w:p>
    <w:p>
      <w:pPr>
        <w:spacing w:after="0" w:line="129" w:lineRule="exact"/>
        <w:rPr>
          <w:sz w:val="20"/>
          <w:szCs w:val="20"/>
          <w:color w:val="auto"/>
        </w:rPr>
      </w:pPr>
    </w:p>
    <w:p>
      <w:pPr>
        <w:ind w:right="400"/>
        <w:spacing w:after="0" w:line="343" w:lineRule="auto"/>
        <w:rPr>
          <w:sz w:val="20"/>
          <w:szCs w:val="20"/>
          <w:color w:val="auto"/>
        </w:rPr>
      </w:pPr>
      <w:r>
        <w:rPr>
          <w:rFonts w:ascii="Arial" w:cs="Arial" w:eastAsia="Arial" w:hAnsi="Arial"/>
          <w:sz w:val="17"/>
          <w:szCs w:val="17"/>
          <w:i w:val="1"/>
          <w:iCs w:val="1"/>
          <w:color w:val="auto"/>
        </w:rPr>
        <w:t>Mining.com – NORI and TOML Ranked as World’s Two Largest Nickel Projects For Second Year Running.</w:t>
      </w:r>
    </w:p>
    <w:p>
      <w:pPr>
        <w:spacing w:after="0" w:line="94" w:lineRule="exact"/>
        <w:rPr>
          <w:sz w:val="20"/>
          <w:szCs w:val="20"/>
          <w:color w:val="auto"/>
        </w:rPr>
      </w:pPr>
    </w:p>
    <w:p>
      <w:pPr>
        <w:ind w:right="160"/>
        <w:spacing w:after="0" w:line="304" w:lineRule="auto"/>
        <w:rPr>
          <w:sz w:val="20"/>
          <w:szCs w:val="20"/>
          <w:color w:val="auto"/>
        </w:rPr>
      </w:pPr>
      <w:r>
        <w:rPr>
          <w:rFonts w:ascii="Arial" w:cs="Arial" w:eastAsia="Arial" w:hAnsi="Arial"/>
          <w:sz w:val="18"/>
          <w:szCs w:val="18"/>
          <w:color w:val="auto"/>
        </w:rPr>
        <w:t>In May 2023, Mining.com ranked the NORI and TOML projects as the world’s two largest nickel projects, with more contained nickel than any other nickel development project on the planet.</w:t>
      </w:r>
    </w:p>
    <w:p>
      <w:pPr>
        <w:spacing w:after="0" w:line="124" w:lineRule="exact"/>
        <w:rPr>
          <w:sz w:val="20"/>
          <w:szCs w:val="20"/>
          <w:color w:val="auto"/>
        </w:rPr>
      </w:pPr>
    </w:p>
    <w:p>
      <w:pPr>
        <w:ind w:right="420"/>
        <w:spacing w:after="0" w:line="311" w:lineRule="auto"/>
        <w:rPr>
          <w:sz w:val="20"/>
          <w:szCs w:val="20"/>
          <w:color w:val="auto"/>
        </w:rPr>
      </w:pPr>
      <w:r>
        <w:rPr>
          <w:rFonts w:ascii="Arial" w:cs="Arial" w:eastAsia="Arial" w:hAnsi="Arial"/>
          <w:sz w:val="18"/>
          <w:szCs w:val="18"/>
          <w:i w:val="1"/>
          <w:iCs w:val="1"/>
          <w:color w:val="auto"/>
        </w:rPr>
        <w:t>The Economist – Deep-sea mining may soon ease the world’s battery-metal shortage</w:t>
      </w:r>
    </w:p>
    <w:p>
      <w:pPr>
        <w:spacing w:after="0" w:line="117" w:lineRule="exact"/>
        <w:rPr>
          <w:sz w:val="20"/>
          <w:szCs w:val="20"/>
          <w:color w:val="auto"/>
        </w:rPr>
      </w:pPr>
    </w:p>
    <w:p>
      <w:pPr>
        <w:ind w:right="160"/>
        <w:spacing w:after="0" w:line="323" w:lineRule="auto"/>
        <w:rPr>
          <w:sz w:val="20"/>
          <w:szCs w:val="20"/>
          <w:color w:val="auto"/>
        </w:rPr>
      </w:pPr>
      <w:r>
        <w:rPr>
          <w:rFonts w:ascii="Arial" w:cs="Arial" w:eastAsia="Arial" w:hAnsi="Arial"/>
          <w:sz w:val="17"/>
          <w:szCs w:val="17"/>
          <w:color w:val="auto"/>
        </w:rPr>
        <w:t>In a new analysis of the nodule industry, The Economist compared the environmental impacts of sourcing nickel from the rainforests of Indonesia to those of collecting polymetallic nodules from the abyssal zone of the Clarion Clipperton Zone in the Pacific Ocean. As the paper’s subhead reads: “taking nickel from rainforests destroys 30 times more life than getting it from the depths.”</w:t>
      </w:r>
    </w:p>
    <w:p>
      <w:pPr>
        <w:sectPr>
          <w:pgSz w:w="12240" w:h="15840" w:orient="portrait"/>
          <w:cols w:equalWidth="0" w:num="2">
            <w:col w:w="5120" w:space="380"/>
            <w:col w:w="4580"/>
          </w:cols>
          <w:pgMar w:left="1440" w:top="727" w:right="720" w:bottom="1440" w:gutter="0" w:footer="0" w:header="0"/>
        </w:sectPr>
      </w:pPr>
    </w:p>
    <w:bookmarkStart w:id="5" w:name="page6"/>
    <w:bookmarkEnd w:id="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830580</wp:posOffset>
                </wp:positionH>
                <wp:positionV relativeFrom="page">
                  <wp:posOffset>1162685</wp:posOffset>
                </wp:positionV>
                <wp:extent cx="611060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32918">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5.4pt,91.55pt" to="546.55pt,91.55pt" o:allowincell="f" strokecolor="#000000" strokeweight="2.592pt">
                <w10:wrap anchorx="page" anchory="page"/>
              </v:line>
            </w:pict>
          </mc:Fallback>
        </mc:AlternateContent>
        <mc:AlternateContent>
          <mc:Choice Requires="wps">
            <w:drawing>
              <wp:anchor simplePos="0" relativeHeight="251657728" behindDoc="1" locked="0" layoutInCell="0" allowOverlap="1">
                <wp:simplePos x="0" y="0"/>
                <wp:positionH relativeFrom="page">
                  <wp:posOffset>830580</wp:posOffset>
                </wp:positionH>
                <wp:positionV relativeFrom="page">
                  <wp:posOffset>1216025</wp:posOffset>
                </wp:positionV>
                <wp:extent cx="611060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8227">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5.4pt,95.75pt" to="546.55pt,95.75pt" o:allowincell="f" strokecolor="#000000" strokeweight="0.6478pt">
                <w10:wrap anchorx="page" anchory="page"/>
              </v:line>
            </w:pict>
          </mc:Fallback>
        </mc:AlternateContent>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32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5"/>
        <w:spacing w:after="0" w:line="212"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(Mark One)</w:t>
      </w:r>
    </w:p>
    <w:p>
      <w:pPr>
        <w:spacing w:after="0" w:line="61" w:lineRule="exact"/>
        <w:rPr>
          <w:sz w:val="20"/>
          <w:szCs w:val="20"/>
          <w:color w:val="auto"/>
        </w:rPr>
      </w:pPr>
    </w:p>
    <w:p>
      <w:pPr>
        <w:ind w:left="3726" w:right="2560" w:hanging="3726"/>
        <w:spacing w:after="0" w:line="330" w:lineRule="auto"/>
        <w:tabs>
          <w:tab w:leader="none" w:pos="31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4"/>
          <w:szCs w:val="14"/>
          <w:color w:val="auto"/>
        </w:rPr>
        <w:t>For the fiscal year ended December 31, 2023</w:t>
      </w:r>
    </w:p>
    <w:p>
      <w:pPr>
        <w:ind w:left="4746"/>
        <w:spacing w:after="0"/>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or</w:t>
      </w:r>
    </w:p>
    <w:p>
      <w:pPr>
        <w:spacing w:after="0" w:line="83" w:lineRule="exact"/>
        <w:rPr>
          <w:sz w:val="20"/>
          <w:szCs w:val="20"/>
          <w:color w:val="auto"/>
        </w:rPr>
      </w:pPr>
    </w:p>
    <w:p>
      <w:pPr>
        <w:ind w:left="306" w:hanging="306"/>
        <w:spacing w:after="0"/>
        <w:tabs>
          <w:tab w:leader="none" w:pos="306"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7" w:lineRule="exact"/>
        <w:rPr>
          <w:sz w:val="20"/>
          <w:szCs w:val="20"/>
          <w:color w:val="auto"/>
        </w:rPr>
      </w:pPr>
    </w:p>
    <w:tbl>
      <w:tblPr>
        <w:tblLayout w:type="fixed"/>
        <w:tblInd w:w="3786"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2"/>
              </w:rPr>
              <w:t>to</w:t>
            </w:r>
          </w:p>
        </w:tc>
      </w:tr>
      <w:tr>
        <w:trPr>
          <w:trHeight w:val="20"/>
        </w:trPr>
        <w:tc>
          <w:tcPr>
            <w:tcW w:w="16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2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8"/>
              </w:rPr>
              <w:t>Commission file number: 001-39281</w:t>
            </w:r>
          </w:p>
        </w:tc>
        <w:tc>
          <w:tcPr>
            <w:tcW w:w="100" w:type="dxa"/>
            <w:vAlign w:val="bottom"/>
          </w:tcPr>
          <w:p>
            <w:pPr>
              <w:spacing w:after="0"/>
              <w:rPr>
                <w:sz w:val="21"/>
                <w:szCs w:val="21"/>
                <w:color w:val="auto"/>
              </w:rPr>
            </w:pPr>
          </w:p>
        </w:tc>
      </w:tr>
    </w:tbl>
    <w:p>
      <w:pPr>
        <w:spacing w:after="0" w:line="3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1"/>
          <w:szCs w:val="21"/>
          <w:b w:val="1"/>
          <w:bCs w:val="1"/>
          <w:color w:val="auto"/>
        </w:rPr>
        <w:t>TMC THE METALS COMPANY INC.</w:t>
      </w:r>
    </w:p>
    <w:p>
      <w:pPr>
        <w:spacing w:after="0" w:line="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4" w:lineRule="exact"/>
        <w:rPr>
          <w:sz w:val="20"/>
          <w:szCs w:val="20"/>
          <w:color w:val="auto"/>
        </w:rPr>
      </w:pPr>
    </w:p>
    <w:tbl>
      <w:tblPr>
        <w:tblLayout w:type="fixed"/>
        <w:tblInd w:w="266" w:type="dxa"/>
        <w:tblCellMar>
          <w:top w:w="0" w:type="dxa"/>
          <w:left w:w="0" w:type="dxa"/>
          <w:bottom w:w="0" w:type="dxa"/>
          <w:right w:w="0" w:type="dxa"/>
        </w:tblCellMar>
      </w:tblPr>
      <w:tr>
        <w:trPr>
          <w:trHeight w:val="161"/>
        </w:trPr>
        <w:tc>
          <w:tcPr>
            <w:tcW w:w="3760" w:type="dxa"/>
            <w:vAlign w:val="bottom"/>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8"/>
              </w:rPr>
              <w:t>British Columbia, Canada</w:t>
            </w:r>
          </w:p>
        </w:tc>
        <w:tc>
          <w:tcPr>
            <w:tcW w:w="1860" w:type="dxa"/>
            <w:vAlign w:val="bottom"/>
          </w:tcPr>
          <w:p>
            <w:pPr>
              <w:spacing w:after="0"/>
              <w:rPr>
                <w:sz w:val="13"/>
                <w:szCs w:val="13"/>
                <w:color w:val="auto"/>
              </w:rPr>
            </w:pPr>
          </w:p>
        </w:tc>
        <w:tc>
          <w:tcPr>
            <w:tcW w:w="3240" w:type="dxa"/>
            <w:vAlign w:val="bottom"/>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0" w:type="dxa"/>
            <w:vAlign w:val="bottom"/>
          </w:tcPr>
          <w:p>
            <w:pPr>
              <w:spacing w:after="0"/>
              <w:rPr>
                <w:sz w:val="1"/>
                <w:szCs w:val="1"/>
                <w:color w:val="auto"/>
              </w:rPr>
            </w:pPr>
          </w:p>
        </w:tc>
      </w:tr>
      <w:tr>
        <w:trPr>
          <w:trHeight w:val="143"/>
        </w:trPr>
        <w:tc>
          <w:tcPr>
            <w:tcW w:w="3760" w:type="dxa"/>
            <w:vAlign w:val="bottom"/>
          </w:tcPr>
          <w:p>
            <w:pPr>
              <w:jc w:val="center"/>
              <w:ind w:left="451"/>
              <w:spacing w:after="0" w:line="143" w:lineRule="exact"/>
              <w:rPr>
                <w:sz w:val="20"/>
                <w:szCs w:val="20"/>
                <w:color w:val="auto"/>
              </w:rPr>
            </w:pPr>
            <w:r>
              <w:rPr>
                <w:rFonts w:ascii="Times New Roman" w:cs="Times New Roman" w:eastAsia="Times New Roman" w:hAnsi="Times New Roman"/>
                <w:sz w:val="14"/>
                <w:szCs w:val="14"/>
                <w:i w:val="1"/>
                <w:iCs w:val="1"/>
                <w:color w:val="auto"/>
                <w:w w:val="98"/>
              </w:rPr>
              <w:t>(State or other jurisdiction</w:t>
            </w:r>
          </w:p>
        </w:tc>
        <w:tc>
          <w:tcPr>
            <w:tcW w:w="1860" w:type="dxa"/>
            <w:vAlign w:val="bottom"/>
          </w:tcPr>
          <w:p>
            <w:pPr>
              <w:spacing w:after="0"/>
              <w:rPr>
                <w:sz w:val="12"/>
                <w:szCs w:val="12"/>
                <w:color w:val="auto"/>
              </w:rPr>
            </w:pPr>
          </w:p>
        </w:tc>
        <w:tc>
          <w:tcPr>
            <w:tcW w:w="3240" w:type="dxa"/>
            <w:vAlign w:val="bottom"/>
          </w:tcPr>
          <w:p>
            <w:pPr>
              <w:jc w:val="center"/>
              <w:ind w:right="531"/>
              <w:spacing w:after="0" w:line="143" w:lineRule="exact"/>
              <w:rPr>
                <w:sz w:val="20"/>
                <w:szCs w:val="20"/>
                <w:color w:val="auto"/>
              </w:rPr>
            </w:pPr>
            <w:r>
              <w:rPr>
                <w:rFonts w:ascii="Times New Roman" w:cs="Times New Roman" w:eastAsia="Times New Roman" w:hAnsi="Times New Roman"/>
                <w:sz w:val="14"/>
                <w:szCs w:val="14"/>
                <w:i w:val="1"/>
                <w:iCs w:val="1"/>
                <w:color w:val="auto"/>
                <w:w w:val="97"/>
              </w:rPr>
              <w:t>(I.R.S. Employer Identification No.)</w:t>
            </w:r>
          </w:p>
        </w:tc>
        <w:tc>
          <w:tcPr>
            <w:tcW w:w="0" w:type="dxa"/>
            <w:vAlign w:val="bottom"/>
          </w:tcPr>
          <w:p>
            <w:pPr>
              <w:spacing w:after="0"/>
              <w:rPr>
                <w:sz w:val="1"/>
                <w:szCs w:val="1"/>
                <w:color w:val="auto"/>
              </w:rPr>
            </w:pPr>
          </w:p>
        </w:tc>
      </w:tr>
      <w:tr>
        <w:trPr>
          <w:trHeight w:val="183"/>
        </w:trPr>
        <w:tc>
          <w:tcPr>
            <w:tcW w:w="3760" w:type="dxa"/>
            <w:vAlign w:val="bottom"/>
          </w:tcPr>
          <w:p>
            <w:pPr>
              <w:jc w:val="center"/>
              <w:ind w:left="451"/>
              <w:spacing w:after="0"/>
              <w:rPr>
                <w:sz w:val="20"/>
                <w:szCs w:val="20"/>
                <w:color w:val="auto"/>
              </w:rPr>
            </w:pPr>
            <w:r>
              <w:rPr>
                <w:rFonts w:ascii="Times New Roman" w:cs="Times New Roman" w:eastAsia="Times New Roman" w:hAnsi="Times New Roman"/>
                <w:sz w:val="14"/>
                <w:szCs w:val="14"/>
                <w:i w:val="1"/>
                <w:iCs w:val="1"/>
                <w:color w:val="auto"/>
                <w:w w:val="97"/>
              </w:rPr>
              <w:t>of incorporation or organization)</w:t>
            </w:r>
          </w:p>
        </w:tc>
        <w:tc>
          <w:tcPr>
            <w:tcW w:w="18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60" w:type="dxa"/>
            <w:vAlign w:val="bottom"/>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7"/>
              </w:rPr>
              <w:t>595 Howe Street, 10th Floor</w:t>
            </w:r>
          </w:p>
        </w:tc>
        <w:tc>
          <w:tcPr>
            <w:tcW w:w="1860" w:type="dxa"/>
            <w:vAlign w:val="bottom"/>
          </w:tcPr>
          <w:p>
            <w:pPr>
              <w:spacing w:after="0"/>
              <w:rPr>
                <w:sz w:val="15"/>
                <w:szCs w:val="15"/>
                <w:color w:val="auto"/>
              </w:rPr>
            </w:pPr>
          </w:p>
        </w:tc>
        <w:tc>
          <w:tcPr>
            <w:tcW w:w="3240" w:type="dxa"/>
            <w:vAlign w:val="bottom"/>
            <w:vMerge w:val="restart"/>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w w:val="96"/>
              </w:rPr>
              <w:t>V6C 2T5</w:t>
            </w:r>
          </w:p>
        </w:tc>
        <w:tc>
          <w:tcPr>
            <w:tcW w:w="0" w:type="dxa"/>
            <w:vAlign w:val="bottom"/>
          </w:tcPr>
          <w:p>
            <w:pPr>
              <w:spacing w:after="0"/>
              <w:rPr>
                <w:sz w:val="1"/>
                <w:szCs w:val="1"/>
                <w:color w:val="auto"/>
              </w:rPr>
            </w:pPr>
          </w:p>
        </w:tc>
      </w:tr>
      <w:tr>
        <w:trPr>
          <w:trHeight w:val="144"/>
        </w:trPr>
        <w:tc>
          <w:tcPr>
            <w:tcW w:w="3760" w:type="dxa"/>
            <w:vAlign w:val="bottom"/>
          </w:tcPr>
          <w:p>
            <w:pPr>
              <w:jc w:val="center"/>
              <w:ind w:left="451"/>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Vancouver, British Columbia</w:t>
            </w:r>
          </w:p>
        </w:tc>
        <w:tc>
          <w:tcPr>
            <w:tcW w:w="1860" w:type="dxa"/>
            <w:vAlign w:val="bottom"/>
          </w:tcPr>
          <w:p>
            <w:pPr>
              <w:spacing w:after="0"/>
              <w:rPr>
                <w:sz w:val="12"/>
                <w:szCs w:val="12"/>
                <w:color w:val="auto"/>
              </w:rPr>
            </w:pPr>
          </w:p>
        </w:tc>
        <w:tc>
          <w:tcPr>
            <w:tcW w:w="3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60" w:type="dxa"/>
            <w:vAlign w:val="bottom"/>
          </w:tcPr>
          <w:p>
            <w:pPr>
              <w:jc w:val="center"/>
              <w:ind w:left="451"/>
              <w:spacing w:after="0"/>
              <w:rPr>
                <w:sz w:val="20"/>
                <w:szCs w:val="20"/>
                <w:color w:val="auto"/>
              </w:rPr>
            </w:pPr>
            <w:r>
              <w:rPr>
                <w:rFonts w:ascii="Times New Roman" w:cs="Times New Roman" w:eastAsia="Times New Roman" w:hAnsi="Times New Roman"/>
                <w:sz w:val="14"/>
                <w:szCs w:val="14"/>
                <w:i w:val="1"/>
                <w:iCs w:val="1"/>
                <w:color w:val="auto"/>
                <w:w w:val="98"/>
              </w:rPr>
              <w:t>(Address of principal executive offices)</w:t>
            </w:r>
          </w:p>
        </w:tc>
        <w:tc>
          <w:tcPr>
            <w:tcW w:w="1860" w:type="dxa"/>
            <w:vAlign w:val="bottom"/>
            <w:vMerge w:val="restart"/>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(574) 252-9333</w:t>
            </w:r>
          </w:p>
        </w:tc>
        <w:tc>
          <w:tcPr>
            <w:tcW w:w="3240" w:type="dxa"/>
            <w:vAlign w:val="bottom"/>
          </w:tcPr>
          <w:p>
            <w:pPr>
              <w:jc w:val="center"/>
              <w:ind w:right="531"/>
              <w:spacing w:after="0"/>
              <w:rPr>
                <w:sz w:val="20"/>
                <w:szCs w:val="20"/>
                <w:color w:val="auto"/>
              </w:rPr>
            </w:pPr>
            <w:r>
              <w:rPr>
                <w:rFonts w:ascii="Times New Roman" w:cs="Times New Roman" w:eastAsia="Times New Roman" w:hAnsi="Times New Roman"/>
                <w:sz w:val="14"/>
                <w:szCs w:val="14"/>
                <w:i w:val="1"/>
                <w:iCs w:val="1"/>
                <w:color w:val="auto"/>
                <w:w w:val="98"/>
              </w:rPr>
              <w:t>(Zip Code)</w:t>
            </w:r>
          </w:p>
        </w:tc>
        <w:tc>
          <w:tcPr>
            <w:tcW w:w="0" w:type="dxa"/>
            <w:vAlign w:val="bottom"/>
          </w:tcPr>
          <w:p>
            <w:pPr>
              <w:spacing w:after="0"/>
              <w:rPr>
                <w:sz w:val="1"/>
                <w:szCs w:val="1"/>
                <w:color w:val="auto"/>
              </w:rPr>
            </w:pPr>
          </w:p>
        </w:tc>
      </w:tr>
      <w:tr>
        <w:trPr>
          <w:trHeight w:val="101"/>
        </w:trPr>
        <w:tc>
          <w:tcPr>
            <w:tcW w:w="376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3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8860" w:type="dxa"/>
            <w:vAlign w:val="bottom"/>
            <w:gridSpan w:val="3"/>
          </w:tcPr>
          <w:p>
            <w:pPr>
              <w:jc w:val="center"/>
              <w:ind w:left="151"/>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0" w:type="dxa"/>
            <w:vAlign w:val="bottom"/>
          </w:tcPr>
          <w:p>
            <w:pPr>
              <w:spacing w:after="0"/>
              <w:rPr>
                <w:sz w:val="1"/>
                <w:szCs w:val="1"/>
                <w:color w:val="auto"/>
              </w:rPr>
            </w:pPr>
          </w:p>
        </w:tc>
      </w:tr>
      <w:tr>
        <w:trPr>
          <w:trHeight w:val="219"/>
        </w:trPr>
        <w:tc>
          <w:tcPr>
            <w:tcW w:w="8860" w:type="dxa"/>
            <w:vAlign w:val="bottom"/>
            <w:gridSpan w:val="3"/>
          </w:tcPr>
          <w:p>
            <w:pPr>
              <w:jc w:val="center"/>
              <w:ind w:left="151"/>
              <w:spacing w:after="0"/>
              <w:rPr>
                <w:sz w:val="20"/>
                <w:szCs w:val="20"/>
                <w:color w:val="auto"/>
              </w:rPr>
            </w:pPr>
            <w:r>
              <w:rPr>
                <w:rFonts w:ascii="Times New Roman" w:cs="Times New Roman" w:eastAsia="Times New Roman" w:hAnsi="Times New Roman"/>
                <w:sz w:val="14"/>
                <w:szCs w:val="14"/>
                <w:color w:val="auto"/>
                <w:w w:val="98"/>
              </w:rPr>
              <w:t>Securities registered pursuant to Section 12(b) of the Exchange Act:</w:t>
            </w:r>
          </w:p>
        </w:tc>
        <w:tc>
          <w:tcPr>
            <w:tcW w:w="0" w:type="dxa"/>
            <w:vAlign w:val="bottom"/>
          </w:tcPr>
          <w:p>
            <w:pPr>
              <w:spacing w:after="0"/>
              <w:rPr>
                <w:sz w:val="1"/>
                <w:szCs w:val="1"/>
                <w:color w:val="auto"/>
              </w:rPr>
            </w:pPr>
          </w:p>
        </w:tc>
      </w:tr>
      <w:tr>
        <w:trPr>
          <w:trHeight w:val="178"/>
        </w:trPr>
        <w:tc>
          <w:tcPr>
            <w:tcW w:w="3760" w:type="dxa"/>
            <w:vAlign w:val="bottom"/>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86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240" w:type="dxa"/>
            <w:vAlign w:val="bottom"/>
          </w:tcPr>
          <w:p>
            <w:pPr>
              <w:jc w:val="center"/>
              <w:ind w:left="61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143"/>
        </w:trPr>
        <w:tc>
          <w:tcPr>
            <w:tcW w:w="3760" w:type="dxa"/>
            <w:vAlign w:val="bottom"/>
          </w:tcPr>
          <w:p>
            <w:pPr>
              <w:jc w:val="center"/>
              <w:ind w:right="291"/>
              <w:spacing w:after="0" w:line="143" w:lineRule="exact"/>
              <w:rPr>
                <w:sz w:val="20"/>
                <w:szCs w:val="20"/>
                <w:color w:val="auto"/>
              </w:rPr>
            </w:pPr>
            <w:r>
              <w:rPr>
                <w:rFonts w:ascii="Times New Roman" w:cs="Times New Roman" w:eastAsia="Times New Roman" w:hAnsi="Times New Roman"/>
                <w:sz w:val="14"/>
                <w:szCs w:val="14"/>
                <w:color w:val="auto"/>
                <w:w w:val="98"/>
              </w:rPr>
              <w:t>Common Shares, without par value</w:t>
            </w:r>
          </w:p>
        </w:tc>
        <w:tc>
          <w:tcPr>
            <w:tcW w:w="1860" w:type="dxa"/>
            <w:vAlign w:val="bottom"/>
          </w:tcPr>
          <w:p>
            <w:pPr>
              <w:jc w:val="center"/>
              <w:ind w:left="51"/>
              <w:spacing w:after="0" w:line="143" w:lineRule="exact"/>
              <w:rPr>
                <w:sz w:val="20"/>
                <w:szCs w:val="20"/>
                <w:color w:val="auto"/>
              </w:rPr>
            </w:pPr>
            <w:r>
              <w:rPr>
                <w:rFonts w:ascii="Times New Roman" w:cs="Times New Roman" w:eastAsia="Times New Roman" w:hAnsi="Times New Roman"/>
                <w:sz w:val="14"/>
                <w:szCs w:val="14"/>
                <w:color w:val="auto"/>
                <w:w w:val="98"/>
              </w:rPr>
              <w:t>TMC</w:t>
            </w:r>
          </w:p>
        </w:tc>
        <w:tc>
          <w:tcPr>
            <w:tcW w:w="3240" w:type="dxa"/>
            <w:vAlign w:val="bottom"/>
          </w:tcPr>
          <w:p>
            <w:pPr>
              <w:jc w:val="center"/>
              <w:ind w:left="631"/>
              <w:spacing w:after="0" w:line="143" w:lineRule="exact"/>
              <w:rPr>
                <w:sz w:val="20"/>
                <w:szCs w:val="20"/>
                <w:color w:val="auto"/>
              </w:rPr>
            </w:pPr>
            <w:r>
              <w:rPr>
                <w:rFonts w:ascii="Times New Roman" w:cs="Times New Roman" w:eastAsia="Times New Roman" w:hAnsi="Times New Roman"/>
                <w:sz w:val="14"/>
                <w:szCs w:val="14"/>
                <w:color w:val="auto"/>
                <w:w w:val="98"/>
              </w:rPr>
              <w:t>The Nasdaq Stock Market LLC</w:t>
            </w:r>
          </w:p>
        </w:tc>
        <w:tc>
          <w:tcPr>
            <w:tcW w:w="0" w:type="dxa"/>
            <w:vAlign w:val="bottom"/>
          </w:tcPr>
          <w:p>
            <w:pPr>
              <w:spacing w:after="0"/>
              <w:rPr>
                <w:sz w:val="1"/>
                <w:szCs w:val="1"/>
                <w:color w:val="auto"/>
              </w:rPr>
            </w:pPr>
          </w:p>
        </w:tc>
      </w:tr>
      <w:tr>
        <w:trPr>
          <w:trHeight w:val="143"/>
        </w:trPr>
        <w:tc>
          <w:tcPr>
            <w:tcW w:w="3760" w:type="dxa"/>
            <w:vAlign w:val="bottom"/>
          </w:tcPr>
          <w:p>
            <w:pPr>
              <w:jc w:val="center"/>
              <w:ind w:right="271"/>
              <w:spacing w:after="0" w:line="143" w:lineRule="exact"/>
              <w:rPr>
                <w:sz w:val="20"/>
                <w:szCs w:val="20"/>
                <w:color w:val="auto"/>
              </w:rPr>
            </w:pPr>
            <w:r>
              <w:rPr>
                <w:rFonts w:ascii="Times New Roman" w:cs="Times New Roman" w:eastAsia="Times New Roman" w:hAnsi="Times New Roman"/>
                <w:sz w:val="14"/>
                <w:szCs w:val="14"/>
                <w:color w:val="auto"/>
                <w:w w:val="98"/>
              </w:rPr>
              <w:t>Redeemable warrants, each whole warrant exercisable for one</w:t>
            </w:r>
          </w:p>
        </w:tc>
        <w:tc>
          <w:tcPr>
            <w:tcW w:w="1860" w:type="dxa"/>
            <w:vAlign w:val="bottom"/>
          </w:tcPr>
          <w:p>
            <w:pPr>
              <w:jc w:val="center"/>
              <w:ind w:left="31"/>
              <w:spacing w:after="0" w:line="143" w:lineRule="exact"/>
              <w:rPr>
                <w:sz w:val="20"/>
                <w:szCs w:val="20"/>
                <w:color w:val="auto"/>
              </w:rPr>
            </w:pPr>
            <w:r>
              <w:rPr>
                <w:rFonts w:ascii="Times New Roman" w:cs="Times New Roman" w:eastAsia="Times New Roman" w:hAnsi="Times New Roman"/>
                <w:sz w:val="14"/>
                <w:szCs w:val="14"/>
                <w:color w:val="auto"/>
                <w:w w:val="98"/>
              </w:rPr>
              <w:t>TMCWW</w:t>
            </w:r>
          </w:p>
        </w:tc>
        <w:tc>
          <w:tcPr>
            <w:tcW w:w="3240" w:type="dxa"/>
            <w:vAlign w:val="bottom"/>
          </w:tcPr>
          <w:p>
            <w:pPr>
              <w:jc w:val="center"/>
              <w:ind w:left="631"/>
              <w:spacing w:after="0" w:line="143" w:lineRule="exact"/>
              <w:rPr>
                <w:sz w:val="20"/>
                <w:szCs w:val="20"/>
                <w:color w:val="auto"/>
              </w:rPr>
            </w:pPr>
            <w:r>
              <w:rPr>
                <w:rFonts w:ascii="Times New Roman" w:cs="Times New Roman" w:eastAsia="Times New Roman" w:hAnsi="Times New Roman"/>
                <w:sz w:val="14"/>
                <w:szCs w:val="14"/>
                <w:color w:val="auto"/>
                <w:w w:val="98"/>
              </w:rPr>
              <w:t>The Nasdaq Stock Market LLC</w:t>
            </w:r>
          </w:p>
        </w:tc>
        <w:tc>
          <w:tcPr>
            <w:tcW w:w="0" w:type="dxa"/>
            <w:vAlign w:val="bottom"/>
          </w:tcPr>
          <w:p>
            <w:pPr>
              <w:spacing w:after="0"/>
              <w:rPr>
                <w:sz w:val="1"/>
                <w:szCs w:val="1"/>
                <w:color w:val="auto"/>
              </w:rPr>
            </w:pPr>
          </w:p>
        </w:tc>
      </w:tr>
      <w:tr>
        <w:trPr>
          <w:trHeight w:val="186"/>
        </w:trPr>
        <w:tc>
          <w:tcPr>
            <w:tcW w:w="376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Common Share, each at an exercise price of $11.50 per share</w:t>
            </w:r>
          </w:p>
        </w:tc>
        <w:tc>
          <w:tcPr>
            <w:tcW w:w="18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906"/>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9" w:lineRule="exact"/>
        <w:rPr>
          <w:sz w:val="20"/>
          <w:szCs w:val="20"/>
          <w:color w:val="auto"/>
        </w:rPr>
      </w:pPr>
    </w:p>
    <w:p>
      <w:pPr>
        <w:ind w:left="306"/>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5" w:lineRule="exact"/>
        <w:rPr>
          <w:sz w:val="20"/>
          <w:szCs w:val="20"/>
          <w:color w:val="auto"/>
        </w:rPr>
      </w:pPr>
    </w:p>
    <w:p>
      <w:pPr>
        <w:ind w:left="306"/>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0" w:lineRule="exact"/>
        <w:rPr>
          <w:sz w:val="20"/>
          <w:szCs w:val="20"/>
          <w:color w:val="auto"/>
        </w:rPr>
      </w:pPr>
    </w:p>
    <w:p>
      <w:pPr>
        <w:jc w:val="both"/>
        <w:ind w:left="6" w:firstLine="311"/>
        <w:spacing w:after="0" w:line="229"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6"/>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84" w:lineRule="exact"/>
        <w:rPr>
          <w:sz w:val="20"/>
          <w:szCs w:val="20"/>
          <w:color w:val="auto"/>
        </w:rPr>
      </w:pPr>
    </w:p>
    <w:p>
      <w:pPr>
        <w:jc w:val="both"/>
        <w:ind w:left="6" w:firstLine="310"/>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jc w:val="both"/>
        <w:ind w:left="6" w:firstLine="312"/>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606"/>
          </w:cols>
          <w:pgMar w:left="1314" w:top="1440" w:right="1320" w:bottom="1440" w:gutter="0" w:footer="0" w:header="0"/>
        </w:sectPr>
      </w:pPr>
    </w:p>
    <w:p>
      <w:pPr>
        <w:spacing w:after="0" w:line="2" w:lineRule="exact"/>
        <w:rPr>
          <w:sz w:val="20"/>
          <w:szCs w:val="20"/>
          <w:color w:val="auto"/>
        </w:rPr>
      </w:pPr>
    </w:p>
    <w:p>
      <w:pPr>
        <w:ind w:left="6"/>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93" w:lineRule="exact"/>
        <w:rPr>
          <w:sz w:val="20"/>
          <w:szCs w:val="20"/>
          <w:color w:val="auto"/>
        </w:rPr>
      </w:pPr>
    </w:p>
    <w:p>
      <w:pPr>
        <w:ind w:left="6"/>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45"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02" w:lineRule="exact"/>
        <w:rPr>
          <w:sz w:val="20"/>
          <w:szCs w:val="20"/>
          <w:color w:val="auto"/>
        </w:rPr>
      </w:pPr>
    </w:p>
    <w:p>
      <w:pPr>
        <w:sectPr>
          <w:pgSz w:w="12240" w:h="15840" w:orient="portrait"/>
          <w:cols w:equalWidth="0" w:num="2">
            <w:col w:w="4086" w:space="720"/>
            <w:col w:w="4800"/>
          </w:cols>
          <w:pgMar w:left="1314" w:top="1440" w:right="1320" w:bottom="1440" w:gutter="0" w:footer="0" w:header="0"/>
          <w:type w:val="continuous"/>
        </w:sectPr>
      </w:pPr>
    </w:p>
    <w:p>
      <w:pPr>
        <w:jc w:val="both"/>
        <w:ind w:left="6" w:firstLine="311"/>
        <w:spacing w:after="0" w:line="17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jc w:val="both"/>
        <w:ind w:left="6" w:firstLine="310"/>
        <w:spacing w:after="0" w:line="20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jc w:val="both"/>
        <w:ind w:left="6" w:firstLine="311"/>
        <w:spacing w:after="0" w:line="19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jc w:val="both"/>
        <w:ind w:left="6" w:firstLine="311"/>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0"/>
          <w:szCs w:val="20"/>
          <w:color w:val="auto"/>
        </w:rPr>
      </w:pPr>
    </w:p>
    <w:p>
      <w:pPr>
        <w:ind w:left="306"/>
        <w:spacing w:after="0" w:line="161" w:lineRule="exact"/>
        <w:tabs>
          <w:tab w:leader="none" w:pos="6686"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0" w:lineRule="exact"/>
        <w:rPr>
          <w:sz w:val="20"/>
          <w:szCs w:val="20"/>
          <w:color w:val="auto"/>
        </w:rPr>
      </w:pPr>
    </w:p>
    <w:p>
      <w:pPr>
        <w:jc w:val="both"/>
        <w:ind w:left="6" w:firstLine="311"/>
        <w:spacing w:after="0" w:line="234"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$274,979,313.</w:t>
      </w:r>
    </w:p>
    <w:p>
      <w:pPr>
        <w:spacing w:after="0" w:line="9"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4"/>
          <w:szCs w:val="14"/>
          <w:color w:val="auto"/>
        </w:rPr>
        <w:t>As of March 22, 2024, the registrant had 318,249,878 common shares outstanding.</w:t>
      </w:r>
    </w:p>
    <w:p>
      <w:pPr>
        <w:spacing w:after="0" w:line="44" w:lineRule="exact"/>
        <w:rPr>
          <w:sz w:val="20"/>
          <w:szCs w:val="20"/>
          <w:color w:val="auto"/>
        </w:rPr>
      </w:pPr>
    </w:p>
    <w:p>
      <w:pPr>
        <w:ind w:left="3226"/>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9" w:lineRule="exact"/>
        <w:rPr>
          <w:sz w:val="20"/>
          <w:szCs w:val="20"/>
          <w:color w:val="auto"/>
        </w:rPr>
      </w:pPr>
    </w:p>
    <w:p>
      <w:pPr>
        <w:jc w:val="both"/>
        <w:ind w:left="6" w:firstLine="311"/>
        <w:spacing w:after="0" w:line="249" w:lineRule="auto"/>
        <w:rPr>
          <w:sz w:val="20"/>
          <w:szCs w:val="20"/>
          <w:color w:val="auto"/>
        </w:rPr>
      </w:pPr>
      <w:r>
        <w:rPr>
          <w:rFonts w:ascii="Times New Roman" w:cs="Times New Roman" w:eastAsia="Times New Roman" w:hAnsi="Times New Roman"/>
          <w:sz w:val="14"/>
          <w:szCs w:val="14"/>
          <w:color w:val="auto"/>
        </w:rPr>
        <w:t>Portions of the registrant’s proxy statement in connection with the registrant’s annual meeting of shareholders, scheduled to be held on May 30, 2024, are incorporated by reference in Part III of this report. Except as expressly incorporated by reference, such proxy statement shall not be deemed to be part of this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454660</wp:posOffset>
                </wp:positionV>
                <wp:extent cx="610997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5.8pt" to="480.85pt,35.8pt" o:allowincell="f" strokecolor="#000000" strokeweight="1.2956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39370</wp:posOffset>
                </wp:positionV>
                <wp:extent cx="610997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8238">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1pt" to="480.85pt,3.1pt" o:allowincell="f" strokecolor="#000000" strokeweight="0.6487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92710</wp:posOffset>
                </wp:positionV>
                <wp:extent cx="610997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32919">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7.3pt" to="480.85pt,7.3pt" o:allowincell="f" strokecolor="#000000" strokeweight="2.592pt"/>
            </w:pict>
          </mc:Fallback>
        </mc:AlternateContent>
      </w:r>
    </w:p>
    <w:p>
      <w:pPr>
        <w:sectPr>
          <w:pgSz w:w="12240" w:h="15840" w:orient="portrait"/>
          <w:cols w:equalWidth="0" w:num="1">
            <w:col w:w="9606"/>
          </w:cols>
          <w:pgMar w:left="1314" w:top="1440" w:right="1320"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w w:val="89"/>
              </w:rPr>
              <w:t>PART I</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53"/>
        </w:trPr>
        <w:tc>
          <w:tcPr>
            <w:tcW w:w="500" w:type="dxa"/>
            <w:vAlign w:val="bottom"/>
            <w:tcBorders>
              <w:bottom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9"/>
              </w:rPr>
              <w:t>Business</w:t>
            </w:r>
          </w:p>
        </w:tc>
        <w:tc>
          <w:tcPr>
            <w:tcW w:w="7380" w:type="dxa"/>
            <w:vAlign w:val="bottom"/>
            <w:gridSpan w:val="7"/>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80" w:type="dxa"/>
            <w:vAlign w:val="bottom"/>
            <w:tcBorders>
              <w:bottom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7"/>
                <w:szCs w:val="17"/>
                <w:color w:val="auto"/>
                <w:w w:val="95"/>
              </w:rPr>
              <w:t>1A.</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Borders>
              <w:bottom w:val="single" w:sz="8" w:color="auto"/>
            </w:tcBorders>
            <w:gridSpan w:val="4"/>
          </w:tcPr>
          <w:p>
            <w:pPr>
              <w:spacing w:after="0" w:line="188" w:lineRule="exact"/>
              <w:rPr>
                <w:sz w:val="20"/>
                <w:szCs w:val="20"/>
                <w:color w:val="auto"/>
              </w:rPr>
            </w:pPr>
            <w:r>
              <w:rPr>
                <w:rFonts w:ascii="Times New Roman" w:cs="Times New Roman" w:eastAsia="Times New Roman" w:hAnsi="Times New Roman"/>
                <w:sz w:val="17"/>
                <w:szCs w:val="17"/>
                <w:color w:val="auto"/>
              </w:rPr>
              <w:t>Risk Factors</w:t>
            </w:r>
          </w:p>
        </w:tc>
        <w:tc>
          <w:tcPr>
            <w:tcW w:w="7120" w:type="dxa"/>
            <w:vAlign w:val="bottom"/>
            <w:gridSpan w:val="5"/>
          </w:tcPr>
          <w:p>
            <w:pPr>
              <w:spacing w:after="0"/>
              <w:rPr>
                <w:sz w:val="16"/>
                <w:szCs w:val="16"/>
                <w:color w:val="auto"/>
              </w:rPr>
            </w:pP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34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7"/>
                <w:szCs w:val="17"/>
                <w:color w:val="auto"/>
              </w:rPr>
              <w:t>1B.</w:t>
            </w: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color w:val="auto"/>
              </w:rPr>
              <w:t>Unresolved Staff Comments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34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7"/>
                <w:szCs w:val="17"/>
                <w:color w:val="auto"/>
              </w:rPr>
              <w:t>1C.</w:t>
            </w: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Cybersecurity</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top w:val="single" w:sz="8" w:color="auto"/>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top w:val="single" w:sz="8" w:color="auto"/>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Properties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Legal Proceedings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Mine Safety Disclosures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395"/>
        </w:trPr>
        <w:tc>
          <w:tcPr>
            <w:tcW w:w="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PART II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60" w:type="dxa"/>
            <w:vAlign w:val="bottom"/>
            <w:gridSpan w:val="10"/>
            <w:vMerge w:val="restart"/>
          </w:tcPr>
          <w:p>
            <w:pPr>
              <w:ind w:left="60"/>
              <w:spacing w:after="0"/>
              <w:rPr>
                <w:sz w:val="20"/>
                <w:szCs w:val="20"/>
                <w:color w:val="auto"/>
              </w:rPr>
            </w:pPr>
            <w:r>
              <w:rPr>
                <w:rFonts w:ascii="Times New Roman" w:cs="Times New Roman" w:eastAsia="Times New Roman" w:hAnsi="Times New Roman"/>
                <w:sz w:val="17"/>
                <w:szCs w:val="17"/>
                <w:u w:val="single" w:color="auto"/>
                <w:color w:val="auto"/>
              </w:rPr>
              <w:t>Market for Registrant’s Common Equity, Related Stockholder Matters and Issuer Purchases of Equity Securities</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color w:val="auto"/>
              </w:rPr>
              <w:t>[Reserved]</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Management’s Discussion and Analysis of Financial Condition and Results of Operations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34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7"/>
                <w:szCs w:val="17"/>
                <w:color w:val="auto"/>
              </w:rPr>
              <w:t>7A.</w:t>
            </w: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Quantitative and Qualitative Disclosures About Market Risk</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top w:val="single" w:sz="8" w:color="auto"/>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top w:val="single" w:sz="8" w:color="auto"/>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8.</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Financial Statements and Supplementary Data</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122</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160" w:type="dxa"/>
            <w:vAlign w:val="bottom"/>
            <w:tcBorders>
              <w:bottom w:val="single" w:sz="8" w:color="auto"/>
            </w:tcBorders>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Changes in and Disagreements With Accountants on Accounting and Financial Disclosure</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8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7"/>
                <w:szCs w:val="17"/>
                <w:color w:val="auto"/>
                <w:w w:val="95"/>
              </w:rPr>
              <w:t>9A.</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0" w:type="dxa"/>
            <w:vAlign w:val="bottom"/>
            <w:gridSpan w:val="9"/>
          </w:tcPr>
          <w:p>
            <w:pPr>
              <w:spacing w:after="0" w:line="188" w:lineRule="exact"/>
              <w:rPr>
                <w:sz w:val="20"/>
                <w:szCs w:val="20"/>
                <w:color w:val="auto"/>
              </w:rPr>
            </w:pPr>
            <w:r>
              <w:rPr>
                <w:rFonts w:ascii="Times New Roman" w:cs="Times New Roman" w:eastAsia="Times New Roman" w:hAnsi="Times New Roman"/>
                <w:sz w:val="17"/>
                <w:szCs w:val="17"/>
                <w:color w:val="auto"/>
              </w:rPr>
              <w:t>Controls and Procedures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162</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top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7"/>
                <w:szCs w:val="17"/>
                <w:color w:val="auto"/>
                <w:w w:val="99"/>
              </w:rPr>
              <w:t>9B.</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tcBorders>
              <w:top w:val="single" w:sz="8" w:color="auto"/>
            </w:tcBorders>
            <w:gridSpan w:val="6"/>
          </w:tcPr>
          <w:p>
            <w:pPr>
              <w:spacing w:after="0" w:line="188" w:lineRule="exact"/>
              <w:rPr>
                <w:sz w:val="20"/>
                <w:szCs w:val="20"/>
                <w:color w:val="auto"/>
              </w:rPr>
            </w:pPr>
            <w:r>
              <w:rPr>
                <w:rFonts w:ascii="Times New Roman" w:cs="Times New Roman" w:eastAsia="Times New Roman" w:hAnsi="Times New Roman"/>
                <w:sz w:val="17"/>
                <w:szCs w:val="17"/>
                <w:color w:val="auto"/>
              </w:rPr>
              <w:t>Other Information</w:t>
            </w:r>
          </w:p>
        </w:tc>
        <w:tc>
          <w:tcPr>
            <w:tcW w:w="6300" w:type="dxa"/>
            <w:vAlign w:val="bottom"/>
            <w:gridSpan w:val="3"/>
          </w:tcPr>
          <w:p>
            <w:pPr>
              <w:spacing w:after="0"/>
              <w:rPr>
                <w:sz w:val="16"/>
                <w:szCs w:val="16"/>
                <w:color w:val="auto"/>
              </w:rPr>
            </w:pP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gridSpan w:val="5"/>
            <w:shd w:val="clear" w:color="auto" w:fill="000000"/>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34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7"/>
                <w:szCs w:val="17"/>
                <w:color w:val="auto"/>
              </w:rPr>
              <w:t>9C.</w:t>
            </w: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Disclosure Regarding Foreign Jurisdictions that Prevent Inspections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w w:val="92"/>
              </w:rPr>
              <w:t>PART III</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10.</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60" w:type="dxa"/>
            <w:vAlign w:val="bottom"/>
            <w:gridSpan w:val="10"/>
            <w:vMerge w:val="restart"/>
          </w:tcPr>
          <w:p>
            <w:pPr>
              <w:ind w:left="60"/>
              <w:spacing w:after="0"/>
              <w:rPr>
                <w:sz w:val="20"/>
                <w:szCs w:val="20"/>
                <w:color w:val="auto"/>
              </w:rPr>
            </w:pPr>
            <w:r>
              <w:rPr>
                <w:rFonts w:ascii="Times New Roman" w:cs="Times New Roman" w:eastAsia="Times New Roman" w:hAnsi="Times New Roman"/>
                <w:sz w:val="17"/>
                <w:szCs w:val="17"/>
                <w:u w:val="single" w:color="auto"/>
                <w:color w:val="auto"/>
              </w:rPr>
              <w:t>Directors, Executive Officers and Corporate Governance</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Executive Compensation</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12.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Security Ownership of Certain Beneficial Owners and Management and Related Stockholder Matters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13.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Certain Relationships and Related Transactions, and Director Independence</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Principal Accounting Fees and Services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395"/>
        </w:trPr>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auto"/>
                <w:w w:val="94"/>
              </w:rPr>
              <w:t>PART IV</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40" w:type="dxa"/>
            <w:vAlign w:val="bottom"/>
            <w:tcBorders>
              <w:bottom w:val="single" w:sz="8" w:color="auto"/>
            </w:tcBorders>
            <w:gridSpan w:val="8"/>
          </w:tcPr>
          <w:p>
            <w:pPr>
              <w:spacing w:after="0" w:line="188" w:lineRule="exact"/>
              <w:rPr>
                <w:sz w:val="20"/>
                <w:szCs w:val="20"/>
                <w:color w:val="auto"/>
              </w:rPr>
            </w:pPr>
            <w:r>
              <w:rPr>
                <w:rFonts w:ascii="Times New Roman" w:cs="Times New Roman" w:eastAsia="Times New Roman" w:hAnsi="Times New Roman"/>
                <w:sz w:val="17"/>
                <w:szCs w:val="17"/>
                <w:color w:val="auto"/>
              </w:rPr>
              <w:t>Exhibits and Financial Statement Schedules</w:t>
            </w:r>
          </w:p>
        </w:tc>
        <w:tc>
          <w:tcPr>
            <w:tcW w:w="4960" w:type="dxa"/>
            <w:vAlign w:val="bottom"/>
          </w:tcPr>
          <w:p>
            <w:pPr>
              <w:spacing w:after="0"/>
              <w:rPr>
                <w:sz w:val="16"/>
                <w:szCs w:val="16"/>
                <w:color w:val="auto"/>
              </w:rPr>
            </w:pP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187"/>
        </w:trPr>
        <w:tc>
          <w:tcPr>
            <w:tcW w:w="300" w:type="dxa"/>
            <w:vAlign w:val="bottom"/>
          </w:tcPr>
          <w:p>
            <w:pPr>
              <w:spacing w:after="0"/>
              <w:rPr>
                <w:sz w:val="16"/>
                <w:szCs w:val="16"/>
                <w:color w:val="auto"/>
              </w:rPr>
            </w:pPr>
          </w:p>
        </w:tc>
        <w:tc>
          <w:tcPr>
            <w:tcW w:w="340" w:type="dxa"/>
            <w:vAlign w:val="bottom"/>
            <w:tcBorders>
              <w:bottom w:val="single" w:sz="8" w:color="auto"/>
            </w:tcBorders>
            <w:gridSpan w:val="4"/>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w w:val="96"/>
              </w:rPr>
              <w:t>Item</w:t>
            </w:r>
          </w:p>
        </w:tc>
        <w:tc>
          <w:tcPr>
            <w:tcW w:w="260" w:type="dxa"/>
            <w:vAlign w:val="bottom"/>
            <w:tcBorders>
              <w:bottom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7"/>
                <w:szCs w:val="17"/>
                <w:color w:val="auto"/>
                <w:w w:val="93"/>
              </w:rPr>
              <w:t>16.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60" w:type="dxa"/>
            <w:vAlign w:val="bottom"/>
            <w:gridSpan w:val="10"/>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auto"/>
              </w:rPr>
              <w:t>Form 10-K Summary</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60" w:type="dxa"/>
            <w:vAlign w:val="bottom"/>
            <w:gridSpan w:val="10"/>
          </w:tcPr>
          <w:p>
            <w:pPr>
              <w:ind w:left="60"/>
              <w:spacing w:after="0"/>
              <w:rPr>
                <w:sz w:val="20"/>
                <w:szCs w:val="20"/>
                <w:color w:val="auto"/>
              </w:rPr>
            </w:pPr>
            <w:r>
              <w:rPr>
                <w:rFonts w:ascii="Times New Roman" w:cs="Times New Roman" w:eastAsia="Times New Roman" w:hAnsi="Times New Roman"/>
                <w:sz w:val="17"/>
                <w:szCs w:val="17"/>
                <w:u w:val="single" w:color="auto"/>
                <w:color w:val="auto"/>
              </w:rPr>
              <w:t>Signatures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171</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7" w:name="page8"/>
    <w:bookmarkEnd w:id="7"/>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 this Annual Report on form 10-K (“Annual Report”), the terms “we,” “us,” “our,”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under which SOAC acquired DeepGreen and its business. In connection with the Business Combination, SOAC changed its name to “TMC the metals company Inc.” (“TMC”). The combined company’s common shares and warrants to purchase common shares commenced trading on the Nasdaq Global Select Market (“Nasdaq”) on September 10, 2021, under the symbols “TMC” and “TMCWW,” respectively.</w:t>
      </w:r>
    </w:p>
    <w:p>
      <w:pPr>
        <w:spacing w:after="0" w:line="172" w:lineRule="exact"/>
        <w:rPr>
          <w:sz w:val="20"/>
          <w:szCs w:val="20"/>
          <w:color w:val="auto"/>
        </w:rPr>
      </w:pPr>
    </w:p>
    <w:p>
      <w:pPr>
        <w:jc w:val="both"/>
        <w:ind w:firstLine="311"/>
        <w:spacing w:after="0" w:line="233" w:lineRule="auto"/>
        <w:rPr>
          <w:sz w:val="20"/>
          <w:szCs w:val="20"/>
          <w:color w:val="auto"/>
        </w:rPr>
      </w:pPr>
      <w:r>
        <w:rPr>
          <w:rFonts w:ascii="Times New Roman" w:cs="Times New Roman" w:eastAsia="Times New Roman" w:hAnsi="Times New Roman"/>
          <w:sz w:val="17"/>
          <w:szCs w:val="17"/>
          <w:color w:val="auto"/>
        </w:rPr>
        <w:t>As used in this Annual Report, “Mtpa” refers to millions of tonnes per year, “ktpa” refers to thousands of tonnes per year, “dmtu” refers to dry metric tonne unit, TWh” refers to trillion-watt hours,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e” refers to metric tonnes of carbon dioxide emissions and “w/w” refers to weight for weight.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This Annual Report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include, but are not limited to, statements about:</w:t>
      </w:r>
    </w:p>
    <w:p>
      <w:pPr>
        <w:spacing w:after="0" w:line="174" w:lineRule="exact"/>
        <w:rPr>
          <w:sz w:val="20"/>
          <w:szCs w:val="20"/>
          <w:color w:val="auto"/>
        </w:rPr>
      </w:pPr>
    </w:p>
    <w:p>
      <w:pPr>
        <w:ind w:left="640" w:hanging="309"/>
        <w:spacing w:after="0"/>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the commercial and technical feasibility of seafloor polymetallic nodule collection and processing;</w:t>
      </w:r>
    </w:p>
    <w:p>
      <w:pPr>
        <w:spacing w:after="0" w:line="218" w:lineRule="exact"/>
        <w:rPr>
          <w:rFonts w:ascii="Arial" w:cs="Arial" w:eastAsia="Arial" w:hAnsi="Arial"/>
          <w:sz w:val="17"/>
          <w:szCs w:val="17"/>
          <w:color w:val="auto"/>
        </w:rPr>
      </w:pPr>
    </w:p>
    <w:p>
      <w:pPr>
        <w:jc w:val="both"/>
        <w:ind w:left="640" w:hanging="309"/>
        <w:spacing w:after="0" w:line="269" w:lineRule="auto"/>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59" w:lineRule="exact"/>
        <w:rPr>
          <w:rFonts w:ascii="Arial" w:cs="Arial" w:eastAsia="Arial" w:hAnsi="Arial"/>
          <w:sz w:val="17"/>
          <w:szCs w:val="17"/>
          <w:color w:val="auto"/>
        </w:rPr>
      </w:pPr>
    </w:p>
    <w:p>
      <w:pPr>
        <w:ind w:left="640" w:hanging="309"/>
        <w:spacing w:after="0"/>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the supply and demand for battery metals and battery cathode feedstocks, copper cathode and manganese ores;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the future prices of battery metals and battery cathode feedstocks, copper cathode and manganese ores;</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government regulation of mineral extraction from the deep seafloor and changes in mining laws and regulations;</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technical, operational, environmental, social and governance risks of developing and deploying equipment to collect and ship polymetallic nodules at sea, and to process such nodules on land;</w:t>
      </w:r>
    </w:p>
    <w:p>
      <w:pPr>
        <w:spacing w:after="0" w:line="135"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7"/>
          <w:szCs w:val="17"/>
          <w:color w:val="auto"/>
        </w:rPr>
        <w:t>the sources and timing of potential revenue as well as the timing and amount of estimated future production, costs of production, other expenses, capital expenditures and requirements for additional capital;</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6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65pt"/>
            </w:pict>
          </mc:Fallback>
        </mc:AlternateContent>
      </w:r>
    </w:p>
    <w:p>
      <w:pPr>
        <w:sectPr>
          <w:pgSz w:w="12240" w:h="15840" w:orient="portrait"/>
          <w:cols w:equalWidth="0" w:num="1">
            <w:col w:w="9600"/>
          </w:cols>
          <w:pgMar w:left="1320" w:top="1327" w:right="1320" w:bottom="1440" w:gutter="0" w:footer="0" w:header="0"/>
        </w:sectPr>
      </w:pPr>
    </w:p>
    <w:bookmarkStart w:id="8" w:name="page9"/>
    <w:bookmarkEnd w:id="8"/>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cash flow provided by operating activities;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expected activities of our partners under our key strategic relationships;</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sufficiency of our cash on hand to meet our working capital and capital expenditure requirements, the need for additional financing and our ability to continue as a going concern;</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our ability to raise financing in the future, the nature of any such financing and our plans with respect thereto;</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any litigation to which we are a party;</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claims and limitations on insurance coverage;</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our plans to mitigate our material weaknesses in our internal control over financial reporting;</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geological, metallurgical and geotechnical studies and opinions;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mineral resource estimates, and our ability to define and declare reserve estimates;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our status as an emerging growth company, non-reporting Canadian issuer and passive foreign investment company (“PFIC”);</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the impact of pandemics on our business;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
        </w:numPr>
        <w:rPr>
          <w:rFonts w:ascii="Arial" w:cs="Arial" w:eastAsia="Arial" w:hAnsi="Arial"/>
          <w:sz w:val="17"/>
          <w:szCs w:val="17"/>
          <w:color w:val="auto"/>
        </w:rPr>
      </w:pPr>
      <w:r>
        <w:rPr>
          <w:rFonts w:ascii="Times New Roman" w:cs="Times New Roman" w:eastAsia="Times New Roman" w:hAnsi="Times New Roman"/>
          <w:sz w:val="17"/>
          <w:szCs w:val="17"/>
          <w:color w:val="auto"/>
        </w:rPr>
        <w:t>our financial performance.</w:t>
      </w:r>
    </w:p>
    <w:p>
      <w:pPr>
        <w:spacing w:after="0" w:line="21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Annual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PART 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kilometers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6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37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that such nation maintains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wholly-owned subsidiary, DeepGreen Engineering Pte. Ltd.’s (“DGE”), arrangement with Marawa Research and Exploration Limited (“Marawa”), a company owned and sponsored by the Republic of Kiribati (“Kiribati”).</w:t>
      </w:r>
    </w:p>
    <w:p>
      <w:pPr>
        <w:spacing w:after="0" w:line="16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still in the exploration phase and have not yet obtained any exploitation contracts from the ISA to commence commercial scale polymetallic nodule collection in the CCZ. Additionally, we do not have the applicable environmental and/or other permits required to build and operate commercial-scale polymetallic nodule processing and refining plants on land.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Polymetallic Nodules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Deep-sea polymetallic nodules form on and just below the sediment-covered seafloor of the abyssal plains. These nodules contain significant amounts of metals, and their unique characteristic compared to terrestrial deposits is the presence of the four critical metals, nickel, copper, cobalt and manganese,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113665</wp:posOffset>
            </wp:positionV>
            <wp:extent cx="4170045" cy="2040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
                      <a:extLst>
                        <a:ext uri="{28A0092B-C50C-407E-A947-70E740481C1C}"/>
                      </a:extLst>
                    </a:blip>
                    <a:srcRect/>
                    <a:stretch>
                      <a:fillRect/>
                    </a:stretch>
                  </pic:blipFill>
                  <pic:spPr bwMode="auto">
                    <a:xfrm>
                      <a:off x="0" y="0"/>
                      <a:ext cx="4170045"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TMC inaugural Impact Report 2021, filed May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Additionally, polymetallic nodules in the CCZ possess the following characteristics:</w:t>
      </w:r>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4480" w:type="dxa"/>
            <w:vAlign w:val="bottom"/>
            <w:tcBorders>
              <w:top w:val="single" w:sz="8" w:color="auto"/>
              <w:left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7"/>
                <w:szCs w:val="17"/>
                <w:b w:val="1"/>
                <w:bCs w:val="1"/>
                <w:color w:val="auto"/>
              </w:rPr>
              <w:t>Characteristic</w:t>
            </w:r>
          </w:p>
        </w:tc>
        <w:tc>
          <w:tcPr>
            <w:tcW w:w="5140" w:type="dxa"/>
            <w:vAlign w:val="bottom"/>
            <w:tcBorders>
              <w:top w:val="single" w:sz="8" w:color="auto"/>
              <w:bottom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17"/>
                <w:szCs w:val="17"/>
                <w:b w:val="1"/>
                <w:bCs w:val="1"/>
                <w:color w:val="auto"/>
              </w:rPr>
              <w:t>What it means</w:t>
            </w:r>
          </w:p>
        </w:tc>
      </w:tr>
      <w:tr>
        <w:trPr>
          <w:trHeight w:val="200"/>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Far removed from human communities</w:t>
            </w:r>
          </w:p>
        </w:tc>
        <w:tc>
          <w:tcPr>
            <w:tcW w:w="5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No need for social displacement</w:t>
            </w:r>
          </w:p>
        </w:tc>
      </w:tr>
      <w:tr>
        <w:trPr>
          <w:trHeight w:val="176"/>
        </w:trPr>
        <w:tc>
          <w:tcPr>
            <w:tcW w:w="4480" w:type="dxa"/>
            <w:vAlign w:val="bottom"/>
            <w:tcBorders>
              <w:left w:val="single" w:sz="8" w:color="auto"/>
              <w:right w:val="single" w:sz="8" w:color="auto"/>
            </w:tcBorders>
            <w:shd w:val="clear" w:color="auto" w:fill="A29E9C"/>
          </w:tcPr>
          <w:p>
            <w:pPr>
              <w:ind w:left="20"/>
              <w:spacing w:after="0" w:line="176" w:lineRule="exact"/>
              <w:rPr>
                <w:sz w:val="20"/>
                <w:szCs w:val="20"/>
                <w:color w:val="auto"/>
              </w:rPr>
            </w:pPr>
            <w:r>
              <w:rPr>
                <w:rFonts w:ascii="Times New Roman" w:cs="Times New Roman" w:eastAsia="Times New Roman" w:hAnsi="Times New Roman"/>
                <w:sz w:val="17"/>
                <w:szCs w:val="17"/>
                <w:color w:val="auto"/>
              </w:rPr>
              <w:t>No vegetation or other obstructions covering access to</w:t>
            </w:r>
          </w:p>
        </w:tc>
        <w:tc>
          <w:tcPr>
            <w:tcW w:w="5140" w:type="dxa"/>
            <w:vAlign w:val="bottom"/>
            <w:tcBorders>
              <w:right w:val="single" w:sz="8" w:color="auto"/>
            </w:tcBorders>
            <w:shd w:val="clear" w:color="auto" w:fill="A29E9C"/>
          </w:tcPr>
          <w:p>
            <w:pPr>
              <w:spacing w:after="0" w:line="176" w:lineRule="exact"/>
              <w:rPr>
                <w:sz w:val="20"/>
                <w:szCs w:val="20"/>
                <w:color w:val="auto"/>
              </w:rPr>
            </w:pPr>
            <w:r>
              <w:rPr>
                <w:rFonts w:ascii="Times New Roman" w:cs="Times New Roman" w:eastAsia="Times New Roman" w:hAnsi="Times New Roman"/>
                <w:sz w:val="17"/>
                <w:szCs w:val="17"/>
                <w:color w:val="auto"/>
              </w:rPr>
              <w:t>No need to remove overburden, no rock cutting or blasting</w:t>
            </w:r>
          </w:p>
        </w:tc>
      </w:tr>
      <w:tr>
        <w:trPr>
          <w:trHeight w:val="232"/>
        </w:trPr>
        <w:tc>
          <w:tcPr>
            <w:tcW w:w="448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Times New Roman" w:cs="Times New Roman" w:eastAsia="Times New Roman" w:hAnsi="Times New Roman"/>
                <w:sz w:val="17"/>
                <w:szCs w:val="17"/>
                <w:color w:val="auto"/>
              </w:rPr>
              <w:t>nodules</w:t>
            </w:r>
          </w:p>
        </w:tc>
        <w:tc>
          <w:tcPr>
            <w:tcW w:w="5140" w:type="dxa"/>
            <w:vAlign w:val="bottom"/>
            <w:tcBorders>
              <w:bottom w:val="single" w:sz="8" w:color="auto"/>
              <w:right w:val="single" w:sz="8" w:color="auto"/>
            </w:tcBorders>
            <w:shd w:val="clear" w:color="auto" w:fill="A29E9C"/>
          </w:tcPr>
          <w:p>
            <w:pPr>
              <w:spacing w:after="0"/>
              <w:rPr>
                <w:sz w:val="20"/>
                <w:szCs w:val="20"/>
                <w:color w:val="auto"/>
              </w:rPr>
            </w:pPr>
          </w:p>
        </w:tc>
      </w:tr>
      <w:tr>
        <w:trPr>
          <w:trHeight w:val="176"/>
        </w:trPr>
        <w:tc>
          <w:tcPr>
            <w:tcW w:w="4480" w:type="dxa"/>
            <w:vAlign w:val="bottom"/>
            <w:tcBorders>
              <w:left w:val="single" w:sz="8" w:color="auto"/>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Unbound to the seafloor, 90% of nodule mass in the top 5</w:t>
            </w:r>
          </w:p>
        </w:tc>
        <w:tc>
          <w:tcPr>
            <w:tcW w:w="514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No need for destructive rock cutting and excavation</w:t>
            </w:r>
          </w:p>
        </w:tc>
      </w:tr>
      <w:tr>
        <w:trPr>
          <w:trHeight w:val="232"/>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cm of seafloor</w:t>
            </w:r>
          </w:p>
        </w:tc>
        <w:tc>
          <w:tcPr>
            <w:tcW w:w="5140" w:type="dxa"/>
            <w:vAlign w:val="bottom"/>
            <w:tcBorders>
              <w:bottom w:val="single" w:sz="8" w:color="auto"/>
              <w:right w:val="single" w:sz="8" w:color="auto"/>
            </w:tcBorders>
          </w:tcPr>
          <w:p>
            <w:pPr>
              <w:spacing w:after="0"/>
              <w:rPr>
                <w:sz w:val="20"/>
                <w:szCs w:val="20"/>
                <w:color w:val="auto"/>
              </w:rPr>
            </w:pPr>
          </w:p>
        </w:tc>
      </w:tr>
      <w:tr>
        <w:trPr>
          <w:trHeight w:val="200"/>
        </w:trPr>
        <w:tc>
          <w:tcPr>
            <w:tcW w:w="448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Times New Roman" w:cs="Times New Roman" w:eastAsia="Times New Roman" w:hAnsi="Times New Roman"/>
                <w:sz w:val="17"/>
                <w:szCs w:val="17"/>
                <w:color w:val="auto"/>
              </w:rPr>
              <w:t>High grades of four critical metals in a single ore</w:t>
            </w:r>
          </w:p>
        </w:tc>
        <w:tc>
          <w:tcPr>
            <w:tcW w:w="5140" w:type="dxa"/>
            <w:vAlign w:val="bottom"/>
            <w:tcBorders>
              <w:bottom w:val="single" w:sz="8" w:color="auto"/>
              <w:right w:val="single" w:sz="8" w:color="auto"/>
            </w:tcBorders>
            <w:shd w:val="clear" w:color="auto" w:fill="A29E9C"/>
          </w:tcPr>
          <w:p>
            <w:pPr>
              <w:spacing w:after="0"/>
              <w:rPr>
                <w:sz w:val="20"/>
                <w:szCs w:val="20"/>
                <w:color w:val="auto"/>
              </w:rPr>
            </w:pPr>
            <w:r>
              <w:rPr>
                <w:rFonts w:ascii="Times New Roman" w:cs="Times New Roman" w:eastAsia="Times New Roman" w:hAnsi="Times New Roman"/>
                <w:sz w:val="17"/>
                <w:szCs w:val="17"/>
                <w:color w:val="auto"/>
              </w:rPr>
              <w:t>Less mass to process compared to land ores</w:t>
            </w:r>
          </w:p>
        </w:tc>
      </w:tr>
      <w:tr>
        <w:trPr>
          <w:trHeight w:val="200"/>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Low head-grade variability</w:t>
            </w:r>
          </w:p>
        </w:tc>
        <w:tc>
          <w:tcPr>
            <w:tcW w:w="5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Potentially easy to process</w:t>
            </w:r>
          </w:p>
        </w:tc>
      </w:tr>
      <w:tr>
        <w:trPr>
          <w:trHeight w:val="200"/>
        </w:trPr>
        <w:tc>
          <w:tcPr>
            <w:tcW w:w="4480" w:type="dxa"/>
            <w:vAlign w:val="bottom"/>
            <w:tcBorders>
              <w:left w:val="single" w:sz="8" w:color="auto"/>
              <w:bottom w:val="single" w:sz="8" w:color="auto"/>
              <w:right w:val="single" w:sz="8" w:color="auto"/>
            </w:tcBorders>
            <w:shd w:val="clear" w:color="auto" w:fill="A29E9C"/>
          </w:tcPr>
          <w:p>
            <w:pPr>
              <w:ind w:left="20"/>
              <w:spacing w:after="0"/>
              <w:rPr>
                <w:sz w:val="20"/>
                <w:szCs w:val="20"/>
                <w:color w:val="auto"/>
              </w:rPr>
            </w:pPr>
            <w:r>
              <w:rPr>
                <w:rFonts w:ascii="Times New Roman" w:cs="Times New Roman" w:eastAsia="Times New Roman" w:hAnsi="Times New Roman"/>
                <w:sz w:val="17"/>
                <w:szCs w:val="17"/>
                <w:color w:val="auto"/>
              </w:rPr>
              <w:t>2-10 cm diameter</w:t>
            </w:r>
          </w:p>
        </w:tc>
        <w:tc>
          <w:tcPr>
            <w:tcW w:w="5140" w:type="dxa"/>
            <w:vAlign w:val="bottom"/>
            <w:tcBorders>
              <w:bottom w:val="single" w:sz="8" w:color="auto"/>
              <w:right w:val="single" w:sz="8" w:color="auto"/>
            </w:tcBorders>
            <w:shd w:val="clear" w:color="auto" w:fill="A29E9C"/>
          </w:tcPr>
          <w:p>
            <w:pPr>
              <w:spacing w:after="0"/>
              <w:rPr>
                <w:sz w:val="20"/>
                <w:szCs w:val="20"/>
                <w:color w:val="auto"/>
              </w:rPr>
            </w:pPr>
            <w:r>
              <w:rPr>
                <w:rFonts w:ascii="Times New Roman" w:cs="Times New Roman" w:eastAsia="Times New Roman" w:hAnsi="Times New Roman"/>
                <w:sz w:val="17"/>
                <w:szCs w:val="17"/>
                <w:color w:val="auto"/>
              </w:rPr>
              <w:t>Potentially easy to handle</w:t>
            </w:r>
          </w:p>
        </w:tc>
      </w:tr>
      <w:tr>
        <w:trPr>
          <w:trHeight w:val="200"/>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Microporous</w:t>
            </w:r>
          </w:p>
        </w:tc>
        <w:tc>
          <w:tcPr>
            <w:tcW w:w="5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Potentially easy to smelt</w:t>
            </w:r>
          </w:p>
        </w:tc>
      </w:tr>
      <w:tr>
        <w:trPr>
          <w:trHeight w:val="176"/>
        </w:trPr>
        <w:tc>
          <w:tcPr>
            <w:tcW w:w="4480" w:type="dxa"/>
            <w:vAlign w:val="bottom"/>
            <w:tcBorders>
              <w:left w:val="single" w:sz="8" w:color="auto"/>
              <w:right w:val="single" w:sz="8" w:color="auto"/>
            </w:tcBorders>
            <w:shd w:val="clear" w:color="auto" w:fill="A29E9C"/>
          </w:tcPr>
          <w:p>
            <w:pPr>
              <w:ind w:left="20"/>
              <w:spacing w:after="0" w:line="176" w:lineRule="exact"/>
              <w:rPr>
                <w:sz w:val="20"/>
                <w:szCs w:val="20"/>
                <w:color w:val="auto"/>
              </w:rPr>
            </w:pPr>
            <w:r>
              <w:rPr>
                <w:rFonts w:ascii="Times New Roman" w:cs="Times New Roman" w:eastAsia="Times New Roman" w:hAnsi="Times New Roman"/>
                <w:sz w:val="17"/>
                <w:szCs w:val="17"/>
                <w:color w:val="auto"/>
              </w:rPr>
              <w:t>Very low concentrations of certain hazardous elements like</w:t>
            </w:r>
          </w:p>
        </w:tc>
        <w:tc>
          <w:tcPr>
            <w:tcW w:w="5140" w:type="dxa"/>
            <w:vAlign w:val="bottom"/>
            <w:tcBorders>
              <w:right w:val="single" w:sz="8" w:color="auto"/>
            </w:tcBorders>
            <w:shd w:val="clear" w:color="auto" w:fill="A29E9C"/>
          </w:tcPr>
          <w:p>
            <w:pPr>
              <w:spacing w:after="0" w:line="176" w:lineRule="exact"/>
              <w:rPr>
                <w:sz w:val="20"/>
                <w:szCs w:val="20"/>
                <w:color w:val="auto"/>
              </w:rPr>
            </w:pPr>
            <w:r>
              <w:rPr>
                <w:rFonts w:ascii="Times New Roman" w:cs="Times New Roman" w:eastAsia="Times New Roman" w:hAnsi="Times New Roman"/>
                <w:sz w:val="17"/>
                <w:szCs w:val="17"/>
                <w:color w:val="auto"/>
              </w:rPr>
              <w:t>Potential to productize almost 100% of nodule mass and design a</w:t>
            </w:r>
          </w:p>
        </w:tc>
      </w:tr>
      <w:tr>
        <w:trPr>
          <w:trHeight w:val="207"/>
        </w:trPr>
        <w:tc>
          <w:tcPr>
            <w:tcW w:w="4480" w:type="dxa"/>
            <w:vAlign w:val="bottom"/>
            <w:tcBorders>
              <w:left w:val="single" w:sz="8" w:color="auto"/>
              <w:right w:val="single" w:sz="8" w:color="auto"/>
            </w:tcBorders>
            <w:shd w:val="clear" w:color="auto" w:fill="A29E9C"/>
          </w:tcPr>
          <w:p>
            <w:pPr>
              <w:ind w:left="20"/>
              <w:spacing w:after="0"/>
              <w:rPr>
                <w:sz w:val="20"/>
                <w:szCs w:val="20"/>
                <w:color w:val="auto"/>
              </w:rPr>
            </w:pPr>
            <w:r>
              <w:rPr>
                <w:rFonts w:ascii="Times New Roman" w:cs="Times New Roman" w:eastAsia="Times New Roman" w:hAnsi="Times New Roman"/>
                <w:sz w:val="17"/>
                <w:szCs w:val="17"/>
                <w:color w:val="auto"/>
              </w:rPr>
              <w:t>arsenic, antimony and mercury</w:t>
            </w:r>
          </w:p>
        </w:tc>
        <w:tc>
          <w:tcPr>
            <w:tcW w:w="5140" w:type="dxa"/>
            <w:vAlign w:val="bottom"/>
            <w:tcBorders>
              <w:right w:val="single" w:sz="8" w:color="auto"/>
            </w:tcBorders>
            <w:shd w:val="clear" w:color="auto" w:fill="A29E9C"/>
          </w:tcPr>
          <w:p>
            <w:pPr>
              <w:spacing w:after="0"/>
              <w:rPr>
                <w:sz w:val="20"/>
                <w:szCs w:val="20"/>
                <w:color w:val="auto"/>
              </w:rPr>
            </w:pPr>
            <w:r>
              <w:rPr>
                <w:rFonts w:ascii="Times New Roman" w:cs="Times New Roman" w:eastAsia="Times New Roman" w:hAnsi="Times New Roman"/>
                <w:sz w:val="17"/>
                <w:szCs w:val="17"/>
                <w:color w:val="auto"/>
              </w:rPr>
              <w:t>metallurgical flowsheet that generates no tailings and leaves almost no</w:t>
            </w:r>
          </w:p>
        </w:tc>
      </w:tr>
      <w:tr>
        <w:trPr>
          <w:trHeight w:val="232"/>
        </w:trPr>
        <w:tc>
          <w:tcPr>
            <w:tcW w:w="4480" w:type="dxa"/>
            <w:vAlign w:val="bottom"/>
            <w:tcBorders>
              <w:left w:val="single" w:sz="8" w:color="auto"/>
              <w:bottom w:val="single" w:sz="8" w:color="auto"/>
              <w:right w:val="single" w:sz="8" w:color="auto"/>
            </w:tcBorders>
            <w:shd w:val="clear" w:color="auto" w:fill="A29E9C"/>
          </w:tcPr>
          <w:p>
            <w:pPr>
              <w:spacing w:after="0"/>
              <w:rPr>
                <w:sz w:val="20"/>
                <w:szCs w:val="20"/>
                <w:color w:val="auto"/>
              </w:rPr>
            </w:pPr>
          </w:p>
        </w:tc>
        <w:tc>
          <w:tcPr>
            <w:tcW w:w="5140" w:type="dxa"/>
            <w:vAlign w:val="bottom"/>
            <w:tcBorders>
              <w:bottom w:val="single" w:sz="8" w:color="auto"/>
              <w:right w:val="single" w:sz="8" w:color="auto"/>
            </w:tcBorders>
            <w:shd w:val="clear" w:color="auto" w:fill="A29E9C"/>
          </w:tcPr>
          <w:p>
            <w:pPr>
              <w:spacing w:after="0"/>
              <w:rPr>
                <w:sz w:val="20"/>
                <w:szCs w:val="20"/>
                <w:color w:val="auto"/>
              </w:rPr>
            </w:pPr>
            <w:r>
              <w:rPr>
                <w:rFonts w:ascii="Times New Roman" w:cs="Times New Roman" w:eastAsia="Times New Roman" w:hAnsi="Times New Roman"/>
                <w:sz w:val="17"/>
                <w:szCs w:val="17"/>
                <w:color w:val="auto"/>
              </w:rPr>
              <w:t>solid waste streams behind</w:t>
            </w:r>
          </w:p>
        </w:tc>
      </w:tr>
    </w:tbl>
    <w:p>
      <w:pPr>
        <w:spacing w:after="0" w:line="183" w:lineRule="exact"/>
        <w:rPr>
          <w:sz w:val="20"/>
          <w:szCs w:val="20"/>
          <w:color w:val="auto"/>
        </w:rPr>
      </w:pPr>
    </w:p>
    <w:p>
      <w:pPr>
        <w:jc w:val="both"/>
        <w:ind w:right="20" w:firstLine="311"/>
        <w:spacing w:after="0" w:line="259" w:lineRule="auto"/>
        <w:rPr>
          <w:sz w:val="20"/>
          <w:szCs w:val="20"/>
          <w:color w:val="auto"/>
        </w:rPr>
      </w:pPr>
      <w:r>
        <w:rPr>
          <w:rFonts w:ascii="Times New Roman" w:cs="Times New Roman" w:eastAsia="Times New Roman" w:hAnsi="Times New Roman"/>
          <w:sz w:val="17"/>
          <w:szCs w:val="17"/>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United States (“U.S.”), we can also compress the current supply chain that some materials need to travel before reaching the U.S. of 50,000 miles down to 1,500 miles, while reducing dependency on China which dominates refining for battery metals such as nickel, cobalt and manganese.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22" w:lineRule="exact"/>
        <w:rPr>
          <w:sz w:val="20"/>
          <w:szCs w:val="20"/>
          <w:color w:val="auto"/>
        </w:rPr>
      </w:pPr>
    </w:p>
    <w:p>
      <w:pPr>
        <w:jc w:val="both"/>
        <w:ind w:right="20" w:firstLine="312"/>
        <w:spacing w:after="0" w:line="263" w:lineRule="auto"/>
        <w:rPr>
          <w:sz w:val="20"/>
          <w:szCs w:val="20"/>
          <w:color w:val="auto"/>
        </w:rPr>
      </w:pPr>
      <w:r>
        <w:rPr>
          <w:rFonts w:ascii="Times New Roman" w:cs="Times New Roman" w:eastAsia="Times New Roman" w:hAnsi="Times New Roman"/>
          <w:sz w:val="17"/>
          <w:szCs w:val="17"/>
          <w:color w:val="auto"/>
        </w:rPr>
        <w:t>A 2021 study by the International Energy Agency shows that the production of energy transition minerals could increase by 600% by 2040 to meet the growing demand for low-carbon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volatility in metal prices should land-based ores remain the only viable source of critical metals.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7" w:right="1300" w:bottom="1440" w:gutter="0" w:footer="0" w:header="0"/>
        </w:sectPr>
      </w:pPr>
    </w:p>
    <w:bookmarkStart w:id="12" w:name="page13"/>
    <w:bookmarkEnd w:id="12"/>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Industries which represent an end-use segment that may require all four critical metals contained in nodules (e.g. EVs) are of particular interest to us and represent potential market opportunities. Nodules contain metals that can be employed as: (i) feedstock for battery cathode precursors (nickel, cobalt and manganese sulfates) for EV and renewable energy storage markets, (ii) copper cathode for EV wiring, energy transmission and other applications, and (iii) manganese silicate for manganese alloy production required for steel production. See Section – </w:t>
      </w:r>
      <w:r>
        <w:rPr>
          <w:rFonts w:ascii="Times New Roman" w:cs="Times New Roman" w:eastAsia="Times New Roman" w:hAnsi="Times New Roman"/>
          <w:sz w:val="17"/>
          <w:szCs w:val="17"/>
          <w:i w:val="1"/>
          <w:iCs w:val="1"/>
          <w:color w:val="auto"/>
        </w:rPr>
        <w:t>Competitive Strengths</w:t>
      </w:r>
      <w:r>
        <w:rPr>
          <w:rFonts w:ascii="Times New Roman" w:cs="Times New Roman" w:eastAsia="Times New Roman" w:hAnsi="Times New Roman"/>
          <w:sz w:val="17"/>
          <w:szCs w:val="17"/>
          <w:color w:val="auto"/>
        </w:rPr>
        <w:t>. While end-uses driven by the energy transition represent a small fraction of the total use of the four metals contained in polymetallic nodules today, we believe that the relative use of these four metals by EV’s and other energy transition is set to increase significantly over the next decades.</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below charts published by the International Energy Agency show increasing global demand by end-use application for nickel, cobalt, copper and manganese, under the scenario that net zero emissions is achieved by 2050. The International Energy Agency provides global demand projections for 37 critical minerals needed for clean energy transitions across various target and technology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113665</wp:posOffset>
            </wp:positionV>
            <wp:extent cx="5222875" cy="26498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
                      <a:extLst>
                        <a:ext uri="{28A0092B-C50C-407E-A947-70E740481C1C}"/>
                      </a:extLst>
                    </a:blip>
                    <a:srcRect/>
                    <a:stretch>
                      <a:fillRect/>
                    </a:stretch>
                  </pic:blipFill>
                  <pic:spPr bwMode="auto">
                    <a:xfrm>
                      <a:off x="0" y="0"/>
                      <a:ext cx="522287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1373505</wp:posOffset>
            </wp:positionH>
            <wp:positionV relativeFrom="page">
              <wp:posOffset>858520</wp:posOffset>
            </wp:positionV>
            <wp:extent cx="5222875" cy="55308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a:extLst>
                        <a:ext uri="{28A0092B-C50C-407E-A947-70E740481C1C}"/>
                      </a:extLst>
                    </a:blip>
                    <a:srcRect/>
                    <a:stretch>
                      <a:fillRect/>
                    </a:stretch>
                  </pic:blipFill>
                  <pic:spPr bwMode="auto">
                    <a:xfrm>
                      <a:off x="0" y="0"/>
                      <a:ext cx="5222875" cy="55308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371475</wp:posOffset>
                </wp:positionV>
                <wp:extent cx="610997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92">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9.25pt" to="474.55pt,29.25pt" o:allowincell="f" strokecolor="#000000" strokeweight="1.9443pt"/>
            </w:pict>
          </mc:Fallback>
        </mc:AlternateContent>
      </w:r>
    </w:p>
    <w:p>
      <w:pPr>
        <w:sectPr>
          <w:pgSz w:w="12240" w:h="15840" w:orient="portrait"/>
          <w:cols w:equalWidth="0" w:num="1">
            <w:col w:w="9360"/>
          </w:cols>
          <w:pgMar w:left="14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1275080</wp:posOffset>
            </wp:positionH>
            <wp:positionV relativeFrom="page">
              <wp:posOffset>858520</wp:posOffset>
            </wp:positionV>
            <wp:extent cx="5222875" cy="262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222875" cy="26257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IEA Critical Minerals Market Review 2023</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65">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65pt"/>
            </w:pict>
          </mc:Fallback>
        </mc:AlternateContent>
      </w:r>
    </w:p>
    <w:p>
      <w:pPr>
        <w:sectPr>
          <w:pgSz w:w="12240" w:h="15840" w:orient="portrait"/>
          <w:cols w:equalWidth="0" w:num="1">
            <w:col w:w="9480"/>
          </w:cols>
          <w:pgMar w:left="1320" w:top="144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Battery Metals and EV Market Opportunity Global</w:t>
      </w:r>
    </w:p>
    <w:p>
      <w:pPr>
        <w:spacing w:after="0" w:line="21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believe the world is at the very beginning of a multi-decade electrification of road transportation. According to Bloomberg New Energy Finance (BNEF), at the end of 2023, the global fleet of four-wheeled vehicles including cars, vans, trucks, and buses numbered 1.57 billion (up 2.1% from 2022) and only 41 million passenger cars, or less than 3%, were electric. However, the new sales of internal combustion cars have decreased since 2017 as sales of battery electric and plug-in hybrids vehicles have increased and accounted for over 15% of global passenger vehicle sales in 2023. By 2030, automakers have collectively committed to sell 47 million EVs a year, a commitment that represents more than tripling of current sales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120650</wp:posOffset>
            </wp:positionV>
            <wp:extent cx="4054475" cy="3160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9">
                      <a:extLst>
                        <a:ext uri="{28A0092B-C50C-407E-A947-70E740481C1C}"/>
                      </a:extLst>
                    </a:blip>
                    <a:srcRect/>
                    <a:stretch>
                      <a:fillRect/>
                    </a:stretch>
                  </pic:blipFill>
                  <pic:spPr bwMode="auto">
                    <a:xfrm>
                      <a:off x="0" y="0"/>
                      <a:ext cx="4054475" cy="3160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electrification of global road transportation is underpinned by the rapid expansion of the battery manufacturing capacity, which started accelerating since 2020 and is expected to reach 8TWh by 2040.</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Battery chemistries that require metals contained in CCZ polymetallic nodules, nickel, cobalt and manganese, deliver high energy densities and are typically deployed in vehicles requiring long range (e.g., luxury and upmarket passenger cars) and power (trucks). In 2023, these battery chemistries accounted for 58% of overall battery manufacturing, which represented only a small portion of the overall use of nickel (~12% of nickel demand) and manganese (&lt;1% of manganese demand). In addition, the use of batteries with different chemistries has changed over time, and we expect demand for the four metals found in polymetallic nodules to increase as the demand for batteries with certain chemistries increases.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1323975</wp:posOffset>
            </wp:positionH>
            <wp:positionV relativeFrom="page">
              <wp:posOffset>858520</wp:posOffset>
            </wp:positionV>
            <wp:extent cx="5123815" cy="5621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0">
                      <a:extLst>
                        <a:ext uri="{28A0092B-C50C-407E-A947-70E740481C1C}"/>
                      </a:extLst>
                    </a:blip>
                    <a:srcRect/>
                    <a:stretch>
                      <a:fillRect/>
                    </a:stretch>
                  </pic:blipFill>
                  <pic:spPr bwMode="auto">
                    <a:xfrm>
                      <a:off x="0" y="0"/>
                      <a:ext cx="5123815" cy="562102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believe there will be continued growth in EV demand, with many countries committing to phasing out cars that burn fossil fuels and many original equipment manufacturers (“OEMs”) devoting significant resources to the electrification of their vehicle offerings. In 2023, the number of signatories to the Zero Emission Vehicle declaration announced at the UN Climate Change Conference (COP28) increased to 228; the declaration is aimed at accelerating the transition to zero emission vehicles with a goal to reach 100% new EV car and van sales by 2040, and by 2035 in leading markets. In the U.S., 23 states, plus the District of Columbia and Puerto Rico, have set 100% decarbonized energy goals by 2050 or sooner, with the Biden administration seeking to make half of all new vehicles sold in the U.S. zero-emissions vehicles by 2030. We believe the transition to low carbon energy and EVs will test the limits of the current supply of certain metals, as EVs require several times more of these metals (such as nickel, cobalt and copper) than cars with internal combustion engines. Following price surges in 2022 in anticipation of a period of increased demand, an oversupply of nickel largely produced in</w:t>
      </w:r>
    </w:p>
    <w:p>
      <w:pPr>
        <w:sectPr>
          <w:pgSz w:w="12240" w:h="15840" w:orient="portrait"/>
          <w:cols w:equalWidth="0" w:num="1">
            <w:col w:w="9600"/>
          </w:cols>
          <w:pgMar w:left="1320" w:top="1440" w:right="132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371475</wp:posOffset>
                </wp:positionV>
                <wp:extent cx="6109970"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9.25pt" to="480.55pt,29.25pt" o:allowincell="f" strokecolor="#000000" strokeweight="1.9434pt"/>
            </w:pict>
          </mc:Fallback>
        </mc:AlternateContent>
      </w:r>
    </w:p>
    <w:p>
      <w:pPr>
        <w:sectPr>
          <w:pgSz w:w="12240" w:h="15840" w:orient="portrait"/>
          <w:cols w:equalWidth="0" w:num="1">
            <w:col w:w="9600"/>
          </w:cols>
          <w:pgMar w:left="1320" w:top="1440" w:right="1320" w:bottom="1440" w:gutter="0" w:footer="0" w:header="0"/>
          <w:type w:val="continuous"/>
        </w:sectPr>
      </w:pPr>
    </w:p>
    <w:bookmarkStart w:id="17" w:name="page18"/>
    <w:bookmarkEnd w:id="17"/>
    <w:p>
      <w:pPr>
        <w:jc w:val="both"/>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Indonesia has driven down prices of the metals. These surpluses, however, could be temporary and we believe potential shortages in nickel and cobalt supply could return in the 2027/2028 timeframe, subject to developments in Indonesia and responses by the U.S. and the European Union where regulators could impose measures to differentiate between sources of metal based on the environmental and social impacts of these sources. Since prices of these metals have declined, investments by Western countries have declined and some of these interests have stopped mining/production of these metals altogether. It should be noted that current metal prices as of the date of this report are similar to projections used in the initial assessment from March 2021 for the NORI Area D project.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Battery Metals and EV Market Opportunity in the U.S.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Although the total fleet of four-wheeled vehicles in the U.S. (267 million or 17% of global) is roughly comparable in size to that of China (361 million or 23% of global), the U.S. EV fleet is three times smaller in relative terms than that of China (5.1 million EVs or 2% of national fleet vs. 22 million EVs in China or 6% of national fleet).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113665</wp:posOffset>
            </wp:positionV>
            <wp:extent cx="5123815" cy="19011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
                      <a:extLst>
                        <a:ext uri="{28A0092B-C50C-407E-A947-70E740481C1C}"/>
                      </a:extLst>
                    </a:blip>
                    <a:srcRect/>
                    <a:stretch>
                      <a:fillRect/>
                    </a:stretch>
                  </pic:blipFill>
                  <pic:spPr bwMode="auto">
                    <a:xfrm>
                      <a:off x="0" y="0"/>
                      <a:ext cx="5123815" cy="1901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312"/>
        <w:spacing w:after="0" w:line="298" w:lineRule="auto"/>
        <w:rPr>
          <w:sz w:val="20"/>
          <w:szCs w:val="20"/>
          <w:color w:val="auto"/>
        </w:rPr>
      </w:pPr>
      <w:r>
        <w:rPr>
          <w:rFonts w:ascii="Times New Roman" w:cs="Times New Roman" w:eastAsia="Times New Roman" w:hAnsi="Times New Roman"/>
          <w:sz w:val="17"/>
          <w:szCs w:val="17"/>
          <w:color w:val="auto"/>
        </w:rPr>
        <w:t>Based on 2023 data, the U.S. is the second largest consumer of battery nickel based on EV end-use. We expect this use to grow significantly in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102235</wp:posOffset>
            </wp:positionV>
            <wp:extent cx="5222875" cy="2411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2">
                      <a:extLst>
                        <a:ext uri="{28A0092B-C50C-407E-A947-70E740481C1C}"/>
                      </a:extLst>
                    </a:blip>
                    <a:srcRect/>
                    <a:stretch>
                      <a:fillRect/>
                    </a:stretch>
                  </pic:blipFill>
                  <pic:spPr bwMode="auto">
                    <a:xfrm>
                      <a:off x="0" y="0"/>
                      <a:ext cx="5222875"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In August 2021, the U.S. government announced a target of 50% EV sales by 2030 and in August of 2022, the U.S. Congress enacted the Inflation Reduction Act of 2022 (“IRA”) which included incentivizing EV adoption and domestic production of clean vehicle</w:t>
      </w:r>
    </w:p>
    <w:p>
      <w:pPr>
        <w:sectPr>
          <w:pgSz w:w="12240" w:h="15840" w:orient="portrait"/>
          <w:cols w:equalWidth="0" w:num="1">
            <w:col w:w="9600"/>
          </w:cols>
          <w:pgMar w:left="1320" w:top="1327" w:right="1320"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18" w:name="page19"/>
    <w:bookmarkEnd w:id="18"/>
    <w:p>
      <w:pPr>
        <w:jc w:val="both"/>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critical mineral and battery components. These announcements resulted in industry commitments to build battery cell manufacturing gigafactories, which would represent approximately 1.3TWh of aggregate capacity across North America, according to Benchmark Minerals Intelligence (“Benchmark”). While the IRA has helped attract over US$100 billion in EV value chain investments, less than 1.3% of the total is being invested in the sourcing of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1875790</wp:posOffset>
            </wp:positionH>
            <wp:positionV relativeFrom="paragraph">
              <wp:posOffset>117475</wp:posOffset>
            </wp:positionV>
            <wp:extent cx="2343785" cy="17532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3">
                      <a:extLst>
                        <a:ext uri="{28A0092B-C50C-407E-A947-70E740481C1C}"/>
                      </a:extLst>
                    </a:blip>
                    <a:srcRect/>
                    <a:stretch>
                      <a:fillRect/>
                    </a:stretch>
                  </pic:blipFill>
                  <pic:spPr bwMode="auto">
                    <a:xfrm>
                      <a:off x="0" y="0"/>
                      <a:ext cx="2343785" cy="1753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18ktpa of nickel, 0.6ktpa of cobalt, and zero primary production of manganese. Across our NORI and TOML contract areas, we have estimated resources of 15.9Mt of nickel, 2.2Mt of cobalt and 355Mt of manganese plus 13.3Mt of copper, with the potential to take the U.S. from zero or de minimis production of those metals, which comprise the metals used in the most prominent battery cathode (NMC) in 2023 to near self-sufficiency or potentially a net export position in each. In September 2023, nine U.S. House of Representatives members wrote to the Secretary of Defense, Lloyd Austin, noting that the United States has “an opportunity to evaluate domestic processing and refining of seafloor resources from contracts held by allied parties in international waters,” and urging the Department of Defense to “assess polymetallic nodules as a viable resource to secure critical minerals and close national security vulnerabilities.” In December 2023, 31 U.S. House of Representatives members wrote to the Secretary of Defense, Lloyd Austin, emphasizing “the importance of evaluating and planning for seabed mining as a new vector of competition with China for resource superiority and security.” Additional letters from five members of the Texas House delegation as well as Senator Cornyn were written to the Department of Defense in support of our U.S. subsidiary DeepGreen Resources’ application to the Defense Production Act Title III program for support with a site-specific feasibility study for its planned full-scale processing plant.</w:t>
      </w:r>
    </w:p>
    <w:p>
      <w:pPr>
        <w:spacing w:after="0" w:line="130"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Also in December of 2023, the U.S. National Defense Authorization Act (NDAA) was signed into law for fiscal year 2024 including a provision on ‘Critical and Strategic Minerals and Materials Sourcing from Seafloor Resources.’ In this provision, the House Armed Services Committee (HASC) directed the Assistant Secretary of Defense for Industrial Base Policy to, by March 2024, submit a report to the HASC assessing the processing of seabed resources of polymetallic nodules domestically. Although not yet submitted, the report shall include, at a minimum, the following: (1) a review of current resources and controlling parties in securing seabed resources of polymetallic nodules; (2) an assessment of current domestic deep-sea mining and material processing capabilities; and (3) a roadmap recommending how the U.S. can have the ability to source and/or process critical minerals in innovative arenas, such as deep-sea mining, to decrease reliance on sources from foreign adversaries and bolster domestic competencies. We believe the continued focus by the U.S. government may increase our opportunities to develop operations in the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Market Opportunity</w:t>
      </w:r>
    </w:p>
    <w:p>
      <w:pPr>
        <w:spacing w:after="0" w:line="153"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All nickel, cobalt, copper and manganese going into EVs today are produced from land-based ores or recycled metal stock. Existing metal stocks available for recycling are insufficient to meet current demand. Even with high end-of-life product recycling rates, most of the new demand over the coming decades will have to be met by new mining. We believe the land mining sector is fundamentally challenged: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a real challenge on seismically active and wet tropical islands in countries like Indonesia that accounts for most of the growth in nickel supply.</w:t>
      </w:r>
    </w:p>
    <w:p>
      <w:pPr>
        <w:sectPr>
          <w:pgSz w:w="12240" w:h="15840" w:orient="portrait"/>
          <w:cols w:equalWidth="0" w:num="1">
            <w:col w:w="9600"/>
          </w:cols>
          <w:pgMar w:left="1320" w:top="1327" w:right="132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19" w:name="page20"/>
    <w:bookmarkEnd w:id="19"/>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As a result of a vigorous campaign by several non-governmental organizations, some participants in the EV supply chain have called for a general moratorium on all forms of deep seabed mining until there is more knowledge about marine impacts of nodule collection operations. While our Environmental &amp; Social Impact Assessment (ESIA) for offshore nodule collection segment of the NORI Area D Nodule Project is still ongoing, based on already completed research into lifecycle impacts of battery metal production specifically from deep-sea polymetallic nodules, we identified how nodules can potentially provide an opportunity to significantly compress most lifecycle environmental, social and governance (ESG) impacts associated with conventional metal production from land-based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120650</wp:posOffset>
            </wp:positionV>
            <wp:extent cx="5222875" cy="2929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4">
                      <a:extLst>
                        <a:ext uri="{28A0092B-C50C-407E-A947-70E740481C1C}"/>
                      </a:extLst>
                    </a:blip>
                    <a:srcRect/>
                    <a:stretch>
                      <a:fillRect/>
                    </a:stretch>
                  </pic:blipFill>
                  <pic:spPr bwMode="auto">
                    <a:xfrm>
                      <a:off x="0" y="0"/>
                      <a:ext cx="5222875"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65">
                          <a:solidFill>
                            <a:srgbClr val="00000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65pt"/>
            </w:pict>
          </mc:Fallback>
        </mc:AlternateContent>
      </w:r>
    </w:p>
    <w:p>
      <w:pPr>
        <w:sectPr>
          <w:pgSz w:w="12240" w:h="15840" w:orient="portrait"/>
          <w:cols w:equalWidth="0" w:num="1">
            <w:col w:w="9600"/>
          </w:cols>
          <w:pgMar w:left="1320" w:top="1327" w:right="1320" w:bottom="1440" w:gutter="0" w:footer="0" w:header="0"/>
        </w:sectPr>
      </w:pPr>
    </w:p>
    <w:bookmarkStart w:id="20" w:name="page21"/>
    <w:bookmarkEnd w:id="20"/>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To quantify environmental footprints of metal production from nodules as compared to conventional land ores, we commissioned several lifecycle assessments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independent LCA compliant with the International Organization for Standardization Standard 14040 on our NORI Area D project was conducted by Benchmark and released in March 2023. Based on these LCA assessments that we commissioned, we believe that we are positioned to become one of the lowest ESG footprint metal companies in the industry. The March 2023 LCA by Benchmark shows that the NORI Area D project model performed better in each impact category analyzed than all the land-based processing routes chosen for comparison, except for the global warming potential (“GWP”) and water consumption of producing cobalt sulfate, in which one land-based route performed better. While most of these reductions are attributable to the unique characteristics of the polymetallic nodule resource as described above, the elimination of solid processing waste streams onshore is due to our investment in a near-zero-waste flowsheet design and part of the low carbon emissions are due to our commitment to locate onshore processing facilities in places with access to low carbon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128270</wp:posOffset>
            </wp:positionV>
            <wp:extent cx="5222875" cy="2896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5">
                      <a:extLst>
                        <a:ext uri="{28A0092B-C50C-407E-A947-70E740481C1C}"/>
                      </a:extLst>
                    </a:blip>
                    <a:srcRect/>
                    <a:stretch>
                      <a:fillRect/>
                    </a:stretch>
                  </pic:blipFill>
                  <pic:spPr bwMode="auto">
                    <a:xfrm>
                      <a:off x="0" y="0"/>
                      <a:ext cx="5222875" cy="289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Benchmark modeled the land-based processing routes with background ecoinvent data and foreground data from two expert chemical engineers in the nickel and cobalt industry. The NORI Area D Project data is based on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w:t>
      </w:r>
    </w:p>
    <w:p>
      <w:pPr>
        <w:spacing w:after="0" w:line="16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As part of the ESIA conducted by NORI in partnership with world leading deep-sea research institutions and contractors, we are currently assessing the impacts of the NORI Area D Project on marine biodiversity and ecosystem function. The CCZ abyssal plains are one of the most common and least populated habitats on the planet, akin to deserts on land. The CCZ abyssal seafloor is plant-free, food-poor and dominated by bacterial life forms. It has been studied extensively since the 1960s with over 150,000 papers published on polymetallic nodules in general and over 40,000 on CCZ nodules in particular.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65">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65pt"/>
            </w:pict>
          </mc:Fallback>
        </mc:AlternateContent>
      </w:r>
    </w:p>
    <w:p>
      <w:pPr>
        <w:sectPr>
          <w:pgSz w:w="12240" w:h="15840" w:orient="portrait"/>
          <w:cols w:equalWidth="0" w:num="1">
            <w:col w:w="9600"/>
          </w:cols>
          <w:pgMar w:left="1320" w:top="1327" w:right="1320" w:bottom="1440" w:gutter="0" w:footer="0" w:header="0"/>
        </w:sectPr>
      </w:pPr>
    </w:p>
    <w:bookmarkStart w:id="21" w:name="page22"/>
    <w:bookmarkEnd w:id="21"/>
    <w:p>
      <w:pPr>
        <w:jc w:val="both"/>
        <w:ind w:firstLine="311"/>
        <w:spacing w:after="0" w:line="23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of habitat, is easier to measure and compare. Based on available data we have reviewed, we believe that the CCZ is one of lowest biomass places on the planet. Metal production from nodules will reduce biomass at risk by over 90% compared to producing the same amount of metals from conventional land ores.</w:t>
      </w:r>
    </w:p>
    <w:p>
      <w:pPr>
        <w:spacing w:after="0" w:line="184" w:lineRule="exact"/>
        <w:rPr>
          <w:sz w:val="20"/>
          <w:szCs w:val="20"/>
          <w:color w:val="auto"/>
        </w:rPr>
      </w:pPr>
    </w:p>
    <w:p>
      <w:pPr>
        <w:jc w:val="both"/>
        <w:ind w:firstLine="311"/>
        <w:spacing w:after="0" w:line="234" w:lineRule="auto"/>
        <w:rPr>
          <w:sz w:val="20"/>
          <w:szCs w:val="20"/>
          <w:color w:val="auto"/>
        </w:rPr>
      </w:pPr>
      <w:r>
        <w:rPr>
          <w:rFonts w:ascii="Times New Roman" w:cs="Times New Roman" w:eastAsia="Times New Roman" w:hAnsi="Times New Roman"/>
          <w:sz w:val="17"/>
          <w:szCs w:val="17"/>
          <w:color w:val="auto"/>
        </w:rPr>
        <w:t>In contrast, land-based mining for nickel and cobalt occurs in diverse countries as identified by Benchmark in a study commissioned by us and published in November 2023. In both Indonesia and the Democratic Republic of the Congo (the “DRC”), which are the world’s largest producers of nickel and cobalt respectively, the extraction of metal ores through open pit mines requires the complete removal of overlying ecosystems and contained carbon sinks, in turn eliminating the carbon sequestration. The study found that 1 kilogram of nickel mined from saprolite and limonite ore in Sulawesi, Indonesia removes forests containing carbon stock equivalent to 7.0 and 9.4 kilograms of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e, and 3.6 kilograms of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e in the case of cobalt mined in Katanga, DRC. Due to the resulting vegetation change, mining activities cause carbon sequestration services loss of 4.8 grams and 6.5 grams of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e respectively for nickel, and 9.3 grams of CO</w:t>
      </w:r>
      <w:r>
        <w:rPr>
          <w:rFonts w:ascii="Times New Roman" w:cs="Times New Roman" w:eastAsia="Times New Roman" w:hAnsi="Times New Roman"/>
          <w:sz w:val="25"/>
          <w:szCs w:val="25"/>
          <w:color w:val="auto"/>
          <w:vertAlign w:val="subscript"/>
        </w:rPr>
        <w:t>2</w:t>
      </w:r>
      <w:r>
        <w:rPr>
          <w:rFonts w:ascii="Times New Roman" w:cs="Times New Roman" w:eastAsia="Times New Roman" w:hAnsi="Times New Roman"/>
          <w:sz w:val="17"/>
          <w:szCs w:val="17"/>
          <w:color w:val="auto"/>
        </w:rPr>
        <w:t>e for cobalt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134620</wp:posOffset>
            </wp:positionV>
            <wp:extent cx="5222875" cy="45675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6">
                      <a:extLst>
                        <a:ext uri="{28A0092B-C50C-407E-A947-70E740481C1C}"/>
                      </a:extLst>
                    </a:blip>
                    <a:srcRect/>
                    <a:stretch>
                      <a:fillRect/>
                    </a:stretch>
                  </pic:blipFill>
                  <pic:spPr bwMode="auto">
                    <a:xfrm>
                      <a:off x="0" y="0"/>
                      <a:ext cx="5222875" cy="456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65">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65pt"/>
            </w:pict>
          </mc:Fallback>
        </mc:AlternateContent>
      </w:r>
    </w:p>
    <w:p>
      <w:pPr>
        <w:sectPr>
          <w:pgSz w:w="12240" w:h="15840" w:orient="portrait"/>
          <w:cols w:equalWidth="0" w:num="1">
            <w:col w:w="9600"/>
          </w:cols>
          <w:pgMar w:left="1320" w:top="1327" w:right="1320" w:bottom="1440" w:gutter="0" w:footer="0" w:header="0"/>
        </w:sectPr>
      </w:pPr>
    </w:p>
    <w:bookmarkStart w:id="22" w:name="page23"/>
    <w:bookmarkEnd w:id="22"/>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As a precautionary environmental management and protection measure, the ISA has already set aside 43% of the CCZ as protected areas or 1.97 million square kilometers, or Areas of Particular Environmental Interest (APEIs) aiming to ensure that all types of habitats that could be impacted by exploitation are represented within APEIs. For comparison, only approximately 8.2%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172"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If the entire CCZ area currently under exploration (1.28 million square kilometers) were to be exploited over a 30-year period, these nodule collection operations would impact 42,500 square kilometers of the abyssal seafloor per year in one of the least productive areas of the ocean (with respect to the abundance of marine life). This is less than 1% of the estimated 4,900,000 square kilometers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248920</wp:posOffset>
            </wp:positionV>
            <wp:extent cx="5222875" cy="33826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7">
                      <a:extLst>
                        <a:ext uri="{28A0092B-C50C-407E-A947-70E740481C1C}"/>
                      </a:extLst>
                    </a:blip>
                    <a:srcRect/>
                    <a:stretch>
                      <a:fillRect/>
                    </a:stretch>
                  </pic:blipFill>
                  <pic:spPr bwMode="auto">
                    <a:xfrm>
                      <a:off x="0" y="0"/>
                      <a:ext cx="5222875" cy="338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Potential future commercial-scale nodule collection operations in the CCZ are likely to disturb marine wildlife in the operating area. The nature and severity of these impacts on CCZ wildlife are expected to vary by species and are currently subject to uncertainty. We have completed studies baselining wildlife and ecosystem function, piloting the nodule collection system and assessing impacts arising from the use of this system immediately following the collector test and 12 months after the collector test, processing and assessment of collected data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Given that similar challenges remain on land, with an estimated 70-80% of species still undescribed, it may also not be possible to definitively establish whether the impact of nodule collection on global biodiversity will be less significant than those estimated for land-based mining for a similar amount of produced metal.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65">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65pt"/>
            </w:pict>
          </mc:Fallback>
        </mc:AlternateContent>
      </w:r>
    </w:p>
    <w:p>
      <w:pPr>
        <w:sectPr>
          <w:pgSz w:w="12240" w:h="15840" w:orient="portrait"/>
          <w:cols w:equalWidth="0" w:num="1">
            <w:col w:w="9600"/>
          </w:cols>
          <w:pgMar w:left="1320" w:top="1327" w:right="1320" w:bottom="1440" w:gutter="0" w:footer="0" w:header="0"/>
        </w:sectPr>
      </w:pPr>
    </w:p>
    <w:bookmarkStart w:id="23" w:name="page24"/>
    <w:bookmarkEnd w:id="23"/>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areas would aid recruitment and recovery of nodule-dependent species in impacted areas will depend on factors like habitat connectivity, which is an area that is still under study.</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still in the exploration phase of the project and do not have the exploitation contracts necessary to commence commercial-scale nodule collection operations in the CCZ nor have we obtained the applicable environmental and other permits required to build and operate commercial scale polymetallic nodule processing and refining plants on land.</w:t>
      </w:r>
    </w:p>
    <w:p>
      <w:pPr>
        <w:spacing w:after="0" w:line="155" w:lineRule="exact"/>
        <w:rPr>
          <w:sz w:val="20"/>
          <w:szCs w:val="20"/>
          <w:color w:val="auto"/>
        </w:rPr>
      </w:pPr>
    </w:p>
    <w:p>
      <w:pPr>
        <w:jc w:val="both"/>
        <w:ind w:firstLine="311"/>
        <w:spacing w:after="0" w:line="256" w:lineRule="auto"/>
        <w:rPr>
          <w:sz w:val="20"/>
          <w:szCs w:val="20"/>
          <w:color w:val="auto"/>
        </w:rPr>
      </w:pPr>
      <w:r>
        <w:rPr>
          <w:rFonts w:ascii="Times New Roman" w:cs="Times New Roman" w:eastAsia="Times New Roman" w:hAnsi="Times New Roman"/>
          <w:sz w:val="17"/>
          <w:szCs w:val="17"/>
          <w:color w:val="auto"/>
        </w:rPr>
        <w:t>All extractive industries result in impacts to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is the central focus of our offshore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areas set aside by us and (2) the extent to which residual nodule cover will aid recruitment and recovery of these species in impacted areas. Disturbance of the seafloor by nodule collector vehicles is expected to disturb (mostly microbial) organisms living in and on the sediments. Impact severity will depend on the depth of sediment disturbance (expected to be approximately 5 centimeters based on modelling, laboratory tests, and recent collector tests completed in the CCZ by our subsidiary NORI and two other nodule contract-holders, Belgium’s Global Sea Mineral Resources NV (GSR) and the German’s BGR) and the impact this disturbance has on benthic ecosystem function. Over 90% of the entrained sediment is expected to be separated from nodules inside the collector vehicle and discharged behind the collector vehicle,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get dewatered and residual water, sediment and nodules fines will be returned at some depth in the water column below the highly populated and productive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Another research paper on seafloor sediment plumes published by MIT and the Scripps Institution of Oceanography in September 2022 found that 92-98% of benthic plume generated from the pilot nodule collector vehicle rose only two meters above the seafloor.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Strategic Positioning</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believe we are well positioned to meet the growing demand for critical battery metals:</w:t>
      </w:r>
    </w:p>
    <w:p>
      <w:pPr>
        <w:spacing w:after="0" w:line="216" w:lineRule="exact"/>
        <w:rPr>
          <w:sz w:val="20"/>
          <w:szCs w:val="20"/>
          <w:color w:val="auto"/>
        </w:rPr>
      </w:pPr>
    </w:p>
    <w:p>
      <w:pPr>
        <w:jc w:val="both"/>
        <w:ind w:left="640" w:hanging="310"/>
        <w:spacing w:after="0" w:line="261" w:lineRule="auto"/>
        <w:tabs>
          <w:tab w:leader="none" w:pos="64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Supply for increasing demand</w:t>
      </w:r>
      <w:r>
        <w:rPr>
          <w:rFonts w:ascii="Times New Roman" w:cs="Times New Roman" w:eastAsia="Times New Roman" w:hAnsi="Times New Roman"/>
          <w:sz w:val="17"/>
          <w:szCs w:val="17"/>
          <w:color w:val="auto"/>
        </w:rPr>
        <w:t>: The response to climate change is driving robust demand for EVs, renewable energy storage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infrastructure. To manufacture battery cells, gigafactories will need critical battery metals like nickel, cobalt, manganese, and copper to meet rising battery demand. Globally, the number of signatories to the Zero Emission Vehicle declaration announced at COP28 in November 2023 increased to 228, which is aimed at accelerating the transition to 100% new car sales being zero emission globally by 2040, and by 2035 in leading markets. The U.S. government enacted the IRA, spurring a ramp-up of investments in battery and battery component production. Additionally, the U.S. government entered into new critical mineral trade agreement with Japan, which we believe improves our business prospects related to our plans to commercially process nodules at the Pacific Metals Co. Ltd. (“PAMCO”) facility in Hachinohe, Japan.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24" w:name="page25"/>
    <w:bookmarkEnd w:id="24"/>
    <w:p>
      <w:pPr>
        <w:jc w:val="both"/>
        <w:ind w:left="640" w:hanging="309"/>
        <w:spacing w:after="0" w:line="261" w:lineRule="auto"/>
        <w:tabs>
          <w:tab w:leader="none" w:pos="6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Path to energy security</w:t>
      </w:r>
      <w:r>
        <w:rPr>
          <w:rFonts w:ascii="Times New Roman" w:cs="Times New Roman" w:eastAsia="Times New Roman" w:hAnsi="Times New Roman"/>
          <w:sz w:val="17"/>
          <w:szCs w:val="17"/>
          <w:color w:val="auto"/>
        </w:rPr>
        <w:t>: Throughout 2023, China limited exports of gallium and germanium, which are needed to produce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semiconductor chips and graphite, a key ingredient in battery anodes. China also banned the export of rare earth metal extraction and separation technologies used in production of hybrid and battery electric vehicle motors. These events underscore a national security rationale for the U.S. and Western countries for reducing dependence on China as the world’s largest refiner of Class 1 nickel, cobalt and manganese. With our NORI and TOML contract areas ranked as the world’s first and second largest undeveloped nickel projects, respectively, by Mining.com in both 2022 and 2023, we believe the polymetallic nodules found in our NORI and TOML contract areas offer an internationally governed source of key battery metals that can effectively be decoupled from Chinese supply chains.</w:t>
      </w:r>
    </w:p>
    <w:p>
      <w:pPr>
        <w:spacing w:after="0" w:line="164" w:lineRule="exact"/>
        <w:rPr>
          <w:rFonts w:ascii="Arial" w:cs="Arial" w:eastAsia="Arial" w:hAnsi="Arial"/>
          <w:sz w:val="17"/>
          <w:szCs w:val="17"/>
          <w:color w:val="auto"/>
        </w:rPr>
      </w:pPr>
    </w:p>
    <w:p>
      <w:pPr>
        <w:jc w:val="both"/>
        <w:ind w:left="640" w:hanging="309"/>
        <w:spacing w:after="0" w:line="270" w:lineRule="auto"/>
        <w:tabs>
          <w:tab w:leader="none" w:pos="640" w:val="left"/>
        </w:tabs>
        <w:numPr>
          <w:ilvl w:val="0"/>
          <w:numId w:val="6"/>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Advancing developing countries</w:t>
      </w:r>
      <w:r>
        <w:rPr>
          <w:rFonts w:ascii="Times New Roman" w:cs="Times New Roman" w:eastAsia="Times New Roman" w:hAnsi="Times New Roman"/>
          <w:sz w:val="17"/>
          <w:szCs w:val="17"/>
          <w:color w:val="auto"/>
        </w:rPr>
        <w:t>: All three of our Sponsoring States are small developing Pacific Island nations impacted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climate change, each of which expect to receive income streams from their sponsored areas if exploration contracts are granted to extract polymetallic nodules in their sponsored areas. Royalties from commercial production of polymetallic nodules payable to the ISA are required to be distributed by the ISA with focus on developing countries.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Advantages</w:t>
      </w:r>
    </w:p>
    <w:p>
      <w:pPr>
        <w:spacing w:after="0" w:line="222"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With the potential that our resources hold and the project advancements we have made to date, we believe we are better positioned than other suppliers to provide a solution to the growing need for critical battery metals:</w:t>
      </w:r>
    </w:p>
    <w:p>
      <w:pPr>
        <w:spacing w:after="0" w:line="134" w:lineRule="exact"/>
        <w:rPr>
          <w:sz w:val="20"/>
          <w:szCs w:val="20"/>
          <w:color w:val="auto"/>
        </w:rPr>
      </w:pPr>
    </w:p>
    <w:p>
      <w:pPr>
        <w:jc w:val="both"/>
        <w:ind w:left="640" w:hanging="309"/>
        <w:spacing w:after="0" w:line="270" w:lineRule="auto"/>
        <w:tabs>
          <w:tab w:leader="none" w:pos="64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Availability of abundant and high-grade resource off the U.S. western seaboard: </w:t>
      </w:r>
      <w:r>
        <w:rPr>
          <w:rFonts w:ascii="Times New Roman" w:cs="Times New Roman" w:eastAsia="Times New Roman" w:hAnsi="Times New Roman"/>
          <w:sz w:val="17"/>
          <w:szCs w:val="17"/>
          <w:color w:val="auto"/>
        </w:rPr>
        <w:t>There are four critical battery metals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(nickel, copper, cobalt and manganese) in relatively high concentrations in polymetallic nodules and we believe our contract areas have estimated </w:t>
      </w:r>
      <w:r>
        <w:rPr>
          <w:rFonts w:ascii="Times New Roman" w:cs="Times New Roman" w:eastAsia="Times New Roman" w:hAnsi="Times New Roman"/>
          <w:sz w:val="17"/>
          <w:szCs w:val="17"/>
          <w:i w:val="1"/>
          <w:iCs w:val="1"/>
          <w:color w:val="auto"/>
        </w:rPr>
        <w:t>in situ</w:t>
      </w:r>
      <w:r>
        <w:rPr>
          <w:rFonts w:ascii="Times New Roman" w:cs="Times New Roman" w:eastAsia="Times New Roman" w:hAnsi="Times New Roman"/>
          <w:sz w:val="17"/>
          <w:szCs w:val="17"/>
          <w:color w:val="auto"/>
        </w:rPr>
        <w:t xml:space="preserve"> quantities of these metals equivalent to the requirement for 280 million EVs, roughly the size of the entire U.S. passenger vehicle fleet on the road today.</w:t>
      </w:r>
    </w:p>
    <w:p>
      <w:pPr>
        <w:spacing w:after="0" w:line="156" w:lineRule="exact"/>
        <w:rPr>
          <w:rFonts w:ascii="Arial" w:cs="Arial" w:eastAsia="Arial" w:hAnsi="Arial"/>
          <w:sz w:val="17"/>
          <w:szCs w:val="17"/>
          <w:color w:val="auto"/>
        </w:rPr>
      </w:pPr>
    </w:p>
    <w:p>
      <w:pPr>
        <w:jc w:val="both"/>
        <w:ind w:left="640" w:hanging="309"/>
        <w:spacing w:after="0" w:line="270" w:lineRule="auto"/>
        <w:tabs>
          <w:tab w:leader="none" w:pos="64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Opportunity for battery metal production in the U.S.: </w:t>
      </w:r>
      <w:r>
        <w:rPr>
          <w:rFonts w:ascii="Times New Roman" w:cs="Times New Roman" w:eastAsia="Times New Roman" w:hAnsi="Times New Roman"/>
          <w:sz w:val="17"/>
          <w:szCs w:val="17"/>
          <w:color w:val="auto"/>
        </w:rPr>
        <w:t>The current supply chain of battery materials to the U.S.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w:t>
      </w:r>
    </w:p>
    <w:p>
      <w:pPr>
        <w:spacing w:after="0" w:line="156" w:lineRule="exact"/>
        <w:rPr>
          <w:rFonts w:ascii="Arial" w:cs="Arial" w:eastAsia="Arial" w:hAnsi="Arial"/>
          <w:sz w:val="17"/>
          <w:szCs w:val="17"/>
          <w:color w:val="auto"/>
        </w:rPr>
      </w:pPr>
    </w:p>
    <w:p>
      <w:pPr>
        <w:jc w:val="both"/>
        <w:ind w:left="640" w:hanging="309"/>
        <w:spacing w:after="0" w:line="266" w:lineRule="auto"/>
        <w:tabs>
          <w:tab w:leader="none" w:pos="64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Opportunity to reuse existing offshore assets and skills: </w:t>
      </w:r>
      <w:r>
        <w:rPr>
          <w:rFonts w:ascii="Times New Roman" w:cs="Times New Roman" w:eastAsia="Times New Roman" w:hAnsi="Times New Roman"/>
          <w:sz w:val="17"/>
          <w:szCs w:val="17"/>
          <w:color w:val="auto"/>
        </w:rPr>
        <w:t>We believe there is an opportunity for us to partner with offshore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 providers with deep operational experience in subsea environments gained in the oil and gas industry and with existing assets that can be repurposed for our offshore nodule collection operations. We have taken advantage of this opportunity by forging a strategic alliance with Allseas Group S.A. (“Allseas”), a leading offshore contractor in 2019. In 2020, Allseas acquired a drillship that was repurposed and classified as the world’s first deep-sea mining vessel.</w:t>
      </w:r>
    </w:p>
    <w:p>
      <w:pPr>
        <w:spacing w:after="0" w:line="160" w:lineRule="exact"/>
        <w:rPr>
          <w:rFonts w:ascii="Arial" w:cs="Arial" w:eastAsia="Arial" w:hAnsi="Arial"/>
          <w:sz w:val="17"/>
          <w:szCs w:val="17"/>
          <w:color w:val="auto"/>
        </w:rPr>
      </w:pPr>
    </w:p>
    <w:p>
      <w:pPr>
        <w:jc w:val="both"/>
        <w:ind w:left="640" w:hanging="309"/>
        <w:spacing w:after="0" w:line="270" w:lineRule="auto"/>
        <w:tabs>
          <w:tab w:leader="none" w:pos="641"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Demonstrated offshore nodule collection technology: </w:t>
      </w:r>
      <w:r>
        <w:rPr>
          <w:rFonts w:ascii="Times New Roman" w:cs="Times New Roman" w:eastAsia="Times New Roman" w:hAnsi="Times New Roman"/>
          <w:sz w:val="17"/>
          <w:szCs w:val="17"/>
          <w:color w:val="auto"/>
        </w:rPr>
        <w:t>In November 2022, NORI and Allseas completed the Pilot Mining Test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where approximately 4,500 tonnes of wet nodules were collected and more than 3,000 tonnes of wet nodules were lifted 4.3 kilometers to the surface after traversing over 80 kilometers of the seafloor in the NORI Area D, achieving a sustained production rate of 86.4 tonnes per hour with a scaled-down prototype seafloor nodule collector vehicle.</w:t>
      </w:r>
    </w:p>
    <w:p>
      <w:pPr>
        <w:spacing w:after="0" w:line="156" w:lineRule="exact"/>
        <w:rPr>
          <w:rFonts w:ascii="Arial" w:cs="Arial" w:eastAsia="Arial" w:hAnsi="Arial"/>
          <w:sz w:val="17"/>
          <w:szCs w:val="17"/>
          <w:color w:val="auto"/>
        </w:rPr>
      </w:pPr>
    </w:p>
    <w:p>
      <w:pPr>
        <w:jc w:val="both"/>
        <w:ind w:left="640" w:hanging="310"/>
        <w:spacing w:after="0" w:line="266" w:lineRule="auto"/>
        <w:tabs>
          <w:tab w:leader="none" w:pos="640" w:val="left"/>
        </w:tabs>
        <w:numPr>
          <w:ilvl w:val="0"/>
          <w:numId w:val="7"/>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Demonstrated onshore nodule processing technology: </w:t>
      </w:r>
      <w:r>
        <w:rPr>
          <w:rFonts w:ascii="Times New Roman" w:cs="Times New Roman" w:eastAsia="Times New Roman" w:hAnsi="Times New Roman"/>
          <w:sz w:val="17"/>
          <w:szCs w:val="17"/>
          <w:color w:val="auto"/>
        </w:rPr>
        <w:t>In 2021, we successfully completed the calcining and smelting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nodules into a manganese silicate product and nickel-copper-cobalt alloy intermediate product, followed by conversion and sulfidation of the alloy into matte. Testwork on the matte to define conditions for the hydrometallurgical refinery has been successfully conducted on all process stages and we anticipate completion of the program in the first quarter of 2024 with generation of what we believe will be battery-grade nickel and cobalt sulfates in test quantities.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7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73pt"/>
            </w:pict>
          </mc:Fallback>
        </mc:AlternateContent>
      </w:r>
    </w:p>
    <w:p>
      <w:pPr>
        <w:sectPr>
          <w:pgSz w:w="12240" w:h="15840" w:orient="portrait"/>
          <w:cols w:equalWidth="0" w:num="1">
            <w:col w:w="9600"/>
          </w:cols>
          <w:pgMar w:left="1320" w:top="1324" w:right="1320" w:bottom="1440" w:gutter="0" w:footer="0" w:header="0"/>
        </w:sectPr>
      </w:pPr>
    </w:p>
    <w:bookmarkStart w:id="25" w:name="page26"/>
    <w:bookmarkEnd w:id="25"/>
    <w:p>
      <w:pPr>
        <w:jc w:val="both"/>
        <w:ind w:left="640" w:hanging="309"/>
        <w:spacing w:after="0" w:line="260" w:lineRule="auto"/>
        <w:tabs>
          <w:tab w:leader="none" w:pos="641"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Opportunity to reuse existing onshore assets and skills: </w:t>
      </w:r>
      <w:r>
        <w:rPr>
          <w:rFonts w:ascii="Times New Roman" w:cs="Times New Roman" w:eastAsia="Times New Roman" w:hAnsi="Times New Roman"/>
          <w:sz w:val="17"/>
          <w:szCs w:val="17"/>
          <w:color w:val="auto"/>
        </w:rPr>
        <w:t>We believe there is an opportunity for us to partner with onshore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processors with deep operational experience in processing nickel-bearing ores and with existing Rotary Kiln Electric Arc Furnace (“RKEF”) plants that can be repurposed for processing our nodules into intermediate products. We have taken advantage of this opportunity by signing a non-binding memorandum of understanding (“MoU”) with PAMCO, an experienced operator of a nickel laterite smelting complex in Hachinohe, Japan (IRA-compliant jurisdiction) in 2023. Following the completion of a prefeasibility exercise by PAMCO to assess nodule processing at their facility, we have signed a binding MoU in November 2023 to complete a feasibility study to process the first 1.3 Mtpa (wet) of nodules at PAMCO’s facility. A demonstration trial at PAMCO’s Hachinohe facilities with 2,000 tonnes of nodules collected during the mining pilot is expected to take place in 2024, which would further de-risk the project.</w:t>
      </w:r>
    </w:p>
    <w:p>
      <w:pPr>
        <w:spacing w:after="0" w:line="167" w:lineRule="exact"/>
        <w:rPr>
          <w:rFonts w:ascii="Arial" w:cs="Arial" w:eastAsia="Arial" w:hAnsi="Arial"/>
          <w:sz w:val="17"/>
          <w:szCs w:val="17"/>
          <w:color w:val="auto"/>
        </w:rPr>
      </w:pPr>
    </w:p>
    <w:p>
      <w:pPr>
        <w:jc w:val="both"/>
        <w:ind w:left="640" w:hanging="310"/>
        <w:spacing w:after="0" w:line="263" w:lineRule="auto"/>
        <w:tabs>
          <w:tab w:leader="none" w:pos="64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Lower expected production cost: </w:t>
      </w:r>
      <w:r>
        <w:rPr>
          <w:rFonts w:ascii="Times New Roman" w:cs="Times New Roman" w:eastAsia="Times New Roman" w:hAnsi="Times New Roman"/>
          <w:sz w:val="17"/>
          <w:szCs w:val="17"/>
          <w:color w:val="auto"/>
        </w:rPr>
        <w:t>Based on the Initial Economic Assessment completed for NORI Area D project in March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2021, which was based on potential steady state production of approximately 12.5Mtpa of wet nodules from 2030 to 2045, we expected to be the second lowest cost nickel producer in the world, when reflecting the value of our byproducts). This Initial Economic Assessment was based on a high-capital asset expenditure (“CAPEX”) approach to our development and commercialization of operations where the majority of offshore and onshore production assets would be newly built by us. However, we are currently pursuing a low-CAPEX approach for our NORI Area D project where we reuse existing production assets.</w:t>
      </w:r>
    </w:p>
    <w:p>
      <w:pPr>
        <w:spacing w:after="0" w:line="373" w:lineRule="exact"/>
        <w:rPr>
          <w:rFonts w:ascii="Arial" w:cs="Arial" w:eastAsia="Arial" w:hAnsi="Arial"/>
          <w:sz w:val="17"/>
          <w:szCs w:val="17"/>
          <w:color w:val="auto"/>
        </w:rPr>
      </w:pPr>
    </w:p>
    <w:p>
      <w:pPr>
        <w:jc w:val="both"/>
        <w:ind w:left="640" w:hanging="309"/>
        <w:spacing w:after="0" w:line="267" w:lineRule="auto"/>
        <w:tabs>
          <w:tab w:leader="none" w:pos="64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b w:val="1"/>
          <w:bCs w:val="1"/>
          <w:color w:val="auto"/>
        </w:rPr>
        <w:t xml:space="preserve">Lower expected environmental, social and governance footprint: </w:t>
      </w:r>
      <w:r>
        <w:rPr>
          <w:rFonts w:ascii="Times New Roman" w:cs="Times New Roman" w:eastAsia="Times New Roman" w:hAnsi="Times New Roman"/>
          <w:sz w:val="17"/>
          <w:szCs w:val="17"/>
          <w:color w:val="auto"/>
        </w:rPr>
        <w:t>The LCA completed by Benchmark in March 2023 shows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NORI Area D project model performed better in most impact categories analyzed than all the land-based routes chosen for comparison. This favorable comparison is explained by the fact that we are developing a new type of high-grade multi-metal source found on the abyssal plain, a low biomass, low carbon sequestration deep-sea environment removed from human settlement.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Exploration Contracts</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We currently hold exclusive exploration rights through our subsidiaries NORI and TOML and exclusive commercial rights through an agreement with Marawa, to certain polymetallic nodule areas in the CCZ.</w:t>
      </w:r>
    </w:p>
    <w:p>
      <w:pPr>
        <w:spacing w:after="0" w:line="13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NORI. </w:t>
      </w:r>
      <w:r>
        <w:rPr>
          <w:rFonts w:ascii="Times New Roman" w:cs="Times New Roman" w:eastAsia="Times New Roman" w:hAnsi="Times New Roman"/>
          <w:sz w:val="17"/>
          <w:szCs w:val="17"/>
          <w:color w:val="auto"/>
        </w:rPr>
        <w:t>NORI our wholly-owned subsidiary, holds exploration rights to four blocks (NORI Area A, B, C, and D, the “NORI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Area”) covering 74,830 square kilometers in the CCZ that were granted by the ISA in July 2011. NORI is sponsored by Nauru pursuant to a certificate of sponsorship signed by the Government of Nauru on April 11, 2011. The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this Annual Report.</w:t>
      </w:r>
    </w:p>
    <w:p>
      <w:pPr>
        <w:spacing w:after="0" w:line="16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TOML. </w:t>
      </w:r>
      <w:r>
        <w:rPr>
          <w:rFonts w:ascii="Times New Roman" w:cs="Times New Roman" w:eastAsia="Times New Roman" w:hAnsi="Times New Roman"/>
          <w:sz w:val="17"/>
          <w:szCs w:val="17"/>
          <w:color w:val="auto"/>
        </w:rPr>
        <w:t>TOML our wholly-owned subsidiary which we acquired in March 2020, holds exploration rights to an area covering 74,713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26" w:name="page27"/>
    <w:bookmarkEnd w:id="26"/>
    <w:p>
      <w:pPr>
        <w:jc w:val="both"/>
        <w:ind w:firstLine="311"/>
        <w:spacing w:after="0" w:line="263" w:lineRule="auto"/>
        <w:rPr>
          <w:sz w:val="20"/>
          <w:szCs w:val="20"/>
          <w:color w:val="auto"/>
        </w:rPr>
      </w:pPr>
      <w:r>
        <w:rPr>
          <w:rFonts w:ascii="Times New Roman" w:cs="Times New Roman" w:eastAsia="Times New Roman" w:hAnsi="Times New Roman"/>
          <w:sz w:val="17"/>
          <w:szCs w:val="17"/>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Marawa. </w:t>
      </w:r>
      <w:r>
        <w:rPr>
          <w:rFonts w:ascii="Times New Roman" w:cs="Times New Roman" w:eastAsia="Times New Roman" w:hAnsi="Times New Roman"/>
          <w:sz w:val="17"/>
          <w:szCs w:val="17"/>
          <w:color w:val="auto"/>
        </w:rPr>
        <w:t>DGE, our wholly-owned subsidiary, entered into agreements with Marawa and Kiribati which provide DGE with exclusive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121285</wp:posOffset>
            </wp:positionV>
            <wp:extent cx="5222875" cy="2551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8">
                      <a:extLst>
                        <a:ext uri="{28A0092B-C50C-407E-A947-70E740481C1C}"/>
                      </a:extLst>
                    </a:blip>
                    <a:srcRect/>
                    <a:stretch>
                      <a:fillRect/>
                    </a:stretch>
                  </pic:blipFill>
                  <pic:spPr bwMode="auto">
                    <a:xfrm>
                      <a:off x="0" y="0"/>
                      <a:ext cx="5222875" cy="255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Republic of Nauru and the Kingdom of Tonga, respectively. We intend to utilize processing operations in locations that are yet to be finalized. We have chosen a capital-light approach to our operations and have focused on forming deep strategic partnerships with leading offshore and onshore companies.</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key strategic alliances include:</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Allseas: </w:t>
      </w:r>
      <w:r>
        <w:rPr>
          <w:rFonts w:ascii="Times New Roman" w:cs="Times New Roman" w:eastAsia="Times New Roman" w:hAnsi="Times New Roman"/>
          <w:sz w:val="17"/>
          <w:szCs w:val="17"/>
          <w:color w:val="auto"/>
        </w:rPr>
        <w:t>Allseas, a leading global offshore contractor, has developed and successfully tested the pilot nodule collection system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NORI Area D, completed in the fourth quarter of 2022. The experience from the development and testing program of the pilot system are now informing the design of upgrades and modifications into the initial smaller scale commercial production system which is expected to serve as the basis for the design of a full-scale commercial production system.</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Glencore: </w:t>
      </w:r>
      <w:r>
        <w:rPr>
          <w:rFonts w:ascii="Times New Roman" w:cs="Times New Roman" w:eastAsia="Times New Roman" w:hAnsi="Times New Roman"/>
          <w:sz w:val="17"/>
          <w:szCs w:val="17"/>
          <w:color w:val="auto"/>
        </w:rPr>
        <w:t>Glencore International AG (Glencore) holds offtake rights to 50% of the NORI nickel and copper production. Glencore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 to purchase from DGE 50% of the annual quantity of copper material and 50% of the annual quantity of nickel material produced by DGE from ore derived from the NORI Contract Area at a processing plant directly owned or controlled by DGE.</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Hatch and KPM: </w:t>
      </w:r>
      <w:r>
        <w:rPr>
          <w:rFonts w:ascii="Times New Roman" w:cs="Times New Roman" w:eastAsia="Times New Roman" w:hAnsi="Times New Roman"/>
          <w:sz w:val="17"/>
          <w:szCs w:val="17"/>
          <w:color w:val="auto"/>
        </w:rPr>
        <w:t>We have worked with engineering firm Hatch Ltd. (“Hatch”) and consultants Kingston Process Metallurgy Inc.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(KPM) to develop a near-zero solid waste flowsheet. The primary processing stages of the flowsheet from nodule to NiCuCo matte intermediate were demonstrated as part of our pilot plant program at FLSmidth and Xpert Process Solutions, a Glencore company (“XPS”), facilities. The matte refining stages are being tested at SGS Lakefield. The near-zero solid waste flowsheet is expected to serve as the basis for our onshore processing facilities.</w:t>
      </w:r>
    </w:p>
    <w:p>
      <w:pPr>
        <w:sectPr>
          <w:pgSz w:w="12240" w:h="15840" w:orient="portrait"/>
          <w:cols w:equalWidth="0" w:num="1">
            <w:col w:w="9600"/>
          </w:cols>
          <w:pgMar w:left="1320" w:top="1327" w:right="132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367665</wp:posOffset>
                </wp:positionV>
                <wp:extent cx="610997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76">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5pt" to="480.55pt,28.95pt" o:allowincell="f" strokecolor="#000000" strokeweight="1.2973pt"/>
            </w:pict>
          </mc:Fallback>
        </mc:AlternateContent>
      </w:r>
    </w:p>
    <w:p>
      <w:pPr>
        <w:sectPr>
          <w:pgSz w:w="12240" w:h="15840" w:orient="portrait"/>
          <w:cols w:equalWidth="0" w:num="1">
            <w:col w:w="9600"/>
          </w:cols>
          <w:pgMar w:left="1320" w:top="1327" w:right="1320" w:bottom="1440" w:gutter="0" w:footer="0" w:header="0"/>
          <w:type w:val="continuous"/>
        </w:sectPr>
      </w:pPr>
    </w:p>
    <w:bookmarkStart w:id="27" w:name="page28"/>
    <w:bookmarkEnd w:id="27"/>
    <w:p>
      <w:pPr>
        <w:jc w:val="both"/>
        <w:ind w:firstLine="312"/>
        <w:spacing w:after="0" w:line="263" w:lineRule="auto"/>
        <w:rPr>
          <w:sz w:val="20"/>
          <w:szCs w:val="20"/>
          <w:color w:val="auto"/>
        </w:rPr>
      </w:pPr>
      <w:r>
        <w:rPr>
          <w:rFonts w:ascii="Times New Roman" w:cs="Times New Roman" w:eastAsia="Times New Roman" w:hAnsi="Times New Roman"/>
          <w:sz w:val="17"/>
          <w:szCs w:val="17"/>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PAMCO</w:t>
      </w:r>
      <w:r>
        <w:rPr>
          <w:rFonts w:ascii="Times New Roman" w:cs="Times New Roman" w:eastAsia="Times New Roman" w:hAnsi="Times New Roman"/>
          <w:sz w:val="17"/>
          <w:szCs w:val="17"/>
          <w:color w:val="auto"/>
        </w:rPr>
        <w:t>: In November 2022, TMC entered into a non-binding MoU with PAMCO of Japan. In November 2023, we entered into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binding MoU with PAMCO whereby they must complete a feasibility study (anticipated to be completed during the third quarter of 2024) to toll treat 1.3 million tonnes of wet polymetallic nodules per year at its Hachinohe, Japan smelting facility, which is expected to start in the second quarter of 2026, if we obtain an exploration contract from the ISA in a timely manner. PAMCO’s Hachinohe facility is located on the coast in northern Japan and is equipped with port and processing infrastructure required to receive and process polymetallic nodules and to ship products to customers.</w:t>
      </w:r>
    </w:p>
    <w:p>
      <w:pPr>
        <w:spacing w:after="0" w:line="166"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PAMCO successfully completed a pre-feasibility exercise pursuant to the non-binding MoU signed by the parties in November 2022.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binding MoU signed in November 2023:</w:t>
      </w:r>
    </w:p>
    <w:p>
      <w:pPr>
        <w:spacing w:after="0" w:line="220" w:lineRule="exact"/>
        <w:rPr>
          <w:sz w:val="20"/>
          <w:szCs w:val="20"/>
          <w:color w:val="auto"/>
        </w:rPr>
      </w:pPr>
    </w:p>
    <w:p>
      <w:pPr>
        <w:ind w:left="640" w:hanging="309"/>
        <w:spacing w:after="0"/>
        <w:tabs>
          <w:tab w:leader="none" w:pos="640" w:val="left"/>
        </w:tabs>
        <w:numPr>
          <w:ilvl w:val="0"/>
          <w:numId w:val="9"/>
        </w:numPr>
        <w:rPr>
          <w:rFonts w:ascii="Arial" w:cs="Arial" w:eastAsia="Arial" w:hAnsi="Arial"/>
          <w:sz w:val="17"/>
          <w:szCs w:val="17"/>
          <w:color w:val="auto"/>
        </w:rPr>
      </w:pPr>
      <w:r>
        <w:rPr>
          <w:rFonts w:ascii="Times New Roman" w:cs="Times New Roman" w:eastAsia="Times New Roman" w:hAnsi="Times New Roman"/>
          <w:sz w:val="17"/>
          <w:szCs w:val="17"/>
          <w:color w:val="auto"/>
        </w:rPr>
        <w:t>PAMCO, with our support, expects to complete the feasibility study by the third quarter of 2024.</w:t>
      </w:r>
    </w:p>
    <w:p>
      <w:pPr>
        <w:spacing w:after="0" w:line="218" w:lineRule="exact"/>
        <w:rPr>
          <w:rFonts w:ascii="Arial" w:cs="Arial" w:eastAsia="Arial" w:hAnsi="Arial"/>
          <w:sz w:val="17"/>
          <w:szCs w:val="17"/>
          <w:color w:val="auto"/>
        </w:rPr>
      </w:pPr>
    </w:p>
    <w:p>
      <w:pPr>
        <w:ind w:left="640" w:hanging="309"/>
        <w:spacing w:after="0" w:line="298" w:lineRule="auto"/>
        <w:tabs>
          <w:tab w:leader="none" w:pos="641" w:val="left"/>
        </w:tabs>
        <w:numPr>
          <w:ilvl w:val="0"/>
          <w:numId w:val="9"/>
        </w:numPr>
        <w:rPr>
          <w:rFonts w:ascii="Arial" w:cs="Arial" w:eastAsia="Arial" w:hAnsi="Arial"/>
          <w:sz w:val="17"/>
          <w:szCs w:val="17"/>
          <w:color w:val="auto"/>
        </w:rPr>
      </w:pPr>
      <w:r>
        <w:rPr>
          <w:rFonts w:ascii="Times New Roman" w:cs="Times New Roman" w:eastAsia="Times New Roman" w:hAnsi="Times New Roman"/>
          <w:sz w:val="17"/>
          <w:szCs w:val="17"/>
          <w:color w:val="auto"/>
        </w:rPr>
        <w:t>We will provide PAMCO with the exclusive right to the first 1.3Mtpa of the expected 3Mtpa of wet nodule collection capacity our first nodule collection system until completion of the feasibility study.</w:t>
      </w:r>
    </w:p>
    <w:p>
      <w:pPr>
        <w:spacing w:after="0" w:line="135" w:lineRule="exact"/>
        <w:rPr>
          <w:rFonts w:ascii="Arial" w:cs="Arial" w:eastAsia="Arial" w:hAnsi="Arial"/>
          <w:sz w:val="17"/>
          <w:szCs w:val="17"/>
          <w:color w:val="auto"/>
        </w:rPr>
      </w:pPr>
    </w:p>
    <w:p>
      <w:pPr>
        <w:ind w:left="640" w:hanging="310"/>
        <w:spacing w:after="0" w:line="298" w:lineRule="auto"/>
        <w:tabs>
          <w:tab w:leader="none" w:pos="639" w:val="left"/>
        </w:tabs>
        <w:numPr>
          <w:ilvl w:val="0"/>
          <w:numId w:val="9"/>
        </w:numPr>
        <w:rPr>
          <w:rFonts w:ascii="Arial" w:cs="Arial" w:eastAsia="Arial" w:hAnsi="Arial"/>
          <w:sz w:val="17"/>
          <w:szCs w:val="17"/>
          <w:color w:val="auto"/>
        </w:rPr>
      </w:pPr>
      <w:r>
        <w:rPr>
          <w:rFonts w:ascii="Times New Roman" w:cs="Times New Roman" w:eastAsia="Times New Roman" w:hAnsi="Times New Roman"/>
          <w:sz w:val="17"/>
          <w:szCs w:val="17"/>
          <w:color w:val="auto"/>
        </w:rPr>
        <w:t>The parties will enter into good faith negotiations to finalize definitive processing agreements on completion of the feasibility study.</w:t>
      </w:r>
    </w:p>
    <w:p>
      <w:pPr>
        <w:spacing w:after="0" w:line="13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feasibility study is expected to confirm operating parameters and product specifications for PAMCO’s dedicated production line and define the scope and execution plan for any additional equipment requirements, which are expected to be minor. An extended pilot demonstration program utilizing existing kilns and furnaces at PAMCO’s Hachinohe, Japan facility is expected to treat a 2,000 tonne sample of polymetallic nodules collected during the successful pilot nodule collector test completed by Allseas in November 2022 on NORI Area D, with the goal of optimizing the furnace refractory selection and confirm commercial scale operating parameters such as tapping temperatures and dusting rates when treating nodules through the Hachinohe facility. The cost of processing polymetallic nodules will also be estimated to help finalize the definitive processing agreements.</w:t>
      </w:r>
    </w:p>
    <w:p>
      <w:pPr>
        <w:spacing w:after="0" w:line="17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There can be no assurance that we will enter into a definitive strategic alliance with PAMCO in a particular time period, or at all, or on terms similar to those set forth in the binding MoU, or that if a definitive strategic alliance are entered into by us or that the existing facility will be able to successfully process nodules in a particular time period, or at all.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Phased Project Development</w:t>
      </w:r>
    </w:p>
    <w:p>
      <w:pPr>
        <w:spacing w:after="0" w:line="222"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 xml:space="preserve">Currently, we are an exploration stage company with a completed Initial Economic Assessment, working towards a pre-feasibility study that will form an integral part of our ISA application for an exploitation contract for the NORI Contract Areas. We expect to enter into the feasibility study phase in 2024, having completed the pilot collection system test with Allseas in the CCZ in the fourth quarter of 2022. Having significantly advanced resource definition and environmental baseline studies on NORI Area D, we intend to apply for an exploitation contract on that area first. If we obtain an exploitation contract, we then plan to commence production offshore (“Project Zero”) at the end of the first quarter of 2026 using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vessel which, subject to further modifications, is expected to be upgraded to a maximum capacity of 3.0 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 as outlined in the NORI – D Technical Report Summary.</w:t>
      </w:r>
    </w:p>
    <w:p>
      <w:pPr>
        <w:sectPr>
          <w:pgSz w:w="12240" w:h="15840" w:orient="portrait"/>
          <w:cols w:equalWidth="0" w:num="1">
            <w:col w:w="9600"/>
          </w:cols>
          <w:pgMar w:left="1320" w:top="1327" w:right="132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28" w:name="page29"/>
    <w:bookmarkEnd w:id="28"/>
    <w:p>
      <w:pPr>
        <w:ind w:left="6"/>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Current Work Program</w:t>
      </w:r>
    </w:p>
    <w:p>
      <w:pPr>
        <w:spacing w:after="0" w:line="222" w:lineRule="exact"/>
        <w:rPr>
          <w:sz w:val="20"/>
          <w:szCs w:val="20"/>
          <w:color w:val="auto"/>
        </w:rPr>
      </w:pPr>
    </w:p>
    <w:p>
      <w:pPr>
        <w:jc w:val="both"/>
        <w:ind w:left="6" w:firstLine="311"/>
        <w:spacing w:after="0" w:line="269" w:lineRule="auto"/>
        <w:rPr>
          <w:sz w:val="20"/>
          <w:szCs w:val="20"/>
          <w:color w:val="auto"/>
        </w:rPr>
      </w:pPr>
      <w:r>
        <w:rPr>
          <w:rFonts w:ascii="Times New Roman" w:cs="Times New Roman" w:eastAsia="Times New Roman" w:hAnsi="Times New Roman"/>
          <w:sz w:val="17"/>
          <w:szCs w:val="17"/>
          <w:color w:val="auto"/>
        </w:rPr>
        <w:t>We are currently focused on preparing to submit our application to the ISA for our first exploitation contract, which will include the entire NORI Contract Area, with the initial collection activities occurring within NORI Area D only following the July 2024 meetings of the ISA’s twenty-ninth session. Assuming a review process of approximately one-year, we expect to be in production offshore at the end of the first quarter of 2026, if the application is approved.</w:t>
      </w:r>
    </w:p>
    <w:p>
      <w:pPr>
        <w:spacing w:after="0" w:line="160" w:lineRule="exact"/>
        <w:rPr>
          <w:sz w:val="20"/>
          <w:szCs w:val="20"/>
          <w:color w:val="auto"/>
        </w:rPr>
      </w:pPr>
    </w:p>
    <w:p>
      <w:pPr>
        <w:jc w:val="both"/>
        <w:ind w:left="6" w:firstLine="311"/>
        <w:spacing w:after="0" w:line="269" w:lineRule="auto"/>
        <w:rPr>
          <w:sz w:val="20"/>
          <w:szCs w:val="20"/>
          <w:color w:val="auto"/>
        </w:rPr>
      </w:pPr>
      <w:r>
        <w:rPr>
          <w:rFonts w:ascii="Times New Roman" w:cs="Times New Roman" w:eastAsia="Times New Roman" w:hAnsi="Times New Roman"/>
          <w:sz w:val="17"/>
          <w:szCs w:val="17"/>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matte or nickel-copper-cobalt alloy product and/or end-products like nickel and cobalt sulfates, and copper cathode.</w:t>
      </w:r>
    </w:p>
    <w:p>
      <w:pPr>
        <w:spacing w:after="0" w:line="158" w:lineRule="exact"/>
        <w:rPr>
          <w:sz w:val="20"/>
          <w:szCs w:val="20"/>
          <w:color w:val="auto"/>
        </w:rPr>
      </w:pPr>
    </w:p>
    <w:p>
      <w:pPr>
        <w:jc w:val="both"/>
        <w:ind w:left="306" w:hanging="306"/>
        <w:spacing w:after="0" w:line="262" w:lineRule="auto"/>
        <w:tabs>
          <w:tab w:leader="none" w:pos="30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Resource definition and project economics: </w:t>
      </w:r>
      <w:r>
        <w:rPr>
          <w:rFonts w:ascii="Times New Roman" w:cs="Times New Roman" w:eastAsia="Times New Roman" w:hAnsi="Times New Roman"/>
          <w:sz w:val="17"/>
          <w:szCs w:val="17"/>
          <w:color w:val="auto"/>
        </w:rPr>
        <w:t>Having completed a total of nine offshore resource definition campaigns, collected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7"/>
          <w:szCs w:val="17"/>
          <w:i w:val="1"/>
          <w:iCs w:val="1"/>
          <w:color w:val="auto"/>
        </w:rPr>
        <w:t>Technical Report Summary - 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Assessment of the NORI Property, Clarion Clipperton Zone, Pacific Ocean </w:t>
      </w:r>
      <w:r>
        <w:rPr>
          <w:rFonts w:ascii="Times New Roman" w:cs="Times New Roman" w:eastAsia="Times New Roman" w:hAnsi="Times New Roman"/>
          <w:sz w:val="17"/>
          <w:szCs w:val="17"/>
          <w:color w:val="auto"/>
        </w:rPr>
        <w:t>dated March 17, 2021 (“NORI Initial Assessment”) and</w:t>
      </w:r>
      <w:r>
        <w:rPr>
          <w:rFonts w:ascii="Times New Roman" w:cs="Times New Roman" w:eastAsia="Times New Roman" w:hAnsi="Times New Roman"/>
          <w:sz w:val="17"/>
          <w:szCs w:val="17"/>
          <w:i w:val="1"/>
          <w:iCs w:val="1"/>
          <w:color w:val="auto"/>
        </w:rPr>
        <w:t xml:space="preserve"> Technical Report Summary - TOML Mineral Resource, Clarion Clipperton Zone, Pacific Ocean </w:t>
      </w:r>
      <w:r>
        <w:rPr>
          <w:rFonts w:ascii="Times New Roman" w:cs="Times New Roman" w:eastAsia="Times New Roman" w:hAnsi="Times New Roman"/>
          <w:sz w:val="17"/>
          <w:szCs w:val="17"/>
          <w:color w:val="auto"/>
        </w:rPr>
        <w:t>dated March 26, 2021 (“TOML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Mineral Resource Statement”), respectively, prepared by AMC. From this work, both NORI and TOML have reported measured, indicated and inferred resources as tabulated below.</w:t>
      </w:r>
    </w:p>
    <w:p>
      <w:pPr>
        <w:spacing w:after="0" w:line="85"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b w:val="1"/>
          <w:bCs w:val="1"/>
          <w:color w:val="auto"/>
        </w:rPr>
        <w:t>NORI Area 2020 Mineral Resource Estimate, in situ, for the NORI Areas within the CCZ at 4kg/m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nodule abundance cut-</w:t>
      </w:r>
    </w:p>
    <w:p>
      <w:pPr>
        <w:ind w:left="6"/>
        <w:spacing w:after="0"/>
        <w:rPr>
          <w:sz w:val="20"/>
          <w:szCs w:val="20"/>
          <w:color w:val="auto"/>
        </w:rPr>
      </w:pPr>
      <w:r>
        <w:rPr>
          <w:rFonts w:ascii="Times New Roman" w:cs="Times New Roman" w:eastAsia="Times New Roman" w:hAnsi="Times New Roman"/>
          <w:sz w:val="17"/>
          <w:szCs w:val="17"/>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156210</wp:posOffset>
            </wp:positionV>
            <wp:extent cx="4992370" cy="14319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9">
                      <a:extLst>
                        <a:ext uri="{28A0092B-C50C-407E-A947-70E740481C1C}"/>
                      </a:extLst>
                    </a:blip>
                    <a:srcRect/>
                    <a:stretch>
                      <a:fillRect/>
                    </a:stretch>
                  </pic:blipFill>
                  <pic:spPr bwMode="auto">
                    <a:xfrm>
                      <a:off x="0" y="0"/>
                      <a:ext cx="499237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26"/>
        <w:spacing w:after="0" w:line="276"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200" w:lineRule="exact"/>
        <w:rPr>
          <w:sz w:val="20"/>
          <w:szCs w:val="20"/>
          <w:color w:val="auto"/>
        </w:rPr>
      </w:pPr>
    </w:p>
    <w:p>
      <w:pPr>
        <w:spacing w:after="0" w:line="37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363855</wp:posOffset>
                </wp:positionV>
                <wp:extent cx="6110605"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703">
                          <a:solidFill>
                            <a:srgbClr val="000000"/>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65pt" to="480.9pt,28.65pt" o:allowincell="f" strokecolor="#000000" strokeweight="1.9451pt"/>
            </w:pict>
          </mc:Fallback>
        </mc:AlternateContent>
      </w:r>
    </w:p>
    <w:p>
      <w:pPr>
        <w:sectPr>
          <w:pgSz w:w="12240" w:h="15840" w:orient="portrait"/>
          <w:cols w:equalWidth="0" w:num="1">
            <w:col w:w="9606"/>
          </w:cols>
          <w:pgMar w:left="1314" w:top="1324" w:right="1320" w:bottom="1440" w:gutter="0" w:footer="0" w:header="0"/>
        </w:sectPr>
      </w:pPr>
    </w:p>
    <w:bookmarkStart w:id="29" w:name="page30"/>
    <w:bookmarkEnd w:id="29"/>
    <w:p>
      <w:pPr>
        <w:ind w:left="306"/>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TOML Area 2020 Mineral Resource Estimate, in situ, for the TOML Areas within the CCZ at 4kg/m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nodule abundance cut-</w:t>
      </w:r>
    </w:p>
    <w:p>
      <w:pPr>
        <w:ind w:left="6"/>
        <w:spacing w:after="0"/>
        <w:rPr>
          <w:sz w:val="20"/>
          <w:szCs w:val="20"/>
          <w:color w:val="auto"/>
        </w:rPr>
      </w:pPr>
      <w:r>
        <w:rPr>
          <w:rFonts w:ascii="Times New Roman" w:cs="Times New Roman" w:eastAsia="Times New Roman" w:hAnsi="Times New Roman"/>
          <w:sz w:val="17"/>
          <w:szCs w:val="17"/>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156210</wp:posOffset>
            </wp:positionV>
            <wp:extent cx="5123815" cy="27571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0">
                      <a:extLst>
                        <a:ext uri="{28A0092B-C50C-407E-A947-70E740481C1C}"/>
                      </a:extLst>
                    </a:blip>
                    <a:srcRect/>
                    <a:stretch>
                      <a:fillRect/>
                    </a:stretch>
                  </pic:blipFill>
                  <pic:spPr bwMode="auto">
                    <a:xfrm>
                      <a:off x="0" y="0"/>
                      <a:ext cx="5123815" cy="275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26"/>
        <w:spacing w:after="0" w:line="276"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55" w:lineRule="exact"/>
        <w:rPr>
          <w:sz w:val="20"/>
          <w:szCs w:val="20"/>
          <w:color w:val="auto"/>
        </w:rPr>
      </w:pPr>
    </w:p>
    <w:p>
      <w:pPr>
        <w:ind w:left="6" w:firstLine="311"/>
        <w:spacing w:after="0" w:line="299" w:lineRule="auto"/>
        <w:rPr>
          <w:sz w:val="20"/>
          <w:szCs w:val="20"/>
          <w:color w:val="auto"/>
        </w:rPr>
      </w:pPr>
      <w:r>
        <w:rPr>
          <w:rFonts w:ascii="Times New Roman" w:cs="Times New Roman" w:eastAsia="Times New Roman" w:hAnsi="Times New Roman"/>
          <w:sz w:val="17"/>
          <w:szCs w:val="17"/>
          <w:color w:val="auto"/>
        </w:rPr>
        <w:t>We plan to continue to define our resource in the NORI and TOML areas, develop project economics to pre-feasibility and feasibility level and convert resources into reserves.</w:t>
      </w:r>
    </w:p>
    <w:p>
      <w:pPr>
        <w:spacing w:after="0" w:line="132" w:lineRule="exact"/>
        <w:rPr>
          <w:sz w:val="20"/>
          <w:szCs w:val="20"/>
          <w:color w:val="auto"/>
        </w:rPr>
      </w:pPr>
    </w:p>
    <w:p>
      <w:pPr>
        <w:jc w:val="both"/>
        <w:ind w:left="306" w:hanging="306"/>
        <w:spacing w:after="0" w:line="258" w:lineRule="auto"/>
        <w:tabs>
          <w:tab w:leader="none" w:pos="30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Commercial offshore nodule collection system development: </w:t>
      </w:r>
      <w:r>
        <w:rPr>
          <w:rFonts w:ascii="Times New Roman" w:cs="Times New Roman" w:eastAsia="Times New Roman" w:hAnsi="Times New Roman"/>
          <w:sz w:val="17"/>
          <w:szCs w:val="17"/>
          <w:color w:val="auto"/>
        </w:rPr>
        <w:t>We are working with our strategic partner and investor, Allseas,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develop a system to collect, lift and transport nodules from the seafloor to shore. The offshore collection system consists of nodule collector vehicles on the seafloor, a riser and lift system, and a surface production support vessel. The nodules are collected from the seafloor by self-propelled, tracked nodule collector vehicles using seawater jets aimed at nodules in parallel with the seafloor. No rock cutting, digging, drill-and-blast or other breakage are required at the point of collection. The collectors are remotely controlled and supplied with electric power via umbilical cables from the production support vessel,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test the system and assess its environmental impacts, we entered into a contract with Allseas to undertake a pilot trial of the collection system in the NORI Area D, which was completed in November 2022. The successful completion of the pilot trial will support our application for an exploitation contract with the ISA. An Environmental Impact Statement (“EIS”) for this pilot trial was submitted to the ISA in July 2021 and approved on September 7, 2022, with infield testing commencing on September 19, 2022. The surface production support vessel,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was acquired by Allseas in March 2020 and has strategic importance to us, since it supported the pilot trial and is expected to be upgraded to a low-capital early production system. The vessel and collector system successfully completed trials in shallow and deepwater in the first half of 2022 prior to completing the collector test in NORI Area D in the fall of 2022, where approximately 4,500 tonnes of wet nodules were collected and more than 3000 tonnes of wet nodules were lifted 4.3 kilometers to the surface after traversing over 80 kilometers of the seafloor, achieving a production rate of 86.4 tonnes per hour.</w:t>
      </w:r>
    </w:p>
    <w:p>
      <w:pPr>
        <w:spacing w:after="0" w:line="168" w:lineRule="exact"/>
        <w:rPr>
          <w:rFonts w:ascii="Times New Roman" w:cs="Times New Roman" w:eastAsia="Times New Roman" w:hAnsi="Times New Roman"/>
          <w:sz w:val="17"/>
          <w:szCs w:val="17"/>
          <w:color w:val="auto"/>
        </w:rPr>
      </w:pPr>
    </w:p>
    <w:p>
      <w:pPr>
        <w:jc w:val="both"/>
        <w:ind w:left="306"/>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result of the successful collector test in the fourth quarter of 2022, where more than 3000 tonnes of wet nodules were lifted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Allseas and NORI believe that they can upgrade the pilot nodule collection system, including the</w:t>
      </w:r>
      <w:r>
        <w:rPr>
          <w:rFonts w:ascii="Times New Roman" w:cs="Times New Roman" w:eastAsia="Times New Roman" w:hAnsi="Times New Roman"/>
          <w:sz w:val="17"/>
          <w:szCs w:val="17"/>
          <w:i w:val="1"/>
          <w:iCs w:val="1"/>
          <w:color w:val="auto"/>
        </w:rPr>
        <w:t xml:space="preserve"> Hidden Gem</w:t>
      </w:r>
      <w:r>
        <w:rPr>
          <w:rFonts w:ascii="Times New Roman" w:cs="Times New Roman" w:eastAsia="Times New Roman" w:hAnsi="Times New Roman"/>
          <w:sz w:val="17"/>
          <w:szCs w:val="17"/>
          <w:color w:val="auto"/>
        </w:rPr>
        <w:t>, into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first production system, which we refer to as the Project Zero Offshore Nodule Collection System.</w:t>
      </w:r>
    </w:p>
    <w:p>
      <w:pPr>
        <w:spacing w:after="0" w:line="3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244" w:right="1320" w:bottom="1440" w:gutter="0" w:footer="0" w:header="0"/>
        </w:sectPr>
      </w:pPr>
    </w:p>
    <w:bookmarkStart w:id="30" w:name="page31"/>
    <w:bookmarkEnd w:id="30"/>
    <w:p>
      <w:pPr>
        <w:jc w:val="both"/>
        <w:ind w:left="306"/>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 August 2023, we announced that Allseas and NORI are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w:t>
      </w:r>
    </w:p>
    <w:p>
      <w:pPr>
        <w:spacing w:after="0" w:line="127" w:lineRule="exact"/>
        <w:rPr>
          <w:sz w:val="20"/>
          <w:szCs w:val="20"/>
          <w:color w:val="auto"/>
        </w:rPr>
      </w:pPr>
    </w:p>
    <w:p>
      <w:pPr>
        <w:jc w:val="both"/>
        <w:ind w:left="306" w:firstLine="1"/>
        <w:spacing w:after="0" w:line="276" w:lineRule="auto"/>
        <w:rPr>
          <w:sz w:val="20"/>
          <w:szCs w:val="20"/>
          <w:color w:val="auto"/>
        </w:rPr>
      </w:pPr>
      <w:r>
        <w:rPr>
          <w:rFonts w:ascii="Times New Roman" w:cs="Times New Roman" w:eastAsia="Times New Roman" w:hAnsi="Times New Roman"/>
          <w:sz w:val="17"/>
          <w:szCs w:val="17"/>
          <w:color w:val="auto"/>
        </w:rPr>
        <w:t>System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w:t>
      </w:r>
    </w:p>
    <w:p>
      <w:pPr>
        <w:spacing w:after="0" w:line="116" w:lineRule="exact"/>
        <w:rPr>
          <w:sz w:val="20"/>
          <w:szCs w:val="20"/>
          <w:color w:val="auto"/>
        </w:rPr>
      </w:pPr>
    </w:p>
    <w:p>
      <w:pPr>
        <w:jc w:val="both"/>
        <w:ind w:left="306" w:firstLine="1"/>
        <w:spacing w:after="0" w:line="259" w:lineRule="auto"/>
        <w:rPr>
          <w:sz w:val="20"/>
          <w:szCs w:val="20"/>
          <w:color w:val="auto"/>
        </w:rPr>
      </w:pPr>
      <w:r>
        <w:rPr>
          <w:rFonts w:ascii="Times New Roman" w:cs="Times New Roman" w:eastAsia="Times New Roman" w:hAnsi="Times New Roman"/>
          <w:sz w:val="17"/>
          <w:szCs w:val="17"/>
          <w:color w:val="auto"/>
        </w:rPr>
        <w:t xml:space="preserve">The work program with Allseas during 2023 focused on the review of the pilot nodule collection system performance, review of operational issues and identification of potential improvements to overall system performance. Key aspects include scaling the technology to meeting the anticipated commercial production rates of the Project Zero Offshore Nodule Collection System and integration of the scaled-up technology into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Engineering scope has been split into six major work packages: (1) collector, (2) vertical transport system (riser and riser handling equipment), (3) storage &amp; offloading, (4) control &amp; automation, (5) electrical &amp; instrumentation, and (6) flow assurance. Engineering studies have progressed on the offshore nodule offloading and transportation system, including hydrodynamic simulations and dynamic positioning analysis of the vessel-to-vessel interface during the nodule offloading activity. In line with engineering milestones, design reviews have been conducted at the Allseas office in Delft, Netherlands. The design reviews are attended by us, Allseas and third-party consultants. Regular meetings are held between us and Allseas project teams covering engineering, procurement, scheduling and estimating, operational planning (including health and safety aspects) and environmental impact.</w:t>
      </w:r>
    </w:p>
    <w:p>
      <w:pPr>
        <w:spacing w:after="0" w:line="142" w:lineRule="exact"/>
        <w:rPr>
          <w:sz w:val="20"/>
          <w:szCs w:val="20"/>
          <w:color w:val="auto"/>
        </w:rPr>
      </w:pPr>
    </w:p>
    <w:p>
      <w:pPr>
        <w:jc w:val="both"/>
        <w:ind w:left="306"/>
        <w:spacing w:after="0" w:line="261" w:lineRule="auto"/>
        <w:rPr>
          <w:sz w:val="20"/>
          <w:szCs w:val="20"/>
          <w:color w:val="auto"/>
        </w:rPr>
      </w:pPr>
      <w:r>
        <w:rPr>
          <w:rFonts w:ascii="Times New Roman" w:cs="Times New Roman" w:eastAsia="Times New Roman" w:hAnsi="Times New Roman"/>
          <w:sz w:val="17"/>
          <w:szCs w:val="17"/>
          <w:color w:val="auto"/>
        </w:rPr>
        <w:t>Further to our non-binding term sheet entered into in March 2022 with Allseas, we continue discussions with Allseas regarding the specifics of these upgrades and the continued development of the Project Zero Offshore Nodule Collection System and anticipate reaching definitive agreements on commercial terms and key terms around continued development and commercial operations with Allseas before the submission of the NORI exploitation application in 2024. There can be no assurances, however, that we will enter into definitive agreements with Allseas in a particular time period, or at all, or on terms similar to those currently expected, or that if such definitive agreements are entered into that the Project Zero Offshore Nodule Collection System will be successfully developed or operated.</w:t>
      </w:r>
    </w:p>
    <w:p>
      <w:pPr>
        <w:spacing w:after="0" w:line="132" w:lineRule="exact"/>
        <w:rPr>
          <w:sz w:val="20"/>
          <w:szCs w:val="20"/>
          <w:color w:val="auto"/>
        </w:rPr>
      </w:pPr>
    </w:p>
    <w:p>
      <w:pPr>
        <w:jc w:val="both"/>
        <w:ind w:left="306"/>
        <w:spacing w:after="0" w:line="265" w:lineRule="auto"/>
        <w:rPr>
          <w:sz w:val="20"/>
          <w:szCs w:val="20"/>
          <w:color w:val="auto"/>
        </w:rPr>
      </w:pPr>
      <w:r>
        <w:rPr>
          <w:rFonts w:ascii="Times New Roman" w:cs="Times New Roman" w:eastAsia="Times New Roman" w:hAnsi="Times New Roman"/>
          <w:sz w:val="17"/>
          <w:szCs w:val="17"/>
          <w:color w:val="auto"/>
        </w:rPr>
        <w:t xml:space="preserve">In addition, on August 1, 2023, we entered into an Exclusive Vessel Use Agreement with Allseas pursuant to which Allseas will give exclusive use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us in support of the development of the Project Zero Offshore Nodule Collection System until the system is completed or December 31, 2026, whichever is earlier. In consideration of the exclusivity term, we have issued 4.15 million of our common shares to Allseas (“Common Shares”) on August 14, 2023. We expect that the definitive agreement with Allseas discussed above will extend the exclusive use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jc w:val="both"/>
        <w:ind w:left="306" w:hanging="306"/>
        <w:spacing w:after="0" w:line="259" w:lineRule="auto"/>
        <w:tabs>
          <w:tab w:leader="none" w:pos="30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Environmental and social impact assessment (“ESIA”) for offshore nodule collection</w:t>
      </w:r>
      <w:r>
        <w:rPr>
          <w:rFonts w:ascii="Times New Roman" w:cs="Times New Roman" w:eastAsia="Times New Roman" w:hAnsi="Times New Roman"/>
          <w:sz w:val="17"/>
          <w:szCs w:val="17"/>
          <w:color w:val="auto"/>
        </w:rPr>
        <w:t>: The ESIA is an integral part of preparing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application for the ISA exploitation contract on the NORI Contract Area. Our ESIA program consists of over 100 studies and relies on the work of several independent deep-sea research institutions. In 2022, we undertook the collector test monitoring campaigns which involved completion of pre-collector test baseline data collection, monitoring of the collector test to and completion of post collection surveys to determine the immediate collector impact to the environment. The monitoring was undertaken using the Island Pride, a vessel contracted from Ocean Infinity Group Limited, deploying 2 remotely operated vehicles (“ROVs”), 3 autonomous underwater vehicles (“AUVs”) and an array of more than 50 seafloor sensors, supervised by multiple teams of scientists and sediment plume expert consultants, DHI Water and Environment Inc. and HR Wallingford. These campaigns commenced on July 15, 2022 and were completed on December 23, 2022, representing 146 operational days at sea. The preliminary plume results from the collector test have been shared with a wide range of stakeholders and presentations were conducted at the ISA during the fourth quarter of 2023.</w:t>
      </w:r>
    </w:p>
    <w:p>
      <w:pPr>
        <w:spacing w:after="0" w:line="355" w:lineRule="exact"/>
        <w:rPr>
          <w:rFonts w:ascii="Times New Roman" w:cs="Times New Roman" w:eastAsia="Times New Roman" w:hAnsi="Times New Roman"/>
          <w:sz w:val="17"/>
          <w:szCs w:val="17"/>
          <w:color w:val="auto"/>
        </w:rPr>
      </w:pPr>
    </w:p>
    <w:p>
      <w:pPr>
        <w:jc w:val="both"/>
        <w:ind w:left="306" w:firstLine="1"/>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2023 we entered into a services agreement with a third party in order for NORI to conduct an assessment of the benthic impact of the 2022 collector test in NORI Area D approximately 12 months post the collector test activities (“Campaign 8a”), which we believe will strengthen the quality of NORI’s EIS and Environmental Management and Monitoring Plan (“EMMP”) by providing additional information on the environmental regeneration of the collection test area. The key activities completed during campaign 8a were box cores, multicores, benthic and covariance lander works, and megafauna and sedimentation survey around the test field area.</w:t>
      </w:r>
    </w:p>
    <w:p>
      <w:pPr>
        <w:sectPr>
          <w:pgSz w:w="12240" w:h="15840" w:orient="portrait"/>
          <w:cols w:equalWidth="0" w:num="1">
            <w:col w:w="9606"/>
          </w:cols>
          <w:pgMar w:left="1314" w:top="1327" w:right="1320" w:bottom="1440" w:gutter="0" w:footer="0" w:header="0"/>
        </w:sectPr>
      </w:pPr>
    </w:p>
    <w:p>
      <w:pPr>
        <w:spacing w:after="0" w:line="3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367030</wp:posOffset>
                </wp:positionV>
                <wp:extent cx="610997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9pt" to="480.85pt,28.9pt" o:allowincell="f" strokecolor="#000000" strokeweight="1.2947pt"/>
            </w:pict>
          </mc:Fallback>
        </mc:AlternateContent>
      </w:r>
    </w:p>
    <w:p>
      <w:pPr>
        <w:sectPr>
          <w:pgSz w:w="12240" w:h="15840" w:orient="portrait"/>
          <w:cols w:equalWidth="0" w:num="1">
            <w:col w:w="9606"/>
          </w:cols>
          <w:pgMar w:left="1314" w:top="1327" w:right="1320" w:bottom="1440" w:gutter="0" w:footer="0" w:header="0"/>
          <w:type w:val="continuous"/>
        </w:sectPr>
      </w:pPr>
    </w:p>
    <w:bookmarkStart w:id="31" w:name="page32"/>
    <w:bookmarkEnd w:id="31"/>
    <w:p>
      <w:pPr>
        <w:jc w:val="both"/>
        <w:ind w:left="306"/>
        <w:spacing w:after="0" w:line="25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Notwithstanding that Campaign 8a was subject to coordinated disruptive activities by Greenpeace International (“Greenpeace”) designed to prevent and obstruct the campaign, it was successfully completed on December 28, 2023. The team selected 19 sampling stations in the locality of the 2022 nodule collection system test in NORI Area D and conducted 39 multicore deployments, recovering 395 individual core samples. These yielded more than 600 subsamples that will be shared with independent researchers from leading marine research institutions for further biological analysis. Additionally using a remotely operated vehicle, the research team deployed innovative seafloor lander systems that are capable of measuring seafloor oxygen fluxes using eddy covariance methods. This resulted in over 600 hours of data acquisition at a maximum deployment depth of 4,285 meters, which we believe is the first time these bespoke sensor suites have been deployed at abyssal depths. This data is further supplemented by over one thousand core sub-samples for geochemical analysis. Researchers also conducted the fourth annual recovery and redeployment of three oceanographic moorings within NORI Area D. The sensor payload on the moorings provides insights into the soundscape, regional oceanographic currents, and particulate organic carbon flux in the Eastern CCZ regions. This data contributes to the long-term oceanographic time series and importantly will cover the El Niño-Southern Oscillation fluctuations. Greenpeace spent 11 days, actively obstructing the planned work of Campaign 8a, resulting in a significant impact to the work scopes planned for the campaign which we were able to successfully mitigate. In the case of TOML and our planned work as part of Campaign 8a, its work scope included the deployment of long-term monitoring moorings which was completely obstructed and was not able to be completed. The NORI and TOML work scopes were part of ISA approved plans of work and in NORI’s case, the post disturbance sampling was a specific suggestion of the ISA. NORI pursued legal action through the Dutch courts to halt Greenpeace’s activities and requested further assistance from the ISA. The District Court of Amsterdam ruled that Greenpeace’s occupation of NORI’s contracted vessel, the MV Coco, was unlawful, which led to the disembarkation of Greenpeace personnel. Greenpeace continued to actively obstruct NORI’s and TOML’s activities notwithstanding the court ruling.</w:t>
      </w:r>
    </w:p>
    <w:p>
      <w:pPr>
        <w:spacing w:after="0" w:line="182" w:lineRule="exact"/>
        <w:rPr>
          <w:sz w:val="20"/>
          <w:szCs w:val="20"/>
          <w:color w:val="auto"/>
        </w:rPr>
      </w:pPr>
    </w:p>
    <w:p>
      <w:pPr>
        <w:jc w:val="both"/>
        <w:ind w:left="306" w:hanging="306"/>
        <w:spacing w:after="0" w:line="259" w:lineRule="auto"/>
        <w:tabs>
          <w:tab w:leader="none" w:pos="30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Onshore technology development: </w:t>
      </w:r>
      <w:r>
        <w:rPr>
          <w:rFonts w:ascii="Times New Roman" w:cs="Times New Roman" w:eastAsia="Times New Roman" w:hAnsi="Times New Roman"/>
          <w:sz w:val="17"/>
          <w:szCs w:val="17"/>
          <w:color w:val="auto"/>
        </w:rPr>
        <w:t>To process and refine collected nodules into critical metals, we have developed a flowsheet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a metallurgical process design firm,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and a nickel-copper-cobalt-iron alloy. Nickel is expected to account for almost half of future production revenues. We have completed lab-scale test work and offshore campaigns to collect a bulk sample for pilot-scale metallurgical testing. We are continuing with a metallurgical test program. In 2021, we successfully completed calcining and smelting of the nodule bulk samples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381" w:lineRule="exact"/>
        <w:rPr>
          <w:rFonts w:ascii="Times New Roman" w:cs="Times New Roman" w:eastAsia="Times New Roman" w:hAnsi="Times New Roman"/>
          <w:sz w:val="17"/>
          <w:szCs w:val="17"/>
          <w:color w:val="auto"/>
        </w:rPr>
      </w:pPr>
    </w:p>
    <w:p>
      <w:pPr>
        <w:jc w:val="both"/>
        <w:ind w:left="306"/>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as described above and below, in 2022 and 2023, we entered into a non-binding MoU and a binding MoU with PAMCO to study the possibility of using PAMCO’s facility in Hachinohe, Japan to produce up to 1.3 million tonnes of net polymetallic nodules per year.</w:t>
      </w:r>
    </w:p>
    <w:p>
      <w:pPr>
        <w:spacing w:after="0" w:line="155" w:lineRule="exact"/>
        <w:rPr>
          <w:rFonts w:ascii="Times New Roman" w:cs="Times New Roman" w:eastAsia="Times New Roman" w:hAnsi="Times New Roman"/>
          <w:sz w:val="17"/>
          <w:szCs w:val="17"/>
          <w:color w:val="auto"/>
        </w:rPr>
      </w:pPr>
    </w:p>
    <w:p>
      <w:pPr>
        <w:jc w:val="both"/>
        <w:ind w:left="306"/>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 There can be no assurance that we will enter into a definitive processing agreement in a particular time period, or at all, or on terms similar to those set forth in the binding MoU, or that the existing facility will be able to successfully process nodules in a particular time period, or at all.</w:t>
      </w:r>
    </w:p>
    <w:p>
      <w:pPr>
        <w:spacing w:after="0" w:line="1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Summary of Mineral Resources</w:t>
      </w:r>
    </w:p>
    <w:p>
      <w:pPr>
        <w:spacing w:after="0" w:line="222" w:lineRule="exact"/>
        <w:rPr>
          <w:sz w:val="20"/>
          <w:szCs w:val="20"/>
          <w:color w:val="auto"/>
        </w:rPr>
      </w:pPr>
    </w:p>
    <w:p>
      <w:pPr>
        <w:jc w:val="both"/>
        <w:ind w:left="6" w:firstLine="313"/>
        <w:spacing w:after="0" w:line="265" w:lineRule="auto"/>
        <w:rPr>
          <w:sz w:val="20"/>
          <w:szCs w:val="20"/>
          <w:color w:val="auto"/>
        </w:rPr>
      </w:pPr>
      <w:r>
        <w:rPr>
          <w:rFonts w:ascii="Times New Roman" w:cs="Times New Roman" w:eastAsia="Times New Roman" w:hAnsi="Times New Roman"/>
          <w:sz w:val="17"/>
          <w:szCs w:val="17"/>
          <w:color w:val="auto"/>
        </w:rPr>
        <w:t>Below is a summary table of estimated mineral resources in NORI and TOML contract areas as of December 31, 2023. The estimated mineral resources in these areas were determined in 2021 as of December 31, 2020, and also reflect the estimated mineral resources as of December 31, 2023, as none of the mineral resources in these areas were depleted by mining or any other activities. See Item 2 entitled “</w:t>
      </w:r>
      <w:r>
        <w:rPr>
          <w:rFonts w:ascii="Times New Roman" w:cs="Times New Roman" w:eastAsia="Times New Roman" w:hAnsi="Times New Roman"/>
          <w:sz w:val="17"/>
          <w:szCs w:val="17"/>
          <w:i w:val="1"/>
          <w:iCs w:val="1"/>
          <w:color w:val="auto"/>
        </w:rPr>
        <w:t>Properties</w:t>
      </w:r>
      <w:r>
        <w:rPr>
          <w:rFonts w:ascii="Times New Roman" w:cs="Times New Roman" w:eastAsia="Times New Roman" w:hAnsi="Times New Roman"/>
          <w:sz w:val="17"/>
          <w:szCs w:val="17"/>
          <w:color w:val="auto"/>
        </w:rPr>
        <w:t>” below for additional information about our estimated mineral resources. Both of these contract areas are in the exploration stage.</w:t>
      </w:r>
    </w:p>
    <w:p>
      <w:pPr>
        <w:spacing w:after="0" w:line="200" w:lineRule="exact"/>
        <w:rPr>
          <w:sz w:val="20"/>
          <w:szCs w:val="20"/>
          <w:color w:val="auto"/>
        </w:rPr>
      </w:pPr>
    </w:p>
    <w:p>
      <w:pPr>
        <w:spacing w:after="0" w:line="38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327" w:right="1320" w:bottom="1440" w:gutter="0" w:footer="0" w:header="0"/>
        </w:sectPr>
      </w:pPr>
    </w:p>
    <w:bookmarkStart w:id="32" w:name="page33"/>
    <w:bookmarkEnd w:id="32"/>
    <w:p>
      <w:pPr>
        <w:jc w:val="both"/>
        <w:ind w:left="20" w:right="20"/>
        <w:spacing w:after="0" w:line="307" w:lineRule="auto"/>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Summary Mineral Resources, In-Situ, at end of the fiscal year ended December 31, 2023 at 4kg/m2 abundance cut-off and based on nickel metal $16,472/t; copper metal $6,872/t; cobalt metal $46,333/t; manganese in manganese silicate $4.50/dmtu Mn.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4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Measured +</w:t>
            </w:r>
          </w:p>
        </w:tc>
        <w:tc>
          <w:tcPr>
            <w:tcW w:w="136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480" w:type="dxa"/>
            <w:vAlign w:val="bottom"/>
            <w:gridSpan w:val="4"/>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indicated mineral</w:t>
            </w:r>
          </w:p>
        </w:tc>
        <w:tc>
          <w:tcPr>
            <w:tcW w:w="13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resources</w:t>
            </w:r>
          </w:p>
        </w:tc>
        <w:tc>
          <w:tcPr>
            <w:tcW w:w="14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2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b w:val="1"/>
                <w:bCs w:val="1"/>
                <w:color w:val="auto"/>
                <w:w w:val="96"/>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4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4"/>
                <w:szCs w:val="14"/>
                <w:b w:val="1"/>
                <w:bCs w:val="1"/>
                <w:color w:val="auto"/>
              </w:rPr>
              <w:t>Million</w:t>
            </w: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2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2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tonnes</w:t>
            </w: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tonnes</w:t>
            </w:r>
          </w:p>
        </w:tc>
        <w:tc>
          <w:tcPr>
            <w:tcW w:w="74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tonnes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40" w:type="dxa"/>
            <w:vAlign w:val="bottom"/>
            <w:tcBorders>
              <w:top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Ni</w:t>
            </w:r>
          </w:p>
        </w:tc>
        <w:tc>
          <w:tcPr>
            <w:tcW w:w="58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58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62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62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NORI</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shd w:val="clear" w:color="auto" w:fill="CBEBF4"/>
          </w:tcPr>
          <w:p>
            <w:pPr>
              <w:spacing w:after="0"/>
              <w:rPr>
                <w:sz w:val="18"/>
                <w:szCs w:val="18"/>
                <w:color w:val="auto"/>
              </w:rPr>
            </w:pPr>
          </w:p>
        </w:tc>
        <w:tc>
          <w:tcPr>
            <w:tcW w:w="14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NORI</w:t>
            </w: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Co</w:t>
            </w: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NORI</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shd w:val="clear" w:color="auto" w:fill="CBEBF4"/>
          </w:tcPr>
          <w:p>
            <w:pPr>
              <w:spacing w:after="0"/>
              <w:rPr>
                <w:sz w:val="18"/>
                <w:szCs w:val="18"/>
                <w:color w:val="auto"/>
              </w:rPr>
            </w:pPr>
          </w:p>
        </w:tc>
        <w:tc>
          <w:tcPr>
            <w:tcW w:w="14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NORI</w:t>
            </w: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Total</w:t>
            </w: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4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104"/>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ind w:left="20" w:right="20"/>
        <w:spacing w:after="0" w:line="276"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360045</wp:posOffset>
                </wp:positionV>
                <wp:extent cx="611060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35pt" to="481.55pt,28.35pt" o:allowincell="f" strokecolor="#000000" strokeweight="1.2956pt"/>
            </w:pict>
          </mc:Fallback>
        </mc:AlternateContent>
      </w:r>
    </w:p>
    <w:p>
      <w:pPr>
        <w:sectPr>
          <w:pgSz w:w="12240" w:h="15840" w:orient="portrait"/>
          <w:cols w:equalWidth="0" w:num="1">
            <w:col w:w="9640"/>
          </w:cols>
          <w:pgMar w:left="1300" w:top="1324" w:right="1300" w:bottom="1440" w:gutter="0" w:footer="0" w:header="0"/>
        </w:sectPr>
      </w:pPr>
    </w:p>
    <w:bookmarkStart w:id="33" w:name="page34"/>
    <w:bookmarkEnd w:id="33"/>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As reflected in the Initial Economic Assessment of NORI Area D contained in the NORI Technical Report Summary, a discounted cash flow analysis considering the intended pre-development work up to the end of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7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NORI Technical Report Summary and TOML Technical Report Summary do not include the conversion of mineral resources to mineral reserves.</w:t>
      </w:r>
    </w:p>
    <w:p>
      <w:pPr>
        <w:spacing w:after="0" w:line="134"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7"/>
          <w:szCs w:val="17"/>
          <w:color w:val="auto"/>
        </w:rPr>
        <w:t>Inferred mineral resources have a high degree of uncertainty as to their existence and to whether they can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71"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Likewise, you are cautioned not to assume that all or any part of measured or indicated mineral resources will ever be upgraded to mineral reserves.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Collection and Processing of Polymetallic Nodules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and Shipping</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planning a phased development for NORI Area D. Polymetallic nodules would be collected using offshore collection systems, comprising of nodule collector vehicles on the seafloor, a riser and lifting system (RALS) in the water column, and a production support vessel on the surface. The nodules are expected to be transferred to transport vessels and shipped to onshore processing facilities.</w:t>
      </w:r>
    </w:p>
    <w:p>
      <w:pPr>
        <w:spacing w:after="0" w:line="155"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 xml:space="preserve">Through our strategic partnership with Allseas, a former drillship vessel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acquired by Allseas in February 2020 has been converted and modified to undertake a pre-production collector test in which a collector vehicle, RALS and other systems have been tested. If we obtain an exploitation contract, the first phase of commercial production (“Project Zero”) would then be expected to commence after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has been upgraded to become a production support vessel that can produce up to 3 Mtpa (wet) of nodules. The nodules collected in Project Zero are expected to be processed through existing third-party RKEF facilities on a tolling basis. In the next phase of development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7"/>
          <w:szCs w:val="17"/>
          <w:i w:val="1"/>
          <w:iCs w:val="1"/>
          <w:color w:val="auto"/>
        </w:rPr>
        <w:t>Drill Ship 2</w:t>
      </w:r>
      <w:r>
        <w:rPr>
          <w:rFonts w:ascii="Times New Roman" w:cs="Times New Roman" w:eastAsia="Times New Roman" w:hAnsi="Times New Roman"/>
          <w:sz w:val="17"/>
          <w:szCs w:val="17"/>
          <w:color w:val="auto"/>
        </w:rPr>
        <w:t xml:space="preserve">), a subsequent upgrade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and the construction of a bespoke production support vessel (</w:t>
      </w:r>
      <w:r>
        <w:rPr>
          <w:rFonts w:ascii="Times New Roman" w:cs="Times New Roman" w:eastAsia="Times New Roman" w:hAnsi="Times New Roman"/>
          <w:sz w:val="17"/>
          <w:szCs w:val="17"/>
          <w:i w:val="1"/>
          <w:iCs w:val="1"/>
          <w:color w:val="auto"/>
        </w:rPr>
        <w:t>Collector Ship 1</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1718945</wp:posOffset>
            </wp:positionH>
            <wp:positionV relativeFrom="page">
              <wp:posOffset>989965</wp:posOffset>
            </wp:positionV>
            <wp:extent cx="4334510" cy="60820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334510" cy="608203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Illustration of a polymetallic nodule production system operated at 4 kilometers depth</w:t>
      </w:r>
    </w:p>
    <w:p>
      <w:pPr>
        <w:sectPr>
          <w:pgSz w:w="12240" w:h="15840" w:orient="portrait"/>
          <w:cols w:equalWidth="0" w:num="1">
            <w:col w:w="9360"/>
          </w:cols>
          <w:pgMar w:left="1440" w:top="144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367665</wp:posOffset>
                </wp:positionV>
                <wp:extent cx="610997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76">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95pt" to="474.55pt,28.95pt" o:allowincell="f" strokecolor="#000000" strokeweight="1.2973pt"/>
            </w:pict>
          </mc:Fallback>
        </mc:AlternateContent>
      </w:r>
    </w:p>
    <w:p>
      <w:pPr>
        <w:sectPr>
          <w:pgSz w:w="12240" w:h="15840" w:orient="portrait"/>
          <w:cols w:equalWidth="0" w:num="1">
            <w:col w:w="9360"/>
          </w:cols>
          <w:pgMar w:left="1440" w:top="1440" w:right="1440" w:bottom="1440" w:gutter="0" w:footer="0" w:header="0"/>
          <w:type w:val="continuous"/>
        </w:sectPr>
      </w:pPr>
    </w:p>
    <w:bookmarkStart w:id="35" w:name="page36"/>
    <w:bookmarkEnd w:id="35"/>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In order to test the collection system, we entered into a contract with Allseas to undertake a pre-production collector test, which was successfully completed in the second half of 2022. We expect that Project Zero commercial production would then commence after the upgrading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into a production vessel. If we obtain an exploitation contract, we expect to commence Project Zero Collection at a rate of 1.3 Mtpa increasing in staged increments to up to 3.0 Mtpa of wet polymetallic nodules. For Project One, we believe that a fleet of three production vessels, each with multiple dedicated nodule collector vehicles, could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255270</wp:posOffset>
            </wp:positionV>
            <wp:extent cx="5222875" cy="2691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2">
                      <a:extLst>
                        <a:ext uri="{28A0092B-C50C-407E-A947-70E740481C1C}"/>
                      </a:extLst>
                    </a:blip>
                    <a:srcRect/>
                    <a:stretch>
                      <a:fillRect/>
                    </a:stretch>
                  </pic:blipFill>
                  <pic:spPr bwMode="auto">
                    <a:xfrm>
                      <a:off x="0" y="0"/>
                      <a:ext cx="5222875" cy="269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 up. We believe that this approach will de-risk the project for a relatively low initial capital investment while retaining operational options, particularly in relation to logistics, to decrease unit operating cost as production is scaled up. Additionally, this phased development will allow for an adaptive approach to environmental management providing learning at small-scale which would be applied as production increases in scale.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Processing and Refining and Metallurgical Testing</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Pyrometallurgical processing of polymetallic nodules has been extensively studied since the early 1970s.</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55"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To this end, we have been working with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ectPr>
          <w:pgSz w:w="12240" w:h="15840" w:orient="portrait"/>
          <w:cols w:equalWidth="0" w:num="1">
            <w:col w:w="9600"/>
          </w:cols>
          <w:pgMar w:left="1320" w:top="1327" w:right="132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367665</wp:posOffset>
                </wp:positionV>
                <wp:extent cx="610997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5pt" to="480.55pt,28.95pt" o:allowincell="f" strokecolor="#000000" strokeweight="1.2947pt"/>
            </w:pict>
          </mc:Fallback>
        </mc:AlternateContent>
      </w:r>
    </w:p>
    <w:p>
      <w:pPr>
        <w:sectPr>
          <w:pgSz w:w="12240" w:h="15840" w:orient="portrait"/>
          <w:cols w:equalWidth="0" w:num="1">
            <w:col w:w="9600"/>
          </w:cols>
          <w:pgMar w:left="1320" w:top="1327" w:right="1320" w:bottom="1440" w:gutter="0" w:footer="0" w:header="0"/>
          <w:type w:val="continuous"/>
        </w:sectPr>
      </w:pPr>
    </w:p>
    <w:bookmarkStart w:id="36" w:name="page37"/>
    <w:bookmarkEnd w:id="36"/>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w:t>
      </w:r>
    </w:p>
    <w:p>
      <w:pPr>
        <w:spacing w:after="0" w:line="166"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In November 2023, we signed a binding MoU with PAMCO, where PAMCO must complete a feasibility study (expected to be completed during the third quarter of 2024) to toll treat 1.3 million tonnes of wet polymetallic nodules per year at its Hachinohe, Japan smelting facility expected to start in the second quarter of 2026, consistent with the commencement of NORI’s planned first production offshore from the end of the first quarter of 2026, if our expected application to the ISA for an exploitation contract is approved assuming a review period of approximately one year.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Alliances and Key Commercial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Allseas Agreements</w:t>
      </w:r>
    </w:p>
    <w:p>
      <w:pPr>
        <w:spacing w:after="0" w:line="21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379"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On July 8, 2019, we and Allseas entered into the Pilot Mining Test Agreement (the “PMTA”), which governed the terms, design specifications, procedures, and timetable under which Allseas agreed to complete and test the PMTS, to be used by NORI. The PMTA was subsequently amended on September 1, 2019, February 20, 2020, March 4, 2021, June 30, 2021 and February 8, 2023.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we would pay to Allseas (i) $10,000,000 on June 30, 2021 (which we subsequently amended with Allseas to change to within 10 business days of the Closing of the Business Combination in a further amendment; this amount was paid on October 5, 2021), (ii) $10,000,000 on the later of January 1, 2022 and such time that confirmation is received with respect to the successful completion of the North Sea drive test, which was paid on April 25, 2022, and (iii) $10,000,000 upon successful completion of the pilot trials in the CCZ using the PMTS which was settled through the issuance of 10 million Common Shares in February 2023, along with additional costs owed Allseas under the PMTA in 850,000 Common Shares, in each case, priced at $1.00 per share under the fifth amendment to the PMTA. Pursuant to the Amendment, except as provided therein, Allseas may not, without our prior written consent, terminate the Strategic Alliance Agreement or the PMTA before NORI receives an ISA exploitation contract.</w:t>
      </w:r>
    </w:p>
    <w:p>
      <w:pPr>
        <w:spacing w:after="0" w:line="17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PMTA terminated by its terms upon the successful completion of the PMTS, whereas the overarching Strategic Alliance Agreement remains in place.</w:t>
      </w:r>
    </w:p>
    <w:p>
      <w:pPr>
        <w:spacing w:after="0" w:line="13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On March 16, 2022, NORI and Allseas entered into a non-binding term sheet for the development and operation of a commercial nodule collection system. The PMTS developed and tested by Allseas was expected to be upgraded to a commercial system with a targeted production capacity of at least 1.3 Mtpa of wet nodules (“Project Zero System”). NORI and Allseas intended to equally finance all costs related to developing and getting Project Zero System into production that were estimated at less than EUR100 million. It was anticipated that NORI will not have to make any Project Zero System-related payments to Allseas until later in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Mtpa of wet nodules.</w:t>
      </w:r>
    </w:p>
    <w:p>
      <w:pPr>
        <w:sectPr>
          <w:pgSz w:w="12240" w:h="15840" w:orient="portrait"/>
          <w:cols w:equalWidth="0" w:num="1">
            <w:col w:w="9600"/>
          </w:cols>
          <w:pgMar w:left="1320" w:top="1327" w:right="132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37" w:name="page38"/>
    <w:bookmarkEnd w:id="37"/>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Subject to the necessary regulatory approvals, Allseas and NORI also intend to investigate acquiring a second production vessel similar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 further Samsung 10000, with the potential for it to be engineered to support a production rate of 3.0 Mtpa of wet nodules.</w:t>
      </w:r>
    </w:p>
    <w:p>
      <w:pPr>
        <w:spacing w:after="0" w:line="155"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Following the successful completion of the NORI Area D pilot collection system trials in November 2022 and subsequent analysis of pilot data, the parties reviewed Project Zero System production target increases, system design changes and associated cost estimates revisions. In August 2023, we announced that Allseas and NORI were executing on a plan designed based on Allseas’ estimates to increase the maximum production capacity of the Project Zero Offshore Nodule Collection System from the previous estimate of 1.3 million wet tonnes per annum to up to an estimated 3.0 million wet tonnes per annum in stepped increments, a potential increase of 130%. The upgrades are expected to include the addition of a second collector vehicle, the use of a wider diameter riser pipe from the seafloor to the surface, implementation of a larger compressor spread and improvements to the system designed to further mitigate its environmental impacts.</w:t>
      </w:r>
    </w:p>
    <w:p>
      <w:pPr>
        <w:spacing w:after="0" w:line="37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System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w:t>
      </w:r>
    </w:p>
    <w:p>
      <w:pPr>
        <w:spacing w:after="0" w:line="155"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work program with Allseas during 2023 focused on the review of the pilot nodule collection system performance, review of operational issues and identification of potential improvements to overall system performance. Key aspects include scaling the technology to meeting the commercial production rates of the Project Zero Offshore Nodule Collection System and integration of the scaled-up technology into the Hidden Gem. Engineering scope has been split into six major work packages: (1) collector, (2) vertical transport system (riser and riser handling equipment), (3) storage &amp; offloading, (4) control &amp; automation, (5) electrical &amp; instrumentation, and (6) flow assurance. Engineering studies have been progressed on the offshore nodule offloading and transportation system, including hydrodynamic simulations and dynamic positioning analysis of the vessel-to-vessel interface during the nodule offloading activity. In line with engineering milestones, design reviews have been conducted at the Allseas office in Delft, Netherlands. The design reviews are attended by TMC, Allseas and third-party consultants. Regular meetings are held between TMC and Allseas project teams covering engineering, procurement, scheduling &amp; estimating, operational planning (including health &amp; safety aspects) and environment.</w:t>
      </w:r>
    </w:p>
    <w:p>
      <w:pPr>
        <w:spacing w:after="0" w:line="17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Further to our non-binding term sheet entered into in March 2022 with Allseas, Allseas is proceeding with system design and TMC continues its discussions with Allseas regarding the specifics of these upgrades, associated cost estimates and operational implications of the continued development of the Project Zero Offshore Nodule Collection System. We anticipate reaching definitive agreements on commercial terms and key terms around continued development and commercial operations with Allseas before the end of 2024.</w:t>
      </w:r>
    </w:p>
    <w:p>
      <w:pPr>
        <w:spacing w:after="0" w:line="160"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addition, in August 2023, we entered into an Exclusive Vessel Use Agreement with Allseas pursuant to which Allseas will give exclusive use of the Hidden Gem to us in support of the development of the Project Zero Offshore Nodule Collection System until the system is completed or December 31, 2026, whichever is earlier. In consideration of the exclusivity term, we have issued 4.15 million Common Shares (valued at $6.5 million) to Allseas on August 14, 2023. We expect that the definitive agreement with Allseas discussed above will extend the exclusive use of the Hidden Gem.</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Offtake Agreements</w:t>
      </w:r>
    </w:p>
    <w:p>
      <w:pPr>
        <w:spacing w:after="0" w:line="218"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Binding MoU with PAMCO</w:t>
      </w:r>
    </w:p>
    <w:p>
      <w:pPr>
        <w:spacing w:after="0" w:line="218"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In November 2022, we signed a non-binding MoU with PAMCO to evaluate the toll treatment of an initial quantity of 1.3 million tonnes of wet polymetallic nodules per year at PAMCO’s Hachinohe, Japan smelting facility. Potential progression to a NiCuCo matte product along with potentially higher throughputs were also included in the evaluation study. PAMCO successfully completed a pre-feasibility exercise pursuant to the non-binding MoU signed by the parties in November 2022.</w:t>
      </w:r>
    </w:p>
    <w:p>
      <w:pPr>
        <w:spacing w:after="0" w:line="16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November 2023 TMC signed a binding MoU with PAMCO, where PAMCO must complete a feasibility study (expected to be completed during the third quarter of 2024) to toll treat 1.3 million tonnes of wet polymetallic nodules per year at its Hachinohe, Japan smelting facility which is expected to start in the second quarter of 2026, if we obtain an exploration contract from the ISA in a timely manner. The toll treatment is expected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 PAMCO’s Hachinohe facility is located on the coast in northern Japan and is equipped with port and processing infrastructure required to receive and process polymetallic nodules and to ship products to customers. Under the new binding MoU:</w:t>
      </w:r>
    </w:p>
    <w:p>
      <w:pPr>
        <w:spacing w:after="0" w:line="172" w:lineRule="exact"/>
        <w:rPr>
          <w:sz w:val="20"/>
          <w:szCs w:val="20"/>
          <w:color w:val="auto"/>
        </w:rPr>
      </w:pPr>
    </w:p>
    <w:p>
      <w:pPr>
        <w:ind w:left="640" w:hanging="309"/>
        <w:spacing w:after="0"/>
        <w:tabs>
          <w:tab w:leader="none" w:pos="64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PAMCO, with our support, expects to complete the feasibility study by the third quarter of 2024;</w:t>
      </w:r>
    </w:p>
    <w:p>
      <w:pPr>
        <w:spacing w:after="0" w:line="218" w:lineRule="exact"/>
        <w:rPr>
          <w:rFonts w:ascii="Arial" w:cs="Arial" w:eastAsia="Arial" w:hAnsi="Arial"/>
          <w:sz w:val="17"/>
          <w:szCs w:val="17"/>
          <w:color w:val="auto"/>
        </w:rPr>
      </w:pPr>
    </w:p>
    <w:p>
      <w:pPr>
        <w:ind w:left="640" w:hanging="310"/>
        <w:spacing w:after="0" w:line="298" w:lineRule="auto"/>
        <w:tabs>
          <w:tab w:leader="none" w:pos="640"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We will provide PAMCO with the exclusive right to the first 1.3Mtpa of the expected 3Mtpa of wet nodule collection capacity of our first nodule collection system until completion of the feasibility study;</w:t>
      </w:r>
    </w:p>
    <w:p>
      <w:pPr>
        <w:spacing w:after="0" w:line="135" w:lineRule="exact"/>
        <w:rPr>
          <w:rFonts w:ascii="Arial" w:cs="Arial" w:eastAsia="Arial" w:hAnsi="Arial"/>
          <w:sz w:val="17"/>
          <w:szCs w:val="17"/>
          <w:color w:val="auto"/>
        </w:rPr>
      </w:pPr>
    </w:p>
    <w:p>
      <w:pPr>
        <w:ind w:left="640" w:hanging="310"/>
        <w:spacing w:after="0" w:line="298" w:lineRule="auto"/>
        <w:tabs>
          <w:tab w:leader="none" w:pos="639" w:val="left"/>
        </w:tabs>
        <w:numPr>
          <w:ilvl w:val="0"/>
          <w:numId w:val="14"/>
        </w:numPr>
        <w:rPr>
          <w:rFonts w:ascii="Arial" w:cs="Arial" w:eastAsia="Arial" w:hAnsi="Arial"/>
          <w:sz w:val="17"/>
          <w:szCs w:val="17"/>
          <w:color w:val="auto"/>
        </w:rPr>
      </w:pPr>
      <w:r>
        <w:rPr>
          <w:rFonts w:ascii="Times New Roman" w:cs="Times New Roman" w:eastAsia="Times New Roman" w:hAnsi="Times New Roman"/>
          <w:sz w:val="17"/>
          <w:szCs w:val="17"/>
          <w:color w:val="auto"/>
        </w:rPr>
        <w:t>The parties will enter into good faith negotiations to finalize definitive processing agreements on completion of the feasibility study.</w:t>
      </w:r>
    </w:p>
    <w:p>
      <w:pPr>
        <w:spacing w:after="0" w:line="136"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The PAMCO feasibility study is expected to confirm the operating parameters and product specifications for PAMCO’s dedicated production line and define the scope and execution plan for any additional equipment requirements, which are currently expected to be minor. An extended pilot demonstration program utilizing existing kilns and furnaces at PAMCO’s Hachinohe, Japan facility is expected to treat a 2,000 tonne sample of polymetallic nodules collected during the successful pilot nodule collector test completed by Allseas in November 2022 on the NORI Area D, with the goal of optimizing the furnace refractory selection and confirm commercial scale operating parameters such as tapping temperatures and dusting rates when treating nodules through the Hachinohe facility. The costs of processing polymetallic nodules will also be estimated to help finalize the definitive processing agreement.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76">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73pt"/>
            </w:pict>
          </mc:Fallback>
        </mc:AlternateContent>
      </w:r>
    </w:p>
    <w:p>
      <w:pPr>
        <w:sectPr>
          <w:pgSz w:w="12240" w:h="15840" w:orient="portrait"/>
          <w:cols w:equalWidth="0" w:num="1">
            <w:col w:w="9600"/>
          </w:cols>
          <w:pgMar w:left="1320" w:top="1328" w:right="1320" w:bottom="1440" w:gutter="0" w:footer="0" w:header="0"/>
        </w:sectPr>
      </w:pPr>
    </w:p>
    <w:bookmarkStart w:id="39" w:name="page40"/>
    <w:bookmarkEnd w:id="39"/>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 parallel, PAMCO is continuing to study the addition of a converting facility to process the intermediate alloy to nickel-copper-cobalt matte, which is an upgraded intermediate battery supply chain feedstock. It is expected that the additional facility would be constructed once commercial processing of polymetallic nodules to alloy has been demonstrated.</w:t>
      </w:r>
    </w:p>
    <w:p>
      <w:pPr>
        <w:spacing w:after="0" w:line="155"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We expect this partnership to progress to a definitive agreement before the end of 2024, subject to successful feasibility study outcomes and agreement to mutually acceptable commercial terms. There can be no assurance that we will enter into a definitive tolling agreement in a particular time period, or at all, or on terms similar to those set forth in the binding MoU, or that if a definitive tolling agreement is entered into by us or that the existing facility will be able to successfully process nodules in a particular time period,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metals production industry is capital intensive and competitive. Production of battery materials and manganese alloys is largely dominated by Chinese or Chinese-funded competitors. These competitors may have greater financial resources, as well as other strategic advantages to operate, maintain, improve and possibly expand their facilities. Additionally, Chinese resources firms have historically been able to produce minerals and/or process metals from land-based operations in developing countries across the globe (e.g., cobalt in the DRC, nickel in Indonesia and the Philippines) at relatively low costs due to scale, efficiency and regulatory factors, including less stringent environmental and social regulations and lower labor and benefit costs. We may be unable to compete successfully with these and other competitors, including other land-based mining operations.</w:t>
      </w:r>
    </w:p>
    <w:p>
      <w:pPr>
        <w:spacing w:after="0" w:line="17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addition to the three contracts held by our subsidiaries and partners, 16 other entities (ISA Member States and private companies sponsored by ISA Member States) currently hold ISA Exploration Contracts for polymetallic nodules in the CCZ, Western Pacific and Indian Ocean Basin. If and when they move into the exploitation phase, each of these contract-holders could become a potential competitor with respect to the collection of polymetallic nodules and the production of nickel, manganese, copper and cobalt products. Furthermore, several nation states are working on developing polymetallic nodule resources inside their Exclusive Economic Zones (“EEZs”), with the Cook Islands granting three exploration contracts for polymetallic nodules in February 2022.</w:t>
      </w:r>
    </w:p>
    <w:p>
      <w:pPr>
        <w:spacing w:after="0" w:line="167"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Beyond polymetallic nodules, nations like Norway, Japan, Cook Islands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Nations Convention on the Law of the Sea</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Area is defined as the seabed and subsoil beyond the limits of national jurisdiction (UNCLOS Article 1).</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principal policy documents governing the Area, including the CCZ, include:</w:t>
      </w:r>
    </w:p>
    <w:p>
      <w:pPr>
        <w:spacing w:after="0" w:line="219" w:lineRule="exact"/>
        <w:rPr>
          <w:sz w:val="20"/>
          <w:szCs w:val="20"/>
          <w:color w:val="auto"/>
        </w:rPr>
      </w:pPr>
    </w:p>
    <w:p>
      <w:pPr>
        <w:ind w:left="640" w:hanging="309"/>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the UNCLOS, of 10 December 1982;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7"/>
          <w:szCs w:val="17"/>
          <w:color w:val="auto"/>
        </w:rPr>
        <w:t>the 1994 Implementation Agreement.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40" w:name="page41"/>
    <w:bookmarkEnd w:id="40"/>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117475</wp:posOffset>
            </wp:positionV>
            <wp:extent cx="5041900" cy="26339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3">
                      <a:extLst>
                        <a:ext uri="{28A0092B-C50C-407E-A947-70E740481C1C}"/>
                      </a:extLst>
                    </a:blip>
                    <a:srcRect/>
                    <a:stretch>
                      <a:fillRect/>
                    </a:stretch>
                  </pic:blipFill>
                  <pic:spPr bwMode="auto">
                    <a:xfrm>
                      <a:off x="0" y="0"/>
                      <a:ext cx="5041900"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February 6, 2024, UNCLOS had been signed by 168 States (countries) and the European Union.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Seabed Authority</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signatories, 168 Member States, and the European Union. All parties to UNCLOS are members of the ISA. Two principal entities establish the policies and govern the work of the ISA: the Assembly, where all 169 members are represented (the “Assembly”), and a 36-member council elected by the Assembly (the “Council”). The Council has two advisory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364490</wp:posOffset>
                </wp:positionV>
                <wp:extent cx="610997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7pt" to="480.55pt,28.7pt" o:allowincell="f" strokecolor="#000000" strokeweight="1.9434pt"/>
            </w:pict>
          </mc:Fallback>
        </mc:AlternateContent>
      </w:r>
    </w:p>
    <w:p>
      <w:pPr>
        <w:sectPr>
          <w:pgSz w:w="12240" w:h="15840" w:orient="portrait"/>
          <w:cols w:equalWidth="0" w:num="1">
            <w:col w:w="9600"/>
          </w:cols>
          <w:pgMar w:left="1320" w:top="1327" w:right="1320" w:bottom="1440" w:gutter="0" w:footer="0" w:header="0"/>
        </w:sectPr>
      </w:pPr>
    </w:p>
    <w:bookmarkStart w:id="41" w:name="page42"/>
    <w:bookmarkEnd w:id="41"/>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7"/>
          <w:szCs w:val="17"/>
          <w:i w:val="1"/>
          <w:iCs w:val="1"/>
          <w:color w:val="auto"/>
        </w:rPr>
        <w:t>https://www.isa.org.jm/mining-code/Regulations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640" w:hanging="309"/>
        <w:spacing w:after="0" w:line="298" w:lineRule="auto"/>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The Regulations on Prospecting and Exploration for Polymetallic Nodules in the CCZ (adopted July 13, 2000, as amended in 2013; the Regulations).</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The Regulations on Prospecting and Exploration for Polymetallic Sulphides (adopted May 7, 2010).</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16"/>
        </w:numPr>
        <w:rPr>
          <w:rFonts w:ascii="Arial" w:cs="Arial" w:eastAsia="Arial" w:hAnsi="Arial"/>
          <w:sz w:val="17"/>
          <w:szCs w:val="17"/>
          <w:color w:val="auto"/>
        </w:rPr>
      </w:pPr>
      <w:r>
        <w:rPr>
          <w:rFonts w:ascii="Times New Roman" w:cs="Times New Roman" w:eastAsia="Times New Roman" w:hAnsi="Times New Roman"/>
          <w:sz w:val="17"/>
          <w:szCs w:val="17"/>
          <w:color w:val="auto"/>
        </w:rPr>
        <w:t>The Regulations on Prospecting and Exploration for Cobalt-Rich Ferromanganese Crusts in the CCZ (July 2012).</w:t>
      </w:r>
    </w:p>
    <w:p>
      <w:pPr>
        <w:spacing w:after="0" w:line="218"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No commercial polymetallic nodule collection operations have started anywhere in the world. Currently, exploration activities undertaken are aimed at gathering the necessary information on the location, quality and quantity of the minerals of the seabed as well as collecting the necessary environmental baseline information. To date, the ISA has approved 17 contracts in the CCZ for exploration of nodules, one in the Indian Ocean and one in the Western Pacific Ocean covering more than 1.35 million square kilometers of the seabed. This represents 0.3 percent of the world’s oceans seafloor.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6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55" w:lineRule="exact"/>
        <w:rPr>
          <w:sz w:val="20"/>
          <w:szCs w:val="20"/>
          <w:color w:val="auto"/>
        </w:rPr>
      </w:pPr>
    </w:p>
    <w:p>
      <w:pPr>
        <w:jc w:val="both"/>
        <w:ind w:firstLine="311"/>
        <w:spacing w:after="0" w:line="244" w:lineRule="auto"/>
        <w:rPr>
          <w:sz w:val="20"/>
          <w:szCs w:val="20"/>
          <w:color w:val="auto"/>
        </w:rPr>
      </w:pPr>
      <w:r>
        <w:rPr>
          <w:rFonts w:ascii="Times New Roman" w:cs="Times New Roman" w:eastAsia="Times New Roman" w:hAnsi="Times New Roman"/>
          <w:sz w:val="17"/>
          <w:szCs w:val="17"/>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the COVID-19 pandemic disrupted ISA meetings and discussions.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154305</wp:posOffset>
            </wp:positionV>
            <wp:extent cx="4663440" cy="21151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4">
                      <a:extLst>
                        <a:ext uri="{28A0092B-C50C-407E-A947-70E740481C1C}"/>
                      </a:extLst>
                    </a:blip>
                    <a:srcRect/>
                    <a:stretch>
                      <a:fillRect/>
                    </a:stretch>
                  </pic:blipFill>
                  <pic:spPr bwMode="auto">
                    <a:xfrm>
                      <a:off x="0" y="0"/>
                      <a:ext cx="4663440"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Certificate of Sponsorship, Mining Plan, Financing Plan, EIS, Emergency Response and Contingency Plan, Health and Safety Plan and maritime Security Plan, Training Plan, EMMP and Closure Plan. In addition, we do not have the applicable environmental and other permits required to build or modify and operate commercial scale polymetallic nodule processing and refining plants on land.</w:t>
      </w:r>
    </w:p>
    <w:p>
      <w:pPr>
        <w:spacing w:after="0" w:line="16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55" w:lineRule="exact"/>
        <w:rPr>
          <w:sz w:val="20"/>
          <w:szCs w:val="20"/>
          <w:color w:val="auto"/>
        </w:rPr>
      </w:pPr>
    </w:p>
    <w:p>
      <w:pPr>
        <w:jc w:val="both"/>
        <w:ind w:firstLine="311"/>
        <w:spacing w:after="0" w:line="249" w:lineRule="auto"/>
        <w:rPr>
          <w:sz w:val="20"/>
          <w:szCs w:val="20"/>
          <w:color w:val="auto"/>
        </w:rPr>
      </w:pPr>
      <w:r>
        <w:rPr>
          <w:rFonts w:ascii="Times New Roman" w:cs="Times New Roman" w:eastAsia="Times New Roman" w:hAnsi="Times New Roman"/>
          <w:sz w:val="17"/>
          <w:szCs w:val="17"/>
          <w:color w:val="auto"/>
        </w:rPr>
        <w:t>On June 25, 2021, Nauru submitted its notice to the ISA requesting that it complete the adoption, by July 9, 2023, of rules, regulations and procedures necessary to facilitate the approval of plans of work for exploitation in the Area. The ISA did not complete the adoption of the rules, regulations and procedures by July 9, 2023, as required. At its July 2023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Session meeting, the ISA adopted a Council decision agreeing on a timeline and modalities of work until July 2024, with a view to adopt final exploitation regulations during the thirtieth ISA session in 2025. Although we believe that the ISA will adopt the exploitation regulations and any necessary rules, regulations and procedures to facilitate the approval of a plan of work for exploitation by the thirtieth session as the ISA has indicated, there can be no assurances that the adoption of these regulations will not be delayed or halted paused as a result of the actions of ISA member States. The Draft Regulations and several supporting standards and guidelines are at an advanced stage, but there remains uncertainty regarding the final form that these will take as well as the impact that such regulations, standards and guidelines will have on our ability to begin commercial operations in a timely manner, or at all.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18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On August 1, 2023, we announced that our subsidiary, NORI, intends to submit its application for an exploitation contract to the ISA following the July 2024 meetings of the ISA. NORI is conducting a post-collection test campaign, strengthening its environmental baseline data and its application for an exploitation contract. This timing allows the Council to meet three more times to continue negotiating and progressing the rules, regulations and procedures.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43" w:name="page44"/>
    <w:bookmarkEnd w:id="43"/>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Consistent with NORI’s rights under the UNCLOS, and the 1994 Agreement relating to the Implementation of Part XI of UNCLOS (the Agreement), NORI reserves its right to submit an application for a plan of work for exploitation, which will be included as part of the application for an exploitation contract, prior to the ISA’s provisional adoption and approval of the exploitation regulations, the possibility of which was recognized in the ISA Council decisions ISBA/28/C/24 and ISBA/28/C/25, and to have that application considered and provisionally approved pursuant to Section 1, Paragraph 15 of the Annex to the Agreement.</w:t>
      </w:r>
    </w:p>
    <w:p>
      <w:pPr>
        <w:spacing w:after="0" w:line="158" w:lineRule="exact"/>
        <w:rPr>
          <w:sz w:val="20"/>
          <w:szCs w:val="20"/>
          <w:color w:val="auto"/>
        </w:rPr>
      </w:pPr>
    </w:p>
    <w:p>
      <w:pPr>
        <w:jc w:val="both"/>
        <w:ind w:firstLine="311"/>
        <w:spacing w:after="0" w:line="231" w:lineRule="auto"/>
        <w:rPr>
          <w:sz w:val="20"/>
          <w:szCs w:val="20"/>
          <w:color w:val="auto"/>
        </w:rPr>
      </w:pPr>
      <w:r>
        <w:rPr>
          <w:rFonts w:ascii="Times New Roman" w:cs="Times New Roman" w:eastAsia="Times New Roman" w:hAnsi="Times New Roman"/>
          <w:sz w:val="17"/>
          <w:szCs w:val="17"/>
          <w:color w:val="auto"/>
        </w:rPr>
        <w:t>At the third and final meeting of the 28</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ISA Session in November 2023, the Council agreed to consolidate the text of the draft regulations. The main objective of such a consolidated text, is to better harmonize and clean the text based on negotiations of the interested stakeholders to date. The consolidated text will be the basis for the negotiations of the regulators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NORI Exploration Contract</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July 2011, our wholly-owned subsidiary, NORI, was granted a polymetallic nodule exploration contract by the ISA, providing it exclusive rights to explore 74,830 square kilometers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60"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NORI Exploration Contract, which was granted pursuant to the ISA’s Regulations on Prospecting and Exploration for Polymetallic Nodules in the CCZ (the “Regulations”), formalized a 74,830 square kilometers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w:t>
      </w:r>
    </w:p>
    <w:p>
      <w:pPr>
        <w:spacing w:after="0" w:line="17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On August 1, 2023, we announced that our subsidiary, NORI intends to submit its application for an exploitation contract to the ISA following the July 2024 meetings of the ISA.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60"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ISA Council may suspend or terminate the NORI Exploration Contract, without prejudice to any other rights that the ISA may have, if any of the following events should occur:</w:t>
      </w:r>
    </w:p>
    <w:p>
      <w:pPr>
        <w:spacing w:after="0" w:line="137" w:lineRule="exact"/>
        <w:rPr>
          <w:sz w:val="20"/>
          <w:szCs w:val="20"/>
          <w:color w:val="auto"/>
        </w:rPr>
      </w:pPr>
    </w:p>
    <w:p>
      <w:pPr>
        <w:jc w:val="both"/>
        <w:ind w:left="640" w:hanging="309"/>
        <w:spacing w:after="0" w:line="276" w:lineRule="auto"/>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54" w:lineRule="exact"/>
        <w:rPr>
          <w:rFonts w:ascii="Arial" w:cs="Arial" w:eastAsia="Arial" w:hAnsi="Arial"/>
          <w:sz w:val="17"/>
          <w:szCs w:val="17"/>
          <w:color w:val="auto"/>
        </w:rPr>
      </w:pPr>
    </w:p>
    <w:p>
      <w:pPr>
        <w:ind w:left="640" w:hanging="309"/>
        <w:spacing w:after="0"/>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color w:val="auto"/>
        </w:rPr>
        <w:t>if NORI has failed to comply with a final binding decision of the dispute settlement body applicable to it; or</w:t>
      </w:r>
    </w:p>
    <w:p>
      <w:pPr>
        <w:spacing w:after="0" w:line="218" w:lineRule="exact"/>
        <w:rPr>
          <w:rFonts w:ascii="Arial" w:cs="Arial" w:eastAsia="Arial" w:hAnsi="Arial"/>
          <w:sz w:val="17"/>
          <w:szCs w:val="17"/>
          <w:color w:val="auto"/>
        </w:rPr>
      </w:pPr>
    </w:p>
    <w:p>
      <w:pPr>
        <w:jc w:val="both"/>
        <w:ind w:left="640" w:hanging="309"/>
        <w:spacing w:after="0" w:line="269" w:lineRule="auto"/>
        <w:tabs>
          <w:tab w:leader="none" w:pos="64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7"/>
          <w:szCs w:val="17"/>
          <w:color w:val="auto"/>
        </w:rPr>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44" w:name="page45"/>
    <w:bookmarkEnd w:id="44"/>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NORI Sponsorship Agreement</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5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65"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 NORI has begun discussions with the Government of Nauru to renegotiate the existing sponsorship agreement and has committed to paying corporate income tax within Nauru.</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During exploration, NORI is required to, among other things:</w:t>
      </w:r>
    </w:p>
    <w:p>
      <w:pPr>
        <w:spacing w:after="0" w:line="219" w:lineRule="exact"/>
        <w:rPr>
          <w:sz w:val="20"/>
          <w:szCs w:val="20"/>
          <w:color w:val="auto"/>
        </w:rPr>
      </w:pPr>
    </w:p>
    <w:p>
      <w:pPr>
        <w:ind w:left="640" w:hanging="309"/>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submit an annual report to the ISA;</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meet certain performance and expenditure commitments;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pay an annual overhead charge to cover the costs incurred by the ISA in administering and supervising the contract;</w:t>
      </w:r>
    </w:p>
    <w:p>
      <w:pPr>
        <w:spacing w:after="0" w:line="218" w:lineRule="exact"/>
        <w:rPr>
          <w:rFonts w:ascii="Arial" w:cs="Arial" w:eastAsia="Arial" w:hAnsi="Arial"/>
          <w:sz w:val="17"/>
          <w:szCs w:val="17"/>
          <w:color w:val="auto"/>
        </w:rPr>
      </w:pPr>
    </w:p>
    <w:p>
      <w:pPr>
        <w:ind w:left="640" w:hanging="309"/>
        <w:spacing w:after="0" w:line="268" w:lineRule="auto"/>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implement training programs for personnel of the ISA and developing countries in accordance with an approved training program;</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left="640" w:hanging="309"/>
        <w:spacing w:after="0" w:line="298" w:lineRule="auto"/>
        <w:tabs>
          <w:tab w:leader="none" w:pos="641"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take measures to prevent, reduce, and control pollution and other hazards to the marine environment arising from its activities in the CCZ;</w:t>
      </w:r>
    </w:p>
    <w:p>
      <w:pPr>
        <w:spacing w:after="0" w:line="135" w:lineRule="exact"/>
        <w:rPr>
          <w:rFonts w:ascii="Arial" w:cs="Arial" w:eastAsia="Arial" w:hAnsi="Arial"/>
          <w:sz w:val="17"/>
          <w:szCs w:val="17"/>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maintain appropriate insurance policies;</w:t>
      </w:r>
    </w:p>
    <w:p>
      <w:pPr>
        <w:spacing w:after="0" w:line="218" w:lineRule="exact"/>
        <w:rPr>
          <w:rFonts w:ascii="Arial" w:cs="Arial" w:eastAsia="Arial" w:hAnsi="Arial"/>
          <w:sz w:val="17"/>
          <w:szCs w:val="17"/>
          <w:color w:val="auto"/>
        </w:rPr>
      </w:pPr>
    </w:p>
    <w:p>
      <w:pPr>
        <w:ind w:left="640" w:hanging="310"/>
        <w:spacing w:after="0" w:line="298" w:lineRule="auto"/>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establish environmental baselines against which to assess the likely effects of its program of activities on the marine environment; and</w:t>
      </w:r>
    </w:p>
    <w:p>
      <w:pPr>
        <w:spacing w:after="0" w:line="135" w:lineRule="exact"/>
        <w:rPr>
          <w:rFonts w:ascii="Arial" w:cs="Arial" w:eastAsia="Arial" w:hAnsi="Arial"/>
          <w:sz w:val="17"/>
          <w:szCs w:val="17"/>
          <w:color w:val="auto"/>
        </w:rPr>
      </w:pPr>
    </w:p>
    <w:p>
      <w:pPr>
        <w:ind w:left="640" w:hanging="310"/>
        <w:spacing w:after="0"/>
        <w:tabs>
          <w:tab w:leader="none" w:pos="64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establish and implement a program to monitor and report on such effects.</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ectPr>
          <w:pgSz w:w="12240" w:h="15840" w:orient="portrait"/>
          <w:cols w:equalWidth="0" w:num="1">
            <w:col w:w="9600"/>
          </w:cols>
          <w:pgMar w:left="1320" w:top="1327" w:right="132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367665</wp:posOffset>
                </wp:positionV>
                <wp:extent cx="6109970"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98">
                          <a:solidFill>
                            <a:srgbClr val="000000"/>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5pt" to="480.55pt,28.95pt" o:allowincell="f" strokecolor="#000000" strokeweight="1.2991pt"/>
            </w:pict>
          </mc:Fallback>
        </mc:AlternateContent>
      </w:r>
    </w:p>
    <w:p>
      <w:pPr>
        <w:sectPr>
          <w:pgSz w:w="12240" w:h="15840" w:orient="portrait"/>
          <w:cols w:equalWidth="0" w:num="1">
            <w:col w:w="9600"/>
          </w:cols>
          <w:pgMar w:left="1320" w:top="1327" w:right="132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TOML Exploration Contract</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March 2020, we acquired TOML from Deep Sea Mining Finance Limited, providing us with exclusive rights to explore a 74,713 square kilometers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65"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TOML Exploration Contract was granted pursuant to the ISA’s Regulations, as well as Article 153 of UNCLOS, and formalized a 74,713 square kilometers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68"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On December 23, 2022, the ISA accepted TOML’s proposed program of activities for the 2022-2026 five-year period.</w:t>
      </w:r>
    </w:p>
    <w:p>
      <w:pPr>
        <w:spacing w:after="0" w:line="219"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ISA Council may suspend or terminate the TOML Exploration Contract, without prejudice to any other rights that the ISA may have, if any of the following events occur:</w:t>
      </w:r>
    </w:p>
    <w:p>
      <w:pPr>
        <w:spacing w:after="0" w:line="137" w:lineRule="exact"/>
        <w:rPr>
          <w:sz w:val="20"/>
          <w:szCs w:val="20"/>
          <w:color w:val="auto"/>
        </w:rPr>
      </w:pPr>
    </w:p>
    <w:p>
      <w:pPr>
        <w:jc w:val="both"/>
        <w:ind w:left="640" w:hanging="309"/>
        <w:spacing w:after="0" w:line="276" w:lineRule="auto"/>
        <w:tabs>
          <w:tab w:leader="none" w:pos="641"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7"/>
          <w:szCs w:val="17"/>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w:t>
      </w:r>
    </w:p>
    <w:p>
      <w:pPr>
        <w:spacing w:after="0" w:line="154" w:lineRule="exact"/>
        <w:rPr>
          <w:rFonts w:ascii="Arial" w:cs="Arial" w:eastAsia="Arial" w:hAnsi="Arial"/>
          <w:sz w:val="17"/>
          <w:szCs w:val="17"/>
          <w:color w:val="auto"/>
        </w:rPr>
      </w:pPr>
    </w:p>
    <w:p>
      <w:pPr>
        <w:ind w:left="640" w:hanging="310"/>
        <w:spacing w:after="0"/>
        <w:tabs>
          <w:tab w:leader="none" w:pos="64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7"/>
          <w:szCs w:val="17"/>
          <w:color w:val="auto"/>
        </w:rPr>
        <w:t>if TOML has failed to comply with a final binding decision of the dispute settlement body applicable to it;</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7"/>
          <w:szCs w:val="17"/>
          <w:color w:val="auto"/>
        </w:rPr>
        <w:t>if TOML becomes insolvent or commits an act of bankruptcy or enters into any agreement for composition with its creditors or goes into liquidation or receivership, whether compulsory or voluntary; or</w:t>
      </w:r>
    </w:p>
    <w:p>
      <w:pPr>
        <w:spacing w:after="0" w:line="135" w:lineRule="exact"/>
        <w:rPr>
          <w:rFonts w:ascii="Arial" w:cs="Arial" w:eastAsia="Arial" w:hAnsi="Arial"/>
          <w:sz w:val="17"/>
          <w:szCs w:val="17"/>
          <w:color w:val="auto"/>
        </w:rPr>
      </w:pPr>
    </w:p>
    <w:p>
      <w:pPr>
        <w:jc w:val="both"/>
        <w:ind w:left="640" w:hanging="309"/>
        <w:spacing w:after="0" w:line="276" w:lineRule="auto"/>
        <w:tabs>
          <w:tab w:leader="none" w:pos="64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7"/>
          <w:szCs w:val="17"/>
          <w:color w:val="auto"/>
        </w:rPr>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54"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8" w:right="132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TOML Sponsorship Agreement</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TOML updated the sponsorship agreement with Tonga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 TOML expects to renegotiate the existing sponsorship agreement with Tonga prior to entering into operations in the TOML area and has committed to paying corporate income tax within Tonga.</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Marawa Agreements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On July 26, 2012, the ISA Council approved a plan of work for exploration submitted by Marawa covering the Marawa Contract Area. Due to uncertainty of the economic potential of the Marawa Contract Area, Marawa is currently considering its options and expects to finalize its decision in 2024. Marawa delayed certain work programs until it determines how it will move forward.</w:t>
      </w:r>
    </w:p>
    <w:p>
      <w:pPr>
        <w:spacing w:after="0" w:line="15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6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Royalties and taxes</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8" w:right="1320" w:bottom="1440" w:gutter="0" w:footer="0" w:header="0"/>
        </w:sectPr>
      </w:pPr>
    </w:p>
    <w:bookmarkStart w:id="47" w:name="page48"/>
    <w:bookmarkEnd w:id="47"/>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An open-ended working group has been formed and has met numerous times to discuss potential ISA royalty and sponsoring State taxation regimes supported by modelling conducted by the Massachusetts Institute of Technology. A final royalty and payment regime has not been agreed. However, recent discussions centered on a 2.5% ad valorem royalty on the gross metal value (“GMV”) of nodule ore for the first five years of commercial production, thereafter increasing to 4.5% if GMV is equal or lower than $510 per dry tonne of nodules and scaling linearly to 9.5% if GMV is at or above $720 per dry tonne of nodules. An additional ad valorem environmental levy has also been discussed. The economic analysis included in the initial assessment contained in the NORI Technical Report Summary was based on a slightly different set of assumptions about ISA Royalty that were in use back in 2021: namely, 2% of GMV for the first five years, increasing to 6% thereafter plus 1% environmental levy.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w:t>
      </w:r>
    </w:p>
    <w:p>
      <w:pPr>
        <w:spacing w:after="0" w:line="172"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on a compounding basis based on the official inflation rate in the U.S. In addition, NORI and TOML will pay an administration fee each year to Nauru and Tonga for such administration and sponsorship, which is subject to review and increase in the event that NORI or TOML are granted an ISA Exploitation Contract. NORI and TOML have both committed to paying corporate income tax within Nauru and Tonga,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Regulation</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and thresholds. The ISA is currently developing these standards and guidelines, and thresholds which are expected to be finalized by the LTC and adopted by the Council. The ISA has divided the required standards and guidelines in three phases.</w:t>
      </w:r>
    </w:p>
    <w:p>
      <w:pPr>
        <w:spacing w:after="0" w:line="165" w:lineRule="exact"/>
        <w:rPr>
          <w:sz w:val="20"/>
          <w:szCs w:val="20"/>
          <w:color w:val="auto"/>
        </w:rPr>
      </w:pPr>
    </w:p>
    <w:p>
      <w:pPr>
        <w:ind w:left="640" w:hanging="309"/>
        <w:spacing w:after="0" w:line="268" w:lineRule="auto"/>
        <w:tabs>
          <w:tab w:leader="none" w:pos="64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7"/>
          <w:szCs w:val="17"/>
          <w:color w:val="auto"/>
        </w:rPr>
        <w:t>Phase 1: Standards and guidelines deemed necessary to be in place by the time of adoption of the draft regulations on exploitation.</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left="640" w:hanging="309"/>
        <w:spacing w:after="0" w:line="298" w:lineRule="auto"/>
        <w:tabs>
          <w:tab w:leader="none" w:pos="639"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7"/>
          <w:szCs w:val="17"/>
          <w:color w:val="auto"/>
        </w:rPr>
        <w:t>Phase 2: Standards and guidelines deemed necessary to be in place prior to the receipt of an application of a plan of work for exploitation.</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20"/>
        </w:numPr>
        <w:rPr>
          <w:rFonts w:ascii="Arial" w:cs="Arial" w:eastAsia="Arial" w:hAnsi="Arial"/>
          <w:sz w:val="17"/>
          <w:szCs w:val="17"/>
          <w:color w:val="auto"/>
        </w:rPr>
      </w:pPr>
      <w:r>
        <w:rPr>
          <w:rFonts w:ascii="Times New Roman" w:cs="Times New Roman" w:eastAsia="Times New Roman" w:hAnsi="Times New Roman"/>
          <w:sz w:val="17"/>
          <w:szCs w:val="17"/>
          <w:color w:val="auto"/>
        </w:rPr>
        <w:t>Phase 3: Standards and guidelines deemed necessary to be in place before commercial mining activities commence in the Area.</w:t>
      </w:r>
    </w:p>
    <w:p>
      <w:pPr>
        <w:spacing w:after="0" w:line="219"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and 3.</w:t>
      </w:r>
    </w:p>
    <w:p>
      <w:pPr>
        <w:spacing w:after="0" w:line="15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Although the environmental impact review process has not yet been finalized, all contractors have been made aware that the ISA requires the completion of baseline studies and EIA, culminating in an EIS for proposed commercial operations, prior to collection. An EIS and an EMMP, will be required as part of the application for an ISA Exploitation Contract for operations in the CCZ. Environmental and social baseline studies are being conducted and NORI has engaged several leading deep-sea research institutions and scientists to contribute to our environmental and social impact assessment program, consisting of over 100 discrete studies.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48" w:name="page49"/>
    <w:bookmarkEnd w:id="48"/>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NORI’s offshore exploration campaigns have included sampling to support environmental studies, collection of high-resolution imagery, full column physical and chemical oceanographic data and environmental baseline studies. Our last offshore campaign to collect environmental baseline data was completed in 2022. An integrated collector test involving trialing of collector vehicle and riser system took place in 2022. The environmental impacts of this test were monitored from a separate research vessel. An additional environmental campaign was executed in 2023 to return to the site 12 months after the test. Data collected from the test monitoring campaign and 12-month revisit campaigns will be used to forecast the impacts for a full-scale commercial operation in NORI’s EIS.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are required.</w:t>
      </w:r>
    </w:p>
    <w:p>
      <w:pPr>
        <w:spacing w:after="0" w:line="168"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5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Commission’s Rules of Procedure requires decision making by consensus. If all efforts to reach consensus have been exhausted, however, then a decision by voting shall be taken by a majority of members present and voting. A proposed timeline for the consideration of a Plan of Work by the Commission was developed in “Draft guideline on the preparation and assessment of an application for the approval of a Plan of Work for exploitation” (ISBA/27/C/3).</w:t>
      </w:r>
    </w:p>
    <w:p>
      <w:pPr>
        <w:spacing w:after="0" w:line="16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If a positive recommendation is submitted by the Commission to the Council concerning the approval of a Plan of Work, the Council is required to approve the Commission’s recommendation unless a two-thirds majority of its members present and voting, including a majority of members present and voting in each of the chambers of the Council, decides to disapprove the Plan of Work. If the Council does not take a decision on the Commission’s recommendation within 60 days, the recommendation shall be deemed to have been approved by the Council.</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addition, the sponsoring State has a responsibility to put in place legislation to ensure the entity it has sponsored complies with UNCLOS and ISA rules and regulations. Nauru implemented the Nauru International Seabed Minerals Act in 2015 which NORI is required to comply with.</w:t>
      </w:r>
    </w:p>
    <w:p>
      <w:pPr>
        <w:spacing w:after="0" w:line="155"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NORI’s assessment is that it is in compliance with existing exploration permits and contracts. In addition to working on key engineering aspects of the project such as designing the final nodule collector and the dewatering facility, NORI is also continuing the following tasks:</w:t>
      </w:r>
    </w:p>
    <w:p>
      <w:pPr>
        <w:spacing w:after="0" w:line="359" w:lineRule="exact"/>
        <w:rPr>
          <w:sz w:val="20"/>
          <w:szCs w:val="20"/>
          <w:color w:val="auto"/>
        </w:rPr>
      </w:pPr>
    </w:p>
    <w:p>
      <w:pPr>
        <w:ind w:left="640" w:hanging="309"/>
        <w:spacing w:after="0"/>
        <w:tabs>
          <w:tab w:leader="none" w:pos="64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delineating nodule mineralization;</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characterizing the nature of the seabed, water column and biology;</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finalizing environmental baseline studies and impact assessments;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characterizing the nature of any materials returned to the environment;</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developing oceanographic and physical information to inform models (e.g., sediment plume models);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1"/>
        </w:numPr>
        <w:rPr>
          <w:rFonts w:ascii="Arial" w:cs="Arial" w:eastAsia="Arial" w:hAnsi="Arial"/>
          <w:sz w:val="17"/>
          <w:szCs w:val="17"/>
          <w:color w:val="auto"/>
        </w:rPr>
      </w:pPr>
      <w:r>
        <w:rPr>
          <w:rFonts w:ascii="Times New Roman" w:cs="Times New Roman" w:eastAsia="Times New Roman" w:hAnsi="Times New Roman"/>
          <w:sz w:val="17"/>
          <w:szCs w:val="17"/>
          <w:color w:val="auto"/>
        </w:rPr>
        <w:t>developing other plans, including the EMMP and the various subordinate plans.</w:t>
      </w:r>
    </w:p>
    <w:p>
      <w:pPr>
        <w:spacing w:after="0" w:line="219"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potential future onshore environmental impacts have not yet been assessed because the processing plants that we expect to use through a tolling or other arrangement have not been finalized, and the locations and host countries (and hence regulatory regime) have not been confirmed. The planned metallurgical process is expected to generate near-zero solid waste products. The deleterious elements’ (for example, cadmium and arsenic) content of the nodules is understood to be very low, indicating that with careful management, the environmental impacts of the processing operation are expected to be low.</w:t>
      </w:r>
    </w:p>
    <w:p>
      <w:pPr>
        <w:sectPr>
          <w:pgSz w:w="12240" w:h="15840" w:orient="portrait"/>
          <w:cols w:equalWidth="0" w:num="1">
            <w:col w:w="9600"/>
          </w:cols>
          <w:pgMar w:left="1320" w:top="1327" w:right="132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Intellectual Property</w:t>
      </w:r>
    </w:p>
    <w:p>
      <w:pPr>
        <w:spacing w:after="0" w:line="222"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7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for additional information on the risks associated with our intellectual property strategy and portfolio.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As of December 31, 2023, we employed forty-six (46) employees and contractors. None of our staff are covered by collective bargaining agreements.</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Attracting Talent</w:t>
      </w:r>
      <w:r>
        <w:rPr>
          <w:rFonts w:ascii="Times New Roman" w:cs="Times New Roman" w:eastAsia="Times New Roman" w:hAnsi="Times New Roman"/>
          <w:sz w:val="17"/>
          <w:szCs w:val="17"/>
          <w:color w:val="auto"/>
        </w:rPr>
        <w:t>. Our team is comprised of highly skilled individuals from a variety of fields. Geographically, our staff are located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Tonga, Nauru, U.S., Canada, Australia, United Kingdom and United Arab Emirates. We are committed to attracting, developing and retaining world-class talent that is inclusive of a diverse range of perspectives, age, gender, gender identity, race, sexual orientation, physical capability, neurological difference, ethnicity and belief. Our goal is to develop cultural competency by seeking knowledge, increasing awareness, modeling respect and promoting inclusion.</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t>People Engagement</w:t>
      </w:r>
      <w:r>
        <w:rPr>
          <w:rFonts w:ascii="Times New Roman" w:cs="Times New Roman" w:eastAsia="Times New Roman" w:hAnsi="Times New Roman"/>
          <w:sz w:val="17"/>
          <w:szCs w:val="17"/>
          <w:color w:val="auto"/>
        </w:rPr>
        <w:t>. As a company working to pioneer a new industry and new ways of doing things, our success depends on attracting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retaining strong, independent, entrepreneurial, and multi-talented team members capable of dealing with high levels of uncertainty and adversity. Our team is distributed across several continents and several time zones, with remote working being the norm for most of our staff and multi-week offshore campaigns being the norm for our offshore team.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7"/>
          <w:szCs w:val="17"/>
          <w:i w:val="1"/>
          <w:iCs w:val="1"/>
          <w:color w:val="auto"/>
        </w:rPr>
        <w:t>ad hoc</w:t>
      </w:r>
      <w:r>
        <w:rPr>
          <w:rFonts w:ascii="Times New Roman" w:cs="Times New Roman" w:eastAsia="Times New Roman" w:hAnsi="Times New Roman"/>
          <w:sz w:val="17"/>
          <w:szCs w:val="17"/>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Compensation and Benefits. </w:t>
      </w:r>
      <w:r>
        <w:rPr>
          <w:rFonts w:ascii="Times New Roman" w:cs="Times New Roman" w:eastAsia="Times New Roman" w:hAnsi="Times New Roman"/>
          <w:sz w:val="17"/>
          <w:szCs w:val="17"/>
          <w:color w:val="auto"/>
        </w:rPr>
        <w:t>We compensate our staff competitively, striving to be in the 50th-60th percentile of our peers for total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65" w:lineRule="exact"/>
        <w:rPr>
          <w:sz w:val="20"/>
          <w:szCs w:val="20"/>
          <w:color w:val="auto"/>
        </w:rPr>
      </w:pPr>
    </w:p>
    <w:p>
      <w:pPr>
        <w:jc w:val="both"/>
        <w:ind w:firstLine="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Environment, Health &amp; Safety (EHS). </w:t>
      </w:r>
      <w:r>
        <w:rPr>
          <w:rFonts w:ascii="Times New Roman" w:cs="Times New Roman" w:eastAsia="Times New Roman" w:hAnsi="Times New Roman"/>
          <w:sz w:val="17"/>
          <w:szCs w:val="17"/>
          <w:color w:val="auto"/>
        </w:rPr>
        <w:t>Our EHS vision is to fully integrate environmental, health and safety into our operations, and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 a workplace free of incidents. In 2023, we relied on the EHS programs of our partners Allseas and a new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4" w:right="132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Available Information</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 xml:space="preserve">Our internet address is </w:t>
      </w:r>
      <w:r>
        <w:rPr>
          <w:rFonts w:ascii="Times New Roman" w:cs="Times New Roman" w:eastAsia="Times New Roman" w:hAnsi="Times New Roman"/>
          <w:sz w:val="17"/>
          <w:szCs w:val="17"/>
          <w:i w:val="1"/>
          <w:iCs w:val="1"/>
          <w:color w:val="auto"/>
        </w:rPr>
        <w:t>https://themetals.co</w:t>
      </w:r>
      <w:r>
        <w:rPr>
          <w:rFonts w:ascii="Times New Roman" w:cs="Times New Roman" w:eastAsia="Times New Roman" w:hAnsi="Times New Roman"/>
          <w:sz w:val="17"/>
          <w:szCs w:val="17"/>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that contains reports, proxy and information statements, and other information regarding issuers that file electronically with the SEC. We include our website address in this Annual Report only as an inactive textual reference. Information contained in our website does not constitute a part of this Annual Report or our other filings with the SEC.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2" w:lineRule="exact"/>
        <w:rPr>
          <w:sz w:val="20"/>
          <w:szCs w:val="20"/>
          <w:color w:val="auto"/>
        </w:rPr>
      </w:pPr>
    </w:p>
    <w:p>
      <w:pPr>
        <w:jc w:val="both"/>
        <w:ind w:firstLine="311"/>
        <w:spacing w:after="0" w:line="307" w:lineRule="auto"/>
        <w:rPr>
          <w:sz w:val="20"/>
          <w:szCs w:val="20"/>
          <w:color w:val="auto"/>
        </w:rPr>
      </w:pPr>
      <w:r>
        <w:rPr>
          <w:rFonts w:ascii="Times New Roman" w:cs="Times New Roman" w:eastAsia="Times New Roman" w:hAnsi="Times New Roman"/>
          <w:sz w:val="17"/>
          <w:szCs w:val="17"/>
          <w:color w:val="auto"/>
        </w:rPr>
        <w:t>TMC is a corporation existing under the laws of British Columbia, Canada. TMC’s registered office is currently located at 595 Howe Street,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Vancouver, British Columbia, Canada V6C 2T5, and its telephone number is: (604) 631-3115.</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64"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17"/>
          <w:szCs w:val="17"/>
          <w:b w:val="1"/>
          <w:bCs w:val="1"/>
          <w:color w:val="auto"/>
        </w:rPr>
        <w:t>Summary of the Material Risks Associated with Our Business</w:t>
      </w:r>
    </w:p>
    <w:p>
      <w:pPr>
        <w:spacing w:after="0" w:line="222"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17"/>
          <w:szCs w:val="17"/>
          <w:color w:val="auto"/>
        </w:rPr>
        <w:t>These risks include, but are not limited to, the following:</w:t>
      </w:r>
    </w:p>
    <w:p>
      <w:pPr>
        <w:spacing w:after="0" w:line="219" w:lineRule="exact"/>
        <w:rPr>
          <w:sz w:val="20"/>
          <w:szCs w:val="20"/>
          <w:color w:val="auto"/>
        </w:rPr>
      </w:pPr>
    </w:p>
    <w:p>
      <w:pPr>
        <w:ind w:left="640" w:hanging="309"/>
        <w:spacing w:after="0" w:line="254" w:lineRule="auto"/>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is subject to numerous regulatory uncertainties which, if not resolved in our favor, would have a material adverse impact on our business.</w:t>
      </w: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Our resource development activities are subject to changes in government regulation and political instability.</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Changes to any of the laws, rules, regulations or policies to which we are subject could have a significant impact on our business.</w:t>
      </w:r>
    </w:p>
    <w:p>
      <w:pPr>
        <w:spacing w:after="0" w:line="11" w:lineRule="exact"/>
        <w:rPr>
          <w:rFonts w:ascii="Arial" w:cs="Arial" w:eastAsia="Arial" w:hAnsi="Arial"/>
          <w:sz w:val="17"/>
          <w:szCs w:val="17"/>
          <w:color w:val="auto"/>
        </w:rPr>
      </w:pPr>
    </w:p>
    <w:p>
      <w:pPr>
        <w:jc w:val="both"/>
        <w:ind w:left="640" w:hanging="309"/>
        <w:spacing w:after="0" w:line="254" w:lineRule="auto"/>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Our exploration,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There can be no assurance that the Environmental Impact Assessment Post Collector Test will be successful.</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We may become subject to environmental liabilities as a result of noncompliance or newly imposed regulations.</w:t>
      </w:r>
    </w:p>
    <w:p>
      <w:pPr>
        <w:spacing w:after="0" w:line="11" w:lineRule="exact"/>
        <w:rPr>
          <w:rFonts w:ascii="Arial" w:cs="Arial" w:eastAsia="Arial" w:hAnsi="Arial"/>
          <w:sz w:val="17"/>
          <w:szCs w:val="17"/>
          <w:color w:val="auto"/>
        </w:rPr>
      </w:pPr>
    </w:p>
    <w:p>
      <w:pPr>
        <w:ind w:left="640" w:hanging="309"/>
        <w:spacing w:after="0" w:line="254" w:lineRule="auto"/>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The grade and quality of the polymetallic nodule deposits that we intend to develop are estimates, and there are no guarantees that such deposits will be suitable for collecting or commercialization.</w:t>
      </w:r>
    </w:p>
    <w:p>
      <w:pPr>
        <w:ind w:left="640" w:hanging="309"/>
        <w:spacing w:after="0" w:line="254" w:lineRule="auto"/>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No seafloor polymetallic nodule deposit has ever been commercially collected, and our offshore collection technology and development plans and processes may not be sufficient to accomplish our objectives.</w:t>
      </w: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Mineral resource estimates from the contract areas of NORI and TOML are only estimates.</w:t>
      </w:r>
    </w:p>
    <w:p>
      <w:pPr>
        <w:spacing w:after="0" w:line="11" w:lineRule="exact"/>
        <w:rPr>
          <w:rFonts w:ascii="Arial" w:cs="Arial" w:eastAsia="Arial" w:hAnsi="Arial"/>
          <w:sz w:val="17"/>
          <w:szCs w:val="17"/>
          <w:color w:val="auto"/>
        </w:rPr>
      </w:pPr>
    </w:p>
    <w:p>
      <w:pPr>
        <w:ind w:left="640" w:hanging="309"/>
        <w:spacing w:after="0" w:line="254" w:lineRule="auto"/>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is subject to significant risks, and we may never develop minerals in sufficient grade or quantities to justify commercial operations.</w:t>
      </w: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Uncertainty in our estimates of polymetallic nodule deposits could result in lower-than-expected revenues and higher costs.</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We operate in a highly competitive industry, and there are no assurances that our efforts will be successful.</w:t>
      </w:r>
    </w:p>
    <w:p>
      <w:pPr>
        <w:spacing w:after="0" w:line="11" w:lineRule="exact"/>
        <w:rPr>
          <w:rFonts w:ascii="Arial" w:cs="Arial" w:eastAsia="Arial" w:hAnsi="Arial"/>
          <w:sz w:val="17"/>
          <w:szCs w:val="17"/>
          <w:color w:val="auto"/>
        </w:rPr>
      </w:pPr>
    </w:p>
    <w:p>
      <w:pPr>
        <w:ind w:left="640" w:hanging="309"/>
        <w:spacing w:after="0" w:line="254" w:lineRule="auto"/>
        <w:tabs>
          <w:tab w:leader="none" w:pos="639"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The prevailing market prices of nickel, manganese, copper, cobalt, and other commodities will have a material impact on our ability to achieve commercial success.</w:t>
      </w: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We may be adversely affected by fluctuations in demand for nickel, manganese, copper, cobalt, and other commodities.</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We may experience difficulty in creating market acceptance for a novel manganese product.</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22"/>
        </w:numPr>
        <w:rPr>
          <w:rFonts w:ascii="Arial" w:cs="Arial" w:eastAsia="Arial" w:hAnsi="Arial"/>
          <w:sz w:val="17"/>
          <w:szCs w:val="17"/>
          <w:color w:val="auto"/>
        </w:rPr>
      </w:pPr>
      <w:r>
        <w:rPr>
          <w:rFonts w:ascii="Times New Roman" w:cs="Times New Roman" w:eastAsia="Times New Roman" w:hAnsi="Times New Roman"/>
          <w:sz w:val="17"/>
          <w:szCs w:val="17"/>
          <w:color w:val="auto"/>
        </w:rPr>
        <w:t>Negative perceptions related to the collection of polymetallic nodules could have a material adverse effect on our business.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51" w:name="page52"/>
    <w:bookmarkEnd w:id="51"/>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Offshore nodule collection, shipping and onshore processing and refining operations pose inherent risks and costs that may negatively impact our business.</w:t>
      </w:r>
    </w:p>
    <w:p>
      <w:pPr>
        <w:jc w:val="both"/>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is contingent on our ability to successfully identify, collect, ship and process polymetallic nodules, and in doing so, we will need to rely on certain existing and future strategic relationships, some of which we may be unable to maintain and/or develop.</w:t>
      </w:r>
    </w:p>
    <w:p>
      <w:pPr>
        <w:ind w:left="520" w:hanging="310"/>
        <w:spacing w:after="0"/>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Some of the offshore equipment that we will need to accomplish our objectives has not been manufactured and/or tested.</w:t>
      </w:r>
    </w:p>
    <w:p>
      <w:pPr>
        <w:spacing w:after="0" w:line="11" w:lineRule="exact"/>
        <w:rPr>
          <w:rFonts w:ascii="Arial" w:cs="Arial" w:eastAsia="Arial" w:hAnsi="Arial"/>
          <w:sz w:val="17"/>
          <w:szCs w:val="17"/>
          <w:color w:val="auto"/>
        </w:rPr>
      </w:pPr>
    </w:p>
    <w:p>
      <w:pPr>
        <w:ind w:left="520" w:hanging="310"/>
        <w:spacing w:after="0"/>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is substantially dependent on our strategic relationship with Allseas.</w:t>
      </w:r>
    </w:p>
    <w:p>
      <w:pPr>
        <w:spacing w:after="0" w:line="11" w:lineRule="exact"/>
        <w:rPr>
          <w:rFonts w:ascii="Arial" w:cs="Arial" w:eastAsia="Arial" w:hAnsi="Arial"/>
          <w:sz w:val="17"/>
          <w:szCs w:val="17"/>
          <w:color w:val="auto"/>
        </w:rPr>
      </w:pPr>
    </w:p>
    <w:p>
      <w:pPr>
        <w:jc w:val="both"/>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Our exploration and polymetallic nodule collecting activities may be affected by natural hazards, which could have a material adverse effect on our business.</w:t>
      </w:r>
    </w:p>
    <w:p>
      <w:pPr>
        <w:jc w:val="both"/>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have a limited operating history, and there can be no assurance that we will be able to commercially develop our resource areas or achieve profitability in the future.</w:t>
      </w:r>
    </w:p>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depend on key personnel for the success of our business. The loss of key personnel or the hiring of ineffective personnel could negatively impact our operations and profitability.</w:t>
      </w:r>
    </w:p>
    <w:p>
      <w:pPr>
        <w:ind w:left="520" w:hanging="309"/>
        <w:spacing w:after="0"/>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are dependent upon information technology systems, which are subject to cyber threats, disruption, damage and failure.</w:t>
      </w:r>
    </w:p>
    <w:p>
      <w:pPr>
        <w:spacing w:after="0" w:line="11" w:lineRule="exact"/>
        <w:rPr>
          <w:rFonts w:ascii="Arial" w:cs="Arial" w:eastAsia="Arial" w:hAnsi="Arial"/>
          <w:sz w:val="17"/>
          <w:szCs w:val="17"/>
          <w:color w:val="auto"/>
        </w:rPr>
      </w:pPr>
    </w:p>
    <w:p>
      <w:pPr>
        <w:ind w:left="520" w:hanging="309"/>
        <w:spacing w:after="0"/>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is subject to a variety of risks, some of which may not be covered by our future or existing insurance policies.</w:t>
      </w:r>
    </w:p>
    <w:p>
      <w:pPr>
        <w:spacing w:after="0" w:line="11" w:lineRule="exact"/>
        <w:rPr>
          <w:rFonts w:ascii="Arial" w:cs="Arial" w:eastAsia="Arial" w:hAnsi="Arial"/>
          <w:sz w:val="17"/>
          <w:szCs w:val="17"/>
          <w:color w:val="auto"/>
        </w:rPr>
      </w:pPr>
    </w:p>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may not be able to adequately protect our intellectual property rights. If we fail to adequately enforce or defend our intellectual property rights, our business may be harmed.</w:t>
      </w:r>
    </w:p>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If we infringe, or are accused of infringing, on the intellectual property rights of third parties, it may increase our costs or prevent us from being able to commercialize new products.</w:t>
      </w:r>
    </w:p>
    <w:p>
      <w:pPr>
        <w:jc w:val="both"/>
        <w:ind w:left="520" w:hanging="309"/>
        <w:spacing w:after="0" w:line="254" w:lineRule="auto"/>
        <w:tabs>
          <w:tab w:leader="none" w:pos="521"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If our outstanding warrants are exercised, the number of shares eligible for future resale in the public market will increase and result in dilution to our shareholders.</w:t>
      </w:r>
    </w:p>
    <w:p>
      <w:pPr>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are involved in class action and securities litigation that may adversely affect us, and we may not be successful in our litigation related to non-performing Private Investment in Public Equity (“PIPE”) investors.</w:t>
      </w:r>
    </w:p>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Our business is capital intensive, and we will be required to raise additional funds in the future in order to accomplish our objectives.</w:t>
      </w:r>
    </w:p>
    <w:p>
      <w:pPr>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may incur debt in the future, and our ability to satisfy our obligations thereunder remains subject to a variety of factors, many of which are not within our control.</w:t>
      </w:r>
    </w:p>
    <w:p>
      <w:pPr>
        <w:ind w:left="520" w:hanging="309"/>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An active trading market for our Common Shares and warrants may not be sustained, which would adversely affect the liquidity and price of our securities.</w:t>
      </w:r>
    </w:p>
    <w:p>
      <w:pPr>
        <w:ind w:left="520" w:hanging="309"/>
        <w:spacing w:after="0"/>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There can be no assurance that we will be able to comply with the continued listing standards of Nasdaq.</w:t>
      </w:r>
    </w:p>
    <w:p>
      <w:pPr>
        <w:spacing w:after="0" w:line="11" w:lineRule="exact"/>
        <w:rPr>
          <w:rFonts w:ascii="Arial" w:cs="Arial" w:eastAsia="Arial" w:hAnsi="Arial"/>
          <w:sz w:val="17"/>
          <w:szCs w:val="17"/>
          <w:color w:val="auto"/>
        </w:rPr>
      </w:pPr>
    </w:p>
    <w:p>
      <w:pPr>
        <w:jc w:val="both"/>
        <w:ind w:left="520" w:hanging="310"/>
        <w:spacing w:after="0" w:line="254"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 and we may face litigation as a result thereof.</w:t>
      </w:r>
    </w:p>
    <w:p>
      <w:pPr>
        <w:spacing w:after="0" w:line="1" w:lineRule="exact"/>
        <w:rPr>
          <w:rFonts w:ascii="Arial" w:cs="Arial" w:eastAsia="Arial" w:hAnsi="Arial"/>
          <w:sz w:val="17"/>
          <w:szCs w:val="17"/>
          <w:color w:val="auto"/>
        </w:rPr>
      </w:pPr>
    </w:p>
    <w:p>
      <w:pPr>
        <w:ind w:left="520" w:hanging="310"/>
        <w:spacing w:after="0"/>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are exposed to risks in our international operations, which could adversely affect our business.</w:t>
      </w:r>
    </w:p>
    <w:p>
      <w:pPr>
        <w:spacing w:after="0" w:line="11" w:lineRule="exact"/>
        <w:rPr>
          <w:rFonts w:ascii="Arial" w:cs="Arial" w:eastAsia="Arial" w:hAnsi="Arial"/>
          <w:sz w:val="17"/>
          <w:szCs w:val="17"/>
          <w:color w:val="auto"/>
        </w:rPr>
      </w:pPr>
    </w:p>
    <w:p>
      <w:pPr>
        <w:ind w:left="520" w:hanging="310"/>
        <w:spacing w:after="0" w:line="298" w:lineRule="auto"/>
        <w:tabs>
          <w:tab w:leader="none" w:pos="520" w:val="left"/>
        </w:tabs>
        <w:numPr>
          <w:ilvl w:val="0"/>
          <w:numId w:val="23"/>
        </w:numPr>
        <w:rPr>
          <w:rFonts w:ascii="Arial" w:cs="Arial" w:eastAsia="Arial" w:hAnsi="Arial"/>
          <w:sz w:val="17"/>
          <w:szCs w:val="17"/>
          <w:color w:val="auto"/>
        </w:rPr>
      </w:pPr>
      <w:r>
        <w:rPr>
          <w:rFonts w:ascii="Times New Roman" w:cs="Times New Roman" w:eastAsia="Times New Roman" w:hAnsi="Times New Roman"/>
          <w:sz w:val="17"/>
          <w:szCs w:val="17"/>
          <w:color w:val="auto"/>
        </w:rPr>
        <w:t>We may be classified as a PFIC in any taxable year, which could result in adverse U.S. federal income tax consequences to U.S. holders.</w:t>
      </w:r>
    </w:p>
    <w:p>
      <w:pPr>
        <w:spacing w:after="0" w:line="200" w:lineRule="exact"/>
        <w:rPr>
          <w:sz w:val="20"/>
          <w:szCs w:val="20"/>
          <w:color w:val="auto"/>
        </w:rPr>
      </w:pPr>
    </w:p>
    <w:p>
      <w:pPr>
        <w:spacing w:after="0" w:line="35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56pt"/>
            </w:pict>
          </mc:Fallback>
        </mc:AlternateContent>
      </w:r>
    </w:p>
    <w:p>
      <w:pPr>
        <w:sectPr>
          <w:pgSz w:w="12240" w:h="15840" w:orient="portrait"/>
          <w:cols w:equalWidth="0" w:num="1">
            <w:col w:w="9480"/>
          </w:cols>
          <w:pgMar w:left="1440" w:top="1327" w:right="1320" w:bottom="1440" w:gutter="0" w:footer="0" w:header="0"/>
        </w:sectPr>
      </w:pPr>
    </w:p>
    <w:bookmarkStart w:id="52" w:name="page53"/>
    <w:bookmarkEnd w:id="52"/>
    <w:p>
      <w:pPr>
        <w:ind w:left="300"/>
        <w:spacing w:after="0"/>
        <w:tabs>
          <w:tab w:leader="none" w:pos="560" w:val="left"/>
        </w:tabs>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w:t>
        <w:tab/>
        <w:t>Regulatory and Environmental Risks.</w:t>
      </w:r>
    </w:p>
    <w:p>
      <w:pPr>
        <w:spacing w:after="0" w:line="2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numerous regulatory uncertainties which, if not resolved in our favor, would have a material adverse impact on our business.</w:t>
      </w:r>
    </w:p>
    <w:p>
      <w:pPr>
        <w:spacing w:after="0" w:line="13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55"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with the potential for earlier adoption during the 29th session of the ISA in 2024 if the Mining Code is ready for adoption by that time. The road map includes three scheduled ISA Council meetings through July 2024 to elaborate the Mining Code. Although we believe the ISA will adopt the Mining Code, there can be no assurances that the Mining Code will be adopted within these timelines, or at all, as a result of actions of ISA member States or otherwise. For example, 21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7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As the ISA Council did not complete the adoption and elaboration of the Mining Code by the prescribed deadline of July 9, 2023, pursuant to Section 1, Paragraph 15(c) of the Annex to the 1994 Agreement relating to the implementation of Part XI of UNCLOS,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relating to the Implementation of Part XI, including the principle of non-discrimination among contractors.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09">
                          <a:solidFill>
                            <a:srgbClr val="000000"/>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99pt"/>
            </w:pict>
          </mc:Fallback>
        </mc:AlternateContent>
      </w:r>
    </w:p>
    <w:p>
      <w:pPr>
        <w:sectPr>
          <w:pgSz w:w="12240" w:h="15840" w:orient="portrait"/>
          <w:cols w:equalWidth="0" w:num="1">
            <w:col w:w="9600"/>
          </w:cols>
          <w:pgMar w:left="1320" w:top="1324" w:right="1320" w:bottom="1440" w:gutter="0" w:footer="0" w:header="0"/>
        </w:sectPr>
      </w:pPr>
    </w:p>
    <w:bookmarkStart w:id="53" w:name="page54"/>
    <w:bookmarkEnd w:id="53"/>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NORI intends to submit an application to the ISA for an exploitation contract, which will include a plan of work for exploitation for NORI Area D following the conclusion of the July 2024 meeting of the ISA’s 29th session. If the ISA has not adopted the final Mining Code by the time NORI submits this application, we believe that the ISA will review and provisionally approve the plan of work for exploitation included therein pursuant to Section 1, Paragraph 15(c) of the Annex to the 1994 Agreement relating to the implementation of Part XI of UNCLOS discussed above. The ISA released its road map to finalize the Mining Code at its July 2023 session, however, it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relating to the implementation of Part XI of UNCLOS.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and whether and how long the ISA could delay its consideration of an application past the proscribed 60-day period. As a result, and in light of some ISA members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w:t>
      </w:r>
    </w:p>
    <w:p>
      <w:pPr>
        <w:spacing w:after="0" w:line="38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at a commercial scale. The EIS would be accompanied by 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67"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In order to move our exploration projects into commercial production, our wholly-owned subsidiaries, NORI and TOML will each need to conclude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65"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54" w:name="page55"/>
    <w:bookmarkEnd w:id="54"/>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While the rates of payments are yet to be set by the ISA, the 1994 Agreement relating to the Implementation of Part XI of the UNCLOS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resource development activities are subject to changes in government regulation and political instability.</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165"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370"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65"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any of the laws, rules, regulations or policies to which we are subject could have a significant impact on our business.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66"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55" w:name="page56"/>
    <w:bookmarkEnd w:id="55"/>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93" name="Shape 2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3" o:spid="_x0000_s13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94" name="Shape 2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4" o:spid="_x0000_s13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5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All phases of exploring for and collecting and processing polymetallic nodules are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16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Nodule collection operations in the CCZ are certain to disturb wildlife in the operating area and may impact ecosystem function. The nature and severity of these impacts on CCZ wildlife are expected to vary by species and are currently subject to significant uncertainty. Our campaigns to baseline wildlife and ecosystem function, pilot the nodule collection system and monitor impacts arising from the use of this system have been completed. Data processing and analysis is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6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7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6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37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ectPr>
          <w:pgSz w:w="12240" w:h="15840" w:orient="portrait"/>
          <w:cols w:equalWidth="0" w:num="1">
            <w:col w:w="9600"/>
          </w:cols>
          <w:pgMar w:left="1320" w:top="1328" w:right="132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8" w:right="1320" w:bottom="1440" w:gutter="0" w:footer="0" w:header="0"/>
          <w:type w:val="continuous"/>
        </w:sectPr>
      </w:pPr>
    </w:p>
    <w:bookmarkStart w:id="56" w:name="page57"/>
    <w:bookmarkEnd w:id="56"/>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environmental liabilities as a result of noncompliance with existing or future regulations.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55"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374"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374" w:lineRule="exact"/>
        <w:rPr>
          <w:sz w:val="20"/>
          <w:szCs w:val="20"/>
          <w:color w:val="auto"/>
        </w:rPr>
      </w:pPr>
    </w:p>
    <w:p>
      <w:pPr>
        <w:ind w:left="300"/>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II.</w:t>
        <w:tab/>
        <w:t>Resource and Market Risks.</w:t>
      </w:r>
    </w:p>
    <w:p>
      <w:pPr>
        <w:spacing w:after="0" w:line="2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3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6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ectPr>
          <w:pgSz w:w="12240" w:h="15840" w:orient="portrait"/>
          <w:cols w:equalWidth="0" w:num="1">
            <w:col w:w="9600"/>
          </w:cols>
          <w:pgMar w:left="1320" w:top="1327" w:right="132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367665</wp:posOffset>
                </wp:positionV>
                <wp:extent cx="6109970"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5pt" to="480.55pt,28.95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57" w:name="page58"/>
    <w:bookmarkEnd w:id="57"/>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3" o:spid="_x0000_s13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5" o:spid="_x0000_s13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 seafloor polymetallic nodule deposit has ever been commercially collected, and our offshore collection technology and development plans and processes may not be sufficient to accomplish our objectives.</w:t>
      </w:r>
    </w:p>
    <w:p>
      <w:pPr>
        <w:spacing w:after="0" w:line="137"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Seafloor polymetallic nodules have never been commercially mined, and there is a risk that our offshore collection and recovery methods and the equipment that we intend to utilize during this process, including transferring nodules to transport vessels and delivering of nodules to port,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transportation and development techniques for the prevailing material and seafloor conditions would have a material adverse effect on the business of our subsidiaries, and the results of their operations and financial condition. As a result, even if the ISA timely reviews and approves our expected application for an exploitation contract, which will include a plan of work for exploitation, for NORI Area D, there are no assurances that we will have successfully completed all development and pre-production work necessary to start commercial production at the end of the first quarter of 2026.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74"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On March 16, 2022, NORI and Allseas entered into a non-binding term sheet for the development and operation of the Project Zero Offshore Nodule Collection System. NORI and Allseas intend to equally finance all costs related to developing and getting Project Zero Offshore Nodule Collection System into production currently. The parties intend to detail and revise these cost estimates in three definitive agreements for the engineering, build and operations phases which the parties expect to enter into before the submission of our exploitation application in 2024. There can be no assurances, however, that we will enter into the binding Heads of Terms and definitive agreements with Allseas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38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resource estimates from the contract areas of NORI and TOML are only estimates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6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ectPr>
          <w:pgSz w:w="12240" w:h="15840" w:orient="portrait"/>
          <w:cols w:equalWidth="0" w:num="1">
            <w:col w:w="9600"/>
          </w:cols>
          <w:pgMar w:left="1320" w:top="1328" w:right="132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306" o:spid="_x0000_s13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8" w:right="1320" w:bottom="1440" w:gutter="0" w:footer="0" w:header="0"/>
          <w:type w:val="continuous"/>
        </w:sectPr>
      </w:pPr>
    </w:p>
    <w:bookmarkStart w:id="58" w:name="page59"/>
    <w:bookmarkEnd w:id="58"/>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7" o:spid="_x0000_s13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09" o:spid="_x0000_s13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0" o:spid="_x0000_s13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6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significant risks, and we may never develop minerals in sufficient grade or quantities to justify commercial operations.</w:t>
      </w:r>
    </w:p>
    <w:p>
      <w:pPr>
        <w:spacing w:after="0" w:line="137"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66"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6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6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ectPr>
          <w:pgSz w:w="12240" w:h="15840" w:orient="portrait"/>
          <w:cols w:equalWidth="0" w:num="1">
            <w:col w:w="9600"/>
          </w:cols>
          <w:pgMar w:left="1320" w:top="1327" w:right="132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98">
                          <a:solidFill>
                            <a:srgbClr val="000000"/>
                          </a:solidFill>
                          <a:miter lim="800000"/>
                          <a:headEnd/>
                          <a:tailEnd/>
                        </a:ln>
                      </wps:spPr>
                      <wps:bodyPr/>
                    </wps:wsp>
                  </a:graphicData>
                </a:graphic>
              </wp:anchor>
            </w:drawing>
          </mc:Choice>
          <mc:Fallback>
            <w:pict>
              <v:line id="Shape 311" o:spid="_x0000_s13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91pt"/>
            </w:pict>
          </mc:Fallback>
        </mc:AlternateContent>
      </w:r>
    </w:p>
    <w:p>
      <w:pPr>
        <w:sectPr>
          <w:pgSz w:w="12240" w:h="15840" w:orient="portrait"/>
          <w:cols w:equalWidth="0" w:num="1">
            <w:col w:w="9600"/>
          </w:cols>
          <w:pgMar w:left="1320" w:top="1327" w:right="1320"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3" o:spid="_x0000_s13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4" o:spid="_x0000_s13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Uncertainty in our estimates of polymetallic nodule deposits could result in lower-than-expected revenues and higher costs.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71" w:lineRule="exact"/>
        <w:rPr>
          <w:sz w:val="20"/>
          <w:szCs w:val="20"/>
          <w:color w:val="auto"/>
        </w:rPr>
      </w:pPr>
    </w:p>
    <w:p>
      <w:pPr>
        <w:ind w:left="640" w:hanging="310"/>
        <w:spacing w:after="0" w:line="298" w:lineRule="auto"/>
        <w:tabs>
          <w:tab w:leader="none" w:pos="64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environmental, geological, geotechnical, collecting and processing conditions that may not be fully identified by available data or that may differ from experience;</w:t>
      </w:r>
    </w:p>
    <w:p>
      <w:pPr>
        <w:spacing w:after="0" w:line="135" w:lineRule="exact"/>
        <w:rPr>
          <w:rFonts w:ascii="Arial" w:cs="Arial" w:eastAsia="Arial" w:hAnsi="Arial"/>
          <w:sz w:val="17"/>
          <w:szCs w:val="17"/>
          <w:color w:val="auto"/>
        </w:rPr>
      </w:pPr>
    </w:p>
    <w:p>
      <w:pPr>
        <w:ind w:left="640" w:hanging="310"/>
        <w:spacing w:after="0" w:line="298" w:lineRule="auto"/>
        <w:tabs>
          <w:tab w:leader="none" w:pos="64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changes to the strategic approach to collecting and processing, which will depend in large part on market demand, corporate strategy and other prevailing economic and financial conditions;</w:t>
      </w:r>
    </w:p>
    <w:p>
      <w:pPr>
        <w:spacing w:after="0" w:line="135"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35"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24"/>
        </w:numPr>
        <w:rPr>
          <w:rFonts w:ascii="Arial" w:cs="Arial" w:eastAsia="Arial" w:hAnsi="Arial"/>
          <w:sz w:val="17"/>
          <w:szCs w:val="17"/>
          <w:color w:val="auto"/>
        </w:rPr>
      </w:pPr>
      <w:r>
        <w:rPr>
          <w:rFonts w:ascii="Times New Roman" w:cs="Times New Roman" w:eastAsia="Times New Roman" w:hAnsi="Times New Roman"/>
          <w:sz w:val="17"/>
          <w:szCs w:val="17"/>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3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and there are no assurances that our efforts will be successful.</w:t>
      </w:r>
    </w:p>
    <w:p>
      <w:pPr>
        <w:spacing w:after="0" w:line="218"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our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316" o:spid="_x0000_s13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8" w:right="1320" w:bottom="1440" w:gutter="0" w:footer="0" w:header="0"/>
        </w:sectPr>
      </w:pPr>
    </w:p>
    <w:bookmarkStart w:id="60" w:name="page61"/>
    <w:bookmarkEnd w:id="60"/>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7" o:spid="_x0000_s13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18" o:spid="_x0000_s13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0" o:spid="_x0000_s13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prevailing market prices of nickel, manganese, copper, cobalt, and other commodities will have a material impact on our ability to achieve commercial success.</w:t>
      </w:r>
    </w:p>
    <w:p>
      <w:pPr>
        <w:spacing w:after="0" w:line="137"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38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are not currently party to any commodity hedging contracts, as we do not yet have any production. Debt financing may not be available on commercially reasonable terms, or at all.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fluctuations in demand for nickel, manganese, copper, cobalt, and other commodities.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China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6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difficulty in creating market acceptance for a novel manganese product.</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will be producing a novel manganese silicate product which does not yet have recognition in the marketplace with customers. Metallurgical testwork,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6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Additionally, manganese silicate is not a conventional mineral product and may require additional approvals for export and import from our processing facilities to our future customers.</w:t>
      </w:r>
    </w:p>
    <w:p>
      <w:pPr>
        <w:sectPr>
          <w:pgSz w:w="12240" w:h="15840" w:orient="portrait"/>
          <w:cols w:equalWidth="0" w:num="1">
            <w:col w:w="9600"/>
          </w:cols>
          <w:pgMar w:left="1320" w:top="1328" w:right="132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21" o:spid="_x0000_s13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8" w:right="1320" w:bottom="1440" w:gutter="0" w:footer="0" w:header="0"/>
          <w:type w:val="continuous"/>
        </w:sectPr>
      </w:pPr>
    </w:p>
    <w:bookmarkStart w:id="61" w:name="page62"/>
    <w:bookmarkEnd w:id="61"/>
    <w:p>
      <w:pPr>
        <w:ind w:right="3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3" o:spid="_x0000_s13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4" o:spid="_x0000_s13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Our ability to generate revenue will be diminished if we are unable to compete with substitutions for the minerals that we intend to process.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Technology changes rapidly in the industries and end markets that utilize our materials. If these industries shift to new technologies or products (e.g., nickel-rich battery chemistries could be replaced by other battery chemistries that do not use nickel or cobalt such as lithium iron phosphate (LFP), or copper could be increasingly substituted by aluminum) or use less of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III. Social License and Public Perceptions Risks.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perceptions related to the offshore collection of polymetallic nodules could have a material adverse effect on our business.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There exist certain negative perceptions related to acquiring metals produced from deep-sea minerals. Under pressure from non-governmental organizations, some governments and companies in the EV supply chain have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16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Reduced growth in the adoption of electric vehicles by consumers may change our strategy and our business and operating results may be impacted.</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Given that we have focused part of our operating plan on the sale of nodule-derived battery metals into the EV supply chain,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our partners and our shareholders may be adversely impacted by pressure and lobbying from non-governmental organizations.</w:t>
      </w:r>
    </w:p>
    <w:p>
      <w:pPr>
        <w:spacing w:after="0" w:line="21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Like other businesses that operate in the resources industry, we along with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 As seen during the coordinated and disruptive activities by Greenpeace International during Campaign 8a, designed to prevent and obstruct the campaign, such activities can have significant impacts from a timing, financial and safety perspective. There can be no assurances that such activities by Greenpeace and other stakeholder will not materially impact our ongoing operations.</w:t>
      </w:r>
    </w:p>
    <w:p>
      <w:pPr>
        <w:spacing w:after="0" w:line="170" w:lineRule="exact"/>
        <w:rPr>
          <w:sz w:val="20"/>
          <w:szCs w:val="20"/>
          <w:color w:val="auto"/>
        </w:rPr>
      </w:pPr>
    </w:p>
    <w:p>
      <w:pPr>
        <w:ind w:left="300"/>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IV.</w:t>
        <w:tab/>
        <w:t>Offshore and Onshore Technology Risks and Operational Risks.</w:t>
      </w:r>
    </w:p>
    <w:p>
      <w:pPr>
        <w:spacing w:after="0" w:line="223"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Offshore collection and onshore processing and refining operations pose inherent risks and costs that may negatively impact our business.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Offshore collection and onshore processing and refining operations involve many hazards and uncertainties, including, among others:</w:t>
      </w:r>
    </w:p>
    <w:p>
      <w:pPr>
        <w:spacing w:after="0" w:line="219" w:lineRule="exact"/>
        <w:rPr>
          <w:sz w:val="20"/>
          <w:szCs w:val="20"/>
          <w:color w:val="auto"/>
        </w:rPr>
      </w:pPr>
    </w:p>
    <w:p>
      <w:pPr>
        <w:ind w:left="4720" w:right="1520" w:hanging="4389"/>
        <w:spacing w:after="0" w:line="807" w:lineRule="auto"/>
        <w:tabs>
          <w:tab w:leader="none" w:pos="648"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7"/>
          <w:szCs w:val="17"/>
          <w:color w:val="auto"/>
        </w:rPr>
        <w:t>technical and operational challenges in the offshore collection operations and scaling up of such operations; 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43180</wp:posOffset>
                </wp:positionV>
                <wp:extent cx="6109970" cy="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26" o:spid="_x0000_s13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3.4pt" to="480.55pt,3.4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62" w:name="page63"/>
    <w:bookmarkEnd w:id="62"/>
    <w:p>
      <w:pPr>
        <w:ind w:left="640" w:hanging="309"/>
        <w:spacing w:after="0" w:line="298" w:lineRule="auto"/>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7" o:spid="_x0000_s13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29" o:spid="_x0000_s13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0" o:spid="_x0000_s13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challenges in and delays caused by transferring nodules to transport vessels and delivering nodules to port (including limited availability of and cost to secure the equipment to allow the activity);</w:t>
      </w:r>
    </w:p>
    <w:p>
      <w:pPr>
        <w:spacing w:after="0" w:line="135" w:lineRule="exact"/>
        <w:rPr>
          <w:rFonts w:ascii="Arial" w:cs="Arial" w:eastAsia="Arial" w:hAnsi="Arial"/>
          <w:sz w:val="17"/>
          <w:szCs w:val="17"/>
          <w:color w:val="auto"/>
        </w:rPr>
      </w:pPr>
    </w:p>
    <w:p>
      <w:pPr>
        <w:ind w:left="640" w:hanging="310"/>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industrial accidents;</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unusual and unexpected maritime conditions;</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unexpected seafloor conditions;</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onshore metallurgical or other processing problems;</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unexpected environmental conditions, including contamination or leakage;</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periodic interruptions due to inclement or hazardous weather conditions or other acts of nature;</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fire;</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piracy and disruptive action by non-governmental actors opposed to deep-sea mineral extraction;</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organized labor disputes or work slowdowns;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mechanical equipment failure and facility performance problems;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the availability of financing, market demand, critical technology and equipment, and skilled labor; and</w:t>
      </w:r>
    </w:p>
    <w:p>
      <w:pPr>
        <w:spacing w:after="0" w:line="218" w:lineRule="exact"/>
        <w:rPr>
          <w:rFonts w:ascii="Arial" w:cs="Arial" w:eastAsia="Arial" w:hAnsi="Arial"/>
          <w:sz w:val="17"/>
          <w:szCs w:val="17"/>
          <w:color w:val="auto"/>
        </w:rPr>
      </w:pPr>
    </w:p>
    <w:p>
      <w:pPr>
        <w:ind w:left="640" w:hanging="309"/>
        <w:spacing w:after="0" w:line="298" w:lineRule="auto"/>
        <w:tabs>
          <w:tab w:leader="none" w:pos="641"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7"/>
          <w:szCs w:val="17"/>
          <w:color w:val="auto"/>
        </w:rPr>
        <w:t>the inability of suppliers to provide key process inputs like electricity, gas, coal and processing reagents on a timely basis at the prices that have been forecast.</w:t>
      </w:r>
    </w:p>
    <w:p>
      <w:pPr>
        <w:spacing w:after="0" w:line="136"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polymetallic nodules that we may recover may require specialized transfer and delivery equipment and processes, and there is no certainty that we will be able to develop or otherwise access such transfer and delivery equipment or processes that are suitable for our purposes.</w:t>
      </w:r>
    </w:p>
    <w:p>
      <w:pPr>
        <w:spacing w:after="0" w:line="154"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polymetallic nodules that we may collect may require specialized equipment and processes in connection with the transfer of such nodules to transport vessels and delivery of the nodules to port. To date, we have not transferred significant quantities of nodules to transport vessels nor delivered significant quantities of nodules to port. The anticipated cost to develop this equipment and processes is significant. There is a risk that the equipment and/or processes necessary to transfer commercial quantities of nodules to transport vessels and deliver them to port may be economically prohibitive.</w:t>
      </w:r>
    </w:p>
    <w:p>
      <w:pPr>
        <w:spacing w:after="0" w:line="16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Although we are currently negotiating with third-party shipping companies to transfer nodules to transport vessels and to deliver nodules to port, our future needs with respect to the required equipment and processes have yet to be fully determined, and as such, the capital costs, performance, reliability, and maintenance of such equipment and processes is currently uncertain and may be more expensive and take longer to develop than we currently estimate. In addition, the required equipment and processes may not be developed or become available at commercial scale in the time frame we require, which could have a material negative impact on our short-term operations and financial results.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98">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91pt"/>
            </w:pict>
          </mc:Fallback>
        </mc:AlternateContent>
      </w:r>
    </w:p>
    <w:p>
      <w:pPr>
        <w:sectPr>
          <w:pgSz w:w="12240" w:h="15840" w:orient="portrait"/>
          <w:cols w:equalWidth="0" w:num="1">
            <w:col w:w="9600"/>
          </w:cols>
          <w:pgMar w:left="1320" w:top="1327" w:right="1320" w:bottom="1440" w:gutter="0" w:footer="0" w:header="0"/>
        </w:sectPr>
      </w:pPr>
    </w:p>
    <w:bookmarkStart w:id="63" w:name="page64"/>
    <w:bookmarkEnd w:id="63"/>
    <w:p>
      <w:pPr>
        <w:jc w:val="both"/>
        <w:ind w:firstLine="1"/>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3" o:spid="_x0000_s13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34" o:spid="_x0000_s13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Our business is contingent on our ability to successfully identify, collect, ship and process polymetallic nodules profitably, and in doing so, we will need to rely on certain existing and future strategic relationships, some of which we may be unable to maintain and/or develop.</w:t>
      </w:r>
    </w:p>
    <w:p>
      <w:pPr>
        <w:spacing w:after="0" w:line="156"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60"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For example, we have been working with Hatch, a global engineering, project management, and professional services firm, to support the development of onshore processing technology for the production of readily saleable copper and manganese products, as well as products such as high-grade nickel and cobalt sulfates for the electric vehicle battery markets. In connection therewith, Hatch has supported us with the development of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developed a test system and demonstrated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 We are also in discussions with third party shipping companies to develop a system and method to transfer nodules to transport vessels and deliver nodules to port.</w:t>
      </w:r>
    </w:p>
    <w:p>
      <w:pPr>
        <w:spacing w:after="0" w:line="16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There can be no assurance that we will be able to continue to maintain and develop our existing relationships, or that we will be able to form the new relationships that are required for our business to be successful. There can be no assurances that we will be able to find additional partners with the correct capabilities to support our development efforts or whether we will be able to engage these partners on acceptable terms or at 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the offshore equipment that we will need to accomplish our objectives has not been manufactured and/or tested.</w:t>
      </w:r>
    </w:p>
    <w:p>
      <w:pPr>
        <w:spacing w:after="0" w:line="218"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We have not yet identified a third-party shipping company with the necessary equipment to transfer nodules to transport vessels and deliver nodules to port.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36" o:spid="_x0000_s13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64" w:name="page65"/>
    <w:bookmarkEnd w:id="64"/>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37" o:spid="_x0000_s13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39" o:spid="_x0000_s13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0" o:spid="_x0000_s13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Our business is substantially dependent on our strategic relationship with Allseas. If we and Allseas are unable to successfully maintain and expand this relationship, our business may be materially harmed.</w:t>
      </w:r>
    </w:p>
    <w:p>
      <w:pPr>
        <w:spacing w:after="0" w:line="137"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 xml:space="preserve">We have partnered with Allseas, a leading global offshore contractor and significant shareholder in our Company, to undertake the development of many of the offshore systems we expect to utilize in our potential commercialization efforts [(including equipment required for the transfer of nodules to transport vessels and delivery to port)]. We are also in discussions with Allseas to enter into binding agreements with them for the future development and operation of the Project Zero Offshore Nodule Collection System and other services. Allseas also provides us with exclusive access to the earlier of the development of the Project Zero Offshore Nodule Collection System and December 31, 2026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the converted drillship expected to be converted into a production vessel by Allseas for our commercial use. In addition, Allseas has invested $5 million in our August 2022 private placement of Common Shares, $7 million in our August 2023 registered direct offer of our Common Shares and Class A Warrants and entered into an unsecured credit facility with us under an affiliate of Allseas agreed to lend us up to $25 million through August 31, 2025.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or otherwise perform its obligations under its current and future arrangements with us as expected, as a result of its limited experience in the collection and transportation of seafloor polymetallic nodules or otherwise, the result of any of which would have a material adverse effect on our business, financial condition, liquidity, and results of operations. As a result, we may need to engage and depend on other third parties for the services and funding Allseas currently and is expected to provide us. If these new relationships are not timely entered into or not entered into on commercially reasonable terms, or at all, or if any such relationship is not successful, this would likely have a material adverse effect on our business, financial condition, liquidity, and results of operations.</w:t>
      </w:r>
    </w:p>
    <w:p>
      <w:pPr>
        <w:spacing w:after="0" w:line="17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polymetallic nodules that we may recover may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5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there are presently unknown technical aspects that render the selected flowsheet unsuitable for processing to the products as described.</w:t>
      </w:r>
    </w:p>
    <w:p>
      <w:pPr>
        <w:spacing w:after="0" w:line="160"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While the metallurgical recovery estimates have been derived from commercial operation benchmarking, benchscale and pilot scale testwork, the commercial metal recoveries to products could vary significantly from these estimates.</w:t>
      </w:r>
    </w:p>
    <w:p>
      <w:pPr>
        <w:spacing w:after="0" w:line="13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is currently uncertain.</w:t>
      </w:r>
    </w:p>
    <w:p>
      <w:pPr>
        <w:spacing w:after="0" w:line="370"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have identified potential tolling facilities to process nodules into two products, manganese silicate and copper-nickel-cobalt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98">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91pt"/>
            </w:pict>
          </mc:Fallback>
        </mc:AlternateContent>
      </w:r>
    </w:p>
    <w:p>
      <w:pPr>
        <w:sectPr>
          <w:pgSz w:w="12240" w:h="15840" w:orient="portrait"/>
          <w:cols w:equalWidth="0" w:num="1">
            <w:col w:w="9600"/>
          </w:cols>
          <w:pgMar w:left="1320" w:top="1328" w:right="1320" w:bottom="1440" w:gutter="0" w:footer="0" w:header="0"/>
        </w:sectPr>
      </w:pPr>
    </w:p>
    <w:bookmarkStart w:id="65" w:name="page66"/>
    <w:bookmarkEnd w:id="65"/>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42" o:spid="_x0000_s13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3" o:spid="_x0000_s13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5" o:spid="_x0000_s13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While we believe that we have identified specific sites for the potential construction of nodule processing plants (based on factors such as proximity to deep-water ports, cost access to renewable electric power and natural gas, and proximity to customers), there is a risk that we will be unable to secure one or more of these sites on suitable terms. For example, having faced significant issues in securing technical service provider capacity with scenario-based capability in 2022, we moved away from developing a new Project Zero Plant in India and instead are now reviewing the feasibility of utilizing existing facilities as an alternative. In the event that we are unable to secure one or more of the sites we have identified, or if modification scope identification, development and associated construction delays of this scope implementation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2"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36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exploration and polymetallic nodule collecting activities may be affected by natural hazards, which could have a material adverse effect on our business.</w:t>
      </w:r>
    </w:p>
    <w:p>
      <w:pPr>
        <w:spacing w:after="0" w:line="137"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including, without limitation, the transfer of nodules to transport vessels and delivery to port, may be subject to interruptions resulting from weather and related marine conditions that adversely affect our collection operations or the ports of delivery, and any such delays could have a material adverse effect on our business.</w:t>
      </w:r>
    </w:p>
    <w:p>
      <w:pPr>
        <w:spacing w:after="0" w:line="3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Fluctuations in transportation costs or disruptions in transportation, processes or services, or damage or loss during transport could decrease our profitability or impair our ability to supply polymetallic nodules, processed minerals or products to our customers, which could adversely affect our results of operations.</w:t>
      </w:r>
    </w:p>
    <w:p>
      <w:pPr>
        <w:spacing w:after="0" w:line="15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Once our subsidiaries have been able to successfully collect the polymetallic nodules, they will be required to transport them to onshore facilities for processing, including the transfer of nodules to transport vessels and delivery to port.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availability of appropriate equipment or processes for transfer of nodules to transport vessels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46" o:spid="_x0000_s13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66" w:name="page67"/>
    <w:bookmarkEnd w:id="66"/>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48" o:spid="_x0000_s13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49" o:spid="_x0000_s13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3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have limited operating history, and there can be no assurance that we will be able to commercially develop our resource areas or achieve profitability in the future.</w:t>
      </w:r>
    </w:p>
    <w:p>
      <w:pPr>
        <w:spacing w:after="0" w:line="13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anticipates that its first production of nodules from NORI Area D could be in the first quarter of 2026 (assuming submission of an application for an exploitation contract, that includes a plan of work for exploitation, for NORI Area D following the July 2024 ISA meeting and the ISA’s timely one-year review and approval thereof), there can be no assurance that it will be able to commercially develop these properties or that it will be able to generate profits in the future.</w:t>
      </w:r>
    </w:p>
    <w:p>
      <w:pPr>
        <w:spacing w:after="0" w:line="17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Limited offshore marine resource definition activities in the Marawa Contract Area, however, have occurred to date and we expect to collaborate with Marawa to assess the viability of any potential project in the Marawa Contract Area, although the timing of such assessment is unclear. Marawa has also delayed certain of its efforts in the Marawa Contract Area while it determines how it will move forward with additional assessment work. There are no assurances that we will be able to come to an agreement with Marawa on the future development of the Marawa Contract Area or that we will be able to keep our rights in the Marawa Contract Area as a result of our efforts there, either of which could have a material and adverse effect on our future business prospects and financial condition.</w:t>
      </w:r>
    </w:p>
    <w:p>
      <w:pPr>
        <w:spacing w:after="0" w:line="16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Work stoppages or similar difficulties could significantly disrupt our operations, reduce our revenues and materially adversely affect our results of operations.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98">
                          <a:solidFill>
                            <a:srgbClr val="000000"/>
                          </a:solidFill>
                          <a:miter lim="800000"/>
                          <a:headEnd/>
                          <a:tailEnd/>
                        </a:ln>
                      </wps:spPr>
                      <wps:bodyPr/>
                    </wps:wsp>
                  </a:graphicData>
                </a:graphic>
              </wp:anchor>
            </w:drawing>
          </mc:Choice>
          <mc:Fallback>
            <w:pict>
              <v:line id="Shape 351" o:spid="_x0000_s13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91pt"/>
            </w:pict>
          </mc:Fallback>
        </mc:AlternateContent>
      </w:r>
    </w:p>
    <w:p>
      <w:pPr>
        <w:sectPr>
          <w:pgSz w:w="12240" w:h="15840" w:orient="portrait"/>
          <w:cols w:equalWidth="0" w:num="1">
            <w:col w:w="9600"/>
          </w:cols>
          <w:pgMar w:left="1320" w:top="1328" w:right="1320" w:bottom="1440" w:gutter="0" w:footer="0" w:header="0"/>
        </w:sectPr>
      </w:pPr>
    </w:p>
    <w:bookmarkStart w:id="67" w:name="page68"/>
    <w:bookmarkEnd w:id="67"/>
    <w:p>
      <w:pPr>
        <w:jc w:val="both"/>
        <w:ind w:left="6"/>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2" o:spid="_x0000_s13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4" o:spid="_x0000_s13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5" o:spid="_x0000_s13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 shortage of skilled technicians and engineers may further increase operating costs, which could materially adversely affect our results of operations.</w:t>
      </w:r>
    </w:p>
    <w:p>
      <w:pPr>
        <w:spacing w:after="0" w:line="137" w:lineRule="exact"/>
        <w:rPr>
          <w:sz w:val="20"/>
          <w:szCs w:val="20"/>
          <w:color w:val="auto"/>
        </w:rPr>
      </w:pPr>
    </w:p>
    <w:p>
      <w:pPr>
        <w:jc w:val="both"/>
        <w:ind w:left="6" w:firstLine="311"/>
        <w:spacing w:after="0" w:line="265" w:lineRule="auto"/>
        <w:rPr>
          <w:sz w:val="20"/>
          <w:szCs w:val="20"/>
          <w:color w:val="auto"/>
        </w:rPr>
      </w:pPr>
      <w:r>
        <w:rPr>
          <w:rFonts w:ascii="Times New Roman" w:cs="Times New Roman" w:eastAsia="Times New Roman" w:hAnsi="Times New Roman"/>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6" w:lineRule="exact"/>
        <w:rPr>
          <w:sz w:val="20"/>
          <w:szCs w:val="20"/>
          <w:color w:val="auto"/>
        </w:rPr>
      </w:pPr>
    </w:p>
    <w:p>
      <w:pPr>
        <w:jc w:val="both"/>
        <w:ind w:left="6" w:firstLine="1"/>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37" w:lineRule="exact"/>
        <w:rPr>
          <w:sz w:val="20"/>
          <w:szCs w:val="20"/>
          <w:color w:val="auto"/>
        </w:rPr>
      </w:pPr>
    </w:p>
    <w:p>
      <w:pPr>
        <w:jc w:val="both"/>
        <w:ind w:left="6" w:firstLine="311"/>
        <w:spacing w:after="0" w:line="267" w:lineRule="auto"/>
        <w:rPr>
          <w:sz w:val="20"/>
          <w:szCs w:val="20"/>
          <w:color w:val="auto"/>
        </w:rPr>
      </w:pPr>
      <w:r>
        <w:rPr>
          <w:rFonts w:ascii="Times New Roman" w:cs="Times New Roman" w:eastAsia="Times New Roman" w:hAnsi="Times New Roman"/>
          <w:sz w:val="17"/>
          <w:szCs w:val="17"/>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376" w:lineRule="exact"/>
        <w:rPr>
          <w:sz w:val="20"/>
          <w:szCs w:val="20"/>
          <w:color w:val="auto"/>
        </w:rPr>
      </w:pPr>
    </w:p>
    <w:p>
      <w:pPr>
        <w:ind w:left="6" w:right="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growth will depend on our ability to execute on our plans and expand our operations and controls while maintaining effective cost controls.</w:t>
      </w:r>
    </w:p>
    <w:p>
      <w:pPr>
        <w:spacing w:after="0" w:line="137" w:lineRule="exact"/>
        <w:rPr>
          <w:sz w:val="20"/>
          <w:szCs w:val="20"/>
          <w:color w:val="auto"/>
        </w:rPr>
      </w:pPr>
    </w:p>
    <w:p>
      <w:pPr>
        <w:jc w:val="both"/>
        <w:ind w:left="6" w:firstLine="312"/>
        <w:spacing w:after="0" w:line="262" w:lineRule="auto"/>
        <w:rPr>
          <w:sz w:val="20"/>
          <w:szCs w:val="20"/>
          <w:color w:val="auto"/>
        </w:rPr>
      </w:pPr>
      <w:r>
        <w:rPr>
          <w:rFonts w:ascii="Times New Roman" w:cs="Times New Roman" w:eastAsia="Times New Roman" w:hAnsi="Times New Roman"/>
          <w:sz w:val="17"/>
          <w:szCs w:val="17"/>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upon information technology systems, which are subject to cyber threats, disruption, damage and failure.</w:t>
      </w:r>
    </w:p>
    <w:p>
      <w:pPr>
        <w:spacing w:after="0" w:line="218" w:lineRule="exact"/>
        <w:rPr>
          <w:sz w:val="20"/>
          <w:szCs w:val="20"/>
          <w:color w:val="auto"/>
        </w:rPr>
      </w:pPr>
    </w:p>
    <w:p>
      <w:pPr>
        <w:jc w:val="both"/>
        <w:ind w:left="6" w:firstLine="311"/>
        <w:spacing w:after="0" w:line="259" w:lineRule="auto"/>
        <w:rPr>
          <w:sz w:val="20"/>
          <w:szCs w:val="20"/>
          <w:color w:val="auto"/>
        </w:rPr>
      </w:pPr>
      <w:r>
        <w:rPr>
          <w:rFonts w:ascii="Times New Roman" w:cs="Times New Roman" w:eastAsia="Times New Roman" w:hAnsi="Times New Roman"/>
          <w:sz w:val="17"/>
          <w:szCs w:val="17"/>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7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a variety of risks, some of which may not be covered by our future or existing insurance policies.</w:t>
      </w:r>
    </w:p>
    <w:p>
      <w:pPr>
        <w:spacing w:after="0" w:line="218" w:lineRule="exact"/>
        <w:rPr>
          <w:sz w:val="20"/>
          <w:szCs w:val="20"/>
          <w:color w:val="auto"/>
        </w:rPr>
      </w:pPr>
    </w:p>
    <w:p>
      <w:pPr>
        <w:jc w:val="both"/>
        <w:ind w:left="6" w:firstLine="312"/>
        <w:spacing w:after="0" w:line="254" w:lineRule="auto"/>
        <w:rPr>
          <w:sz w:val="20"/>
          <w:szCs w:val="20"/>
          <w:color w:val="auto"/>
        </w:rPr>
      </w:pPr>
      <w:r>
        <w:rPr>
          <w:rFonts w:ascii="Times New Roman" w:cs="Times New Roman" w:eastAsia="Times New Roman" w:hAnsi="Times New Roman"/>
          <w:sz w:val="17"/>
          <w:szCs w:val="17"/>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w:t>
      </w:r>
    </w:p>
    <w:p>
      <w:pPr>
        <w:spacing w:after="0" w:line="1" w:lineRule="exact"/>
        <w:rPr>
          <w:sz w:val="20"/>
          <w:szCs w:val="20"/>
          <w:color w:val="auto"/>
        </w:rPr>
      </w:pPr>
    </w:p>
    <w:p>
      <w:pPr>
        <w:jc w:val="both"/>
        <w:ind w:left="6" w:hanging="6"/>
        <w:spacing w:after="0" w:line="265" w:lineRule="auto"/>
        <w:tabs>
          <w:tab w:leader="none" w:pos="35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ectPr>
          <w:pgSz w:w="12240" w:h="15840" w:orient="portrait"/>
          <w:cols w:equalWidth="0" w:num="1">
            <w:col w:w="9606"/>
          </w:cols>
          <w:pgMar w:left="1314" w:top="1328" w:right="1320" w:bottom="1440" w:gutter="0" w:footer="0" w:header="0"/>
        </w:sectPr>
      </w:pPr>
    </w:p>
    <w:p>
      <w:pPr>
        <w:spacing w:after="0" w:line="37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367030</wp:posOffset>
                </wp:positionV>
                <wp:extent cx="6109970"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9pt" to="480.85pt,28.9pt" o:allowincell="f" strokecolor="#000000" strokeweight="1.2956pt"/>
            </w:pict>
          </mc:Fallback>
        </mc:AlternateContent>
      </w:r>
    </w:p>
    <w:p>
      <w:pPr>
        <w:sectPr>
          <w:pgSz w:w="12240" w:h="15840" w:orient="portrait"/>
          <w:cols w:equalWidth="0" w:num="1">
            <w:col w:w="9606"/>
          </w:cols>
          <w:pgMar w:left="1314" w:top="1328" w:right="1320" w:bottom="1440" w:gutter="0" w:footer="0" w:header="0"/>
          <w:type w:val="continuous"/>
        </w:sectPr>
      </w:pPr>
    </w:p>
    <w:bookmarkStart w:id="68" w:name="page69"/>
    <w:bookmarkEnd w:id="68"/>
    <w:p>
      <w:pPr>
        <w:ind w:left="620" w:hanging="315"/>
        <w:spacing w:after="0"/>
        <w:tabs>
          <w:tab w:leader="none" w:pos="6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Intellectual Property Risks.</w:t>
      </w:r>
    </w:p>
    <w:p>
      <w:pPr>
        <w:spacing w:after="0" w:line="2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37"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6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7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3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61" name="Shape 3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361" o:spid="_x0000_s13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4" w:right="1320" w:bottom="1440" w:gutter="0" w:footer="0" w:header="0"/>
        </w:sectPr>
      </w:pPr>
    </w:p>
    <w:bookmarkStart w:id="69" w:name="page70"/>
    <w:bookmarkEnd w:id="69"/>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63" name="Shape 3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3" o:spid="_x0000_s13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64" name="Shape 3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4" o:spid="_x0000_s13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61" w:lineRule="exact"/>
        <w:rPr>
          <w:sz w:val="20"/>
          <w:szCs w:val="20"/>
          <w:color w:val="auto"/>
        </w:rPr>
      </w:pPr>
    </w:p>
    <w:p>
      <w:pPr>
        <w:ind w:left="640" w:hanging="309"/>
        <w:spacing w:after="0" w:line="298" w:lineRule="auto"/>
        <w:tabs>
          <w:tab w:leader="none" w:pos="639"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7"/>
          <w:szCs w:val="17"/>
          <w:color w:val="auto"/>
        </w:rPr>
        <w:t>be prohibited from, or delayed in, selling or licensing some of our products or using some of our processes unless the patent holder licenses the patent to us, which it is not required to do;</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7"/>
          <w:szCs w:val="17"/>
          <w:color w:val="auto"/>
        </w:rPr>
        <w:t>be required to pay substantial royalties or grant a cross license to our patents to another patent holder; or</w:t>
      </w:r>
    </w:p>
    <w:p>
      <w:pPr>
        <w:spacing w:after="0" w:line="218" w:lineRule="exact"/>
        <w:rPr>
          <w:rFonts w:ascii="Arial" w:cs="Arial" w:eastAsia="Arial" w:hAnsi="Arial"/>
          <w:sz w:val="17"/>
          <w:szCs w:val="17"/>
          <w:color w:val="auto"/>
        </w:rPr>
      </w:pPr>
    </w:p>
    <w:p>
      <w:pPr>
        <w:ind w:left="640" w:hanging="309"/>
        <w:spacing w:after="0" w:line="298" w:lineRule="auto"/>
        <w:tabs>
          <w:tab w:leader="none" w:pos="641"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7"/>
          <w:szCs w:val="17"/>
          <w:color w:val="auto"/>
        </w:rPr>
        <w:t>be required to redesign a product or process so it does not infringe a third-party’s patent, which may not be possible or could require substantial funds and time.</w:t>
      </w:r>
    </w:p>
    <w:p>
      <w:pPr>
        <w:spacing w:after="0" w:line="136"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 addition, we could be subject to claims that our employees, or we, have inadvertently or otherwise used or disclosed trade secrets or other proprietary information of third parties.</w:t>
      </w:r>
    </w:p>
    <w:p>
      <w:pPr>
        <w:spacing w:after="0" w:line="13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52" w:lineRule="exact"/>
        <w:rPr>
          <w:sz w:val="20"/>
          <w:szCs w:val="20"/>
          <w:color w:val="auto"/>
        </w:rPr>
      </w:pPr>
    </w:p>
    <w:p>
      <w:pPr>
        <w:ind w:left="300"/>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VI.</w:t>
        <w:tab/>
        <w:t>Public Company Risks and Risks Related to our Securities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156"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 plan of work for exploitation for NORI Area D, and by negotiating the settlement of program expenditures with our equity whenever possible in order to preserve our cash. The continuing exploration and development of the NORI, TOML and Marawa contract areas, however, will depend upon our ability to obtain dilutive and/or non-dilutive financing through stake sales in our assets, offtakes with prepayments, debt financing, equity financing, joint ventures, project-based or asset-based financing or other means. The actual amount of capital needed or that we raise for our projects, however,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which could negatively impact our operating plans, financial results and ability to continue as a going concern. We will not initially have any producing properties and will have no source of significant operating cash flow until the end of the first half of 2026 at the earliest.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17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ectPr>
          <w:pgSz w:w="12240" w:h="15840" w:orient="portrait"/>
          <w:cols w:equalWidth="0" w:num="1">
            <w:col w:w="9600"/>
          </w:cols>
          <w:pgMar w:left="1320" w:top="1327" w:right="132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366" name="Shape 3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66" o:spid="_x0000_s13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70" w:name="page71"/>
    <w:bookmarkEnd w:id="70"/>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67" name="Shape 3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7" o:spid="_x0000_s13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69" name="Shape 3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69" o:spid="_x0000_s13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70" name="Shape 3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0" o:spid="_x0000_s13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Furthermore, the impact of geopolitical tension, such as a deterioration in the bilateral relationship between the U.S. and China or an escalation in conflict between Russia and Ukraine, or the ongoing conflict in Israel and Gaza, including any resulting sanctions, export controls or other restrictive actions, could also lead to disruption, instability and volatility in the global markets, which may have an impact on our ability to obtain additional funding.</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56"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As at December 31, 2023, we had 306,558,710 Common Shares, 15,074,240 Short-Term Incentive Plan (“STIP”) options, 9,783,922 Long-Term Incentive Plan (“LTIP”) options and 24,500,000 warrants to acquire Common Shares issued and outstanding, which does not include the 4,500,000 Common Shares and 2,250,000 Class A warrants issuable in the private placement financing we announced in August 2023.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56,634,518 Common Shares are reserved for issuance under the TMC Incentive Equity Plan, including 12,262,348 shares added to the plan in January 2024 pursuant to the plan’s evergreen provision, and 10,988,032 Common Shares are reserved for issuance under our 2021 Employee Stock Purchase Plan, in each case (the “ESPP”), including 3,065,587 shares added to the plan in January 2024, pursuant to the plan’s evergreen provision,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August 2023 registered direct financing, upon exercise of warrants, upon conversion of the Special Shares or under the TMC Incentive Equity Plan, the ESPP or other equity incentive plans that we may adopt in the future, would dilute the percentage ownership held by you.</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Our issuance of additional Common Shares or other equity securities of equal or senior rank would have the following effects:</w:t>
      </w:r>
    </w:p>
    <w:p>
      <w:pPr>
        <w:spacing w:after="0" w:line="219" w:lineRule="exact"/>
        <w:rPr>
          <w:sz w:val="20"/>
          <w:szCs w:val="20"/>
          <w:color w:val="auto"/>
        </w:rPr>
      </w:pPr>
    </w:p>
    <w:p>
      <w:pPr>
        <w:ind w:left="640" w:hanging="309"/>
        <w:spacing w:after="0"/>
        <w:tabs>
          <w:tab w:leader="none" w:pos="64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7"/>
          <w:szCs w:val="17"/>
          <w:color w:val="auto"/>
        </w:rPr>
        <w:t>our existing shareholders’ proportionate ownership interest in the Company will decrease;</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7"/>
          <w:szCs w:val="17"/>
          <w:color w:val="auto"/>
        </w:rPr>
        <w:t>the amount of cash available per share, including for payment of dividends in the future, may decrease;</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7"/>
          <w:szCs w:val="17"/>
          <w:color w:val="auto"/>
        </w:rPr>
        <w:t>the relative voting strength of each previously outstanding common share may be diminished;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30"/>
        </w:numPr>
        <w:rPr>
          <w:rFonts w:ascii="Arial" w:cs="Arial" w:eastAsia="Arial" w:hAnsi="Arial"/>
          <w:sz w:val="17"/>
          <w:szCs w:val="17"/>
          <w:color w:val="auto"/>
        </w:rPr>
      </w:pPr>
      <w:r>
        <w:rPr>
          <w:rFonts w:ascii="Times New Roman" w:cs="Times New Roman" w:eastAsia="Times New Roman" w:hAnsi="Times New Roman"/>
          <w:sz w:val="17"/>
          <w:szCs w:val="17"/>
          <w:color w:val="auto"/>
        </w:rPr>
        <w:t>the market price of our Common Shares may decline.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addition, the contractual lock-up agreements on certain of our securities entered into in connection with the Business Combination have all expired. As a result, all of our public shares are freely transferable. Sales of substantial amounts of our common shares in the public market, or the perception that such sales will occur, could adversely affect the market price of our Common Shares.</w:t>
      </w:r>
    </w:p>
    <w:p>
      <w:pPr>
        <w:spacing w:after="0" w:line="156" w:lineRule="exact"/>
        <w:rPr>
          <w:sz w:val="20"/>
          <w:szCs w:val="20"/>
          <w:color w:val="auto"/>
        </w:rPr>
      </w:pPr>
    </w:p>
    <w:p>
      <w:pPr>
        <w:jc w:val="both"/>
        <w:ind w:right="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our outstanding warrants are exercised, the number of shares eligible for future resale in the public market will increase and result in dilution to our shareholders. You will likely experience further dilution if we issue common shares in future financing transactions.</w:t>
      </w:r>
    </w:p>
    <w:p>
      <w:pPr>
        <w:spacing w:after="0" w:line="137"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We have 15,000,000 outstanding Public Warrants to purchase 15,000,000 Common Shares and 9,500,000 Private Warrants outstanding exercisable for 9,500,000 shares of our Common Shares at an exercise price of $11.50 per share, which warrants became exercisable beginning on October 9, 2021. In addition, there are 3,980,770 Class A Warrants outstanding to purchase 3,980,770 Common Shares at an exercise price of $3.00 per share, that were issued as part of the August 2023 registered direct offering. In certain circumstances, the Public Warrants, Private Warrants and Class A Warrants may be exercised on a cashless basis and the proceeds from the exercise of such warrants will decrease.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ectPr>
          <w:pgSz w:w="12240" w:h="15840" w:orient="portrait"/>
          <w:cols w:equalWidth="0" w:num="1">
            <w:col w:w="9600"/>
          </w:cols>
          <w:pgMar w:left="1320" w:top="1327" w:right="132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71" w:name="page72"/>
    <w:bookmarkEnd w:id="71"/>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2" name="Shape 3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2" o:spid="_x0000_s13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73" name="Shape 3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3" o:spid="_x0000_s13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75" name="Shape 3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5" o:spid="_x0000_s14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There can be no assurance that the Public Warrants, Private Warrants and Class A Warrants will be in the money, and they may expire worthless.</w:t>
      </w:r>
    </w:p>
    <w:p>
      <w:pPr>
        <w:spacing w:after="0" w:line="13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through March 11, 2024, the price of our Common Shares has ranged from a high of $10.38 to a low of $0.55 and as of March 15, 2024, the closing price of our Common Shares was $1.67. Based on the current trading price of our common shares we do not expect to receive any proceeds from exercise of the Public Warrants and Private Warrants unless there is a significant increase in the price of our Common Shares.</w:t>
      </w:r>
    </w:p>
    <w:p>
      <w:pPr>
        <w:spacing w:after="0" w:line="166"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There are currently outstanding an aggregate of 28,480,770 warrants to acquire our Common Shares, which comprise 9,500,000 Private Warrants initially issued in connection with SOAC’s initial public offering, which were transferred to permitted transferees of the initial holders thereof, 15,000,000 Public Warrants and 3,980,770 Class A Warrants. All of our warrants are currently exercisable for one common share in accordance with their terms. Therefore, as of December 31, 2023, if we assume that each outstanding whole warrant is exercised and one common share is issued as a result of such exercise, with payment of the exercise price ranging from $3.00 to $11.50 per share, our fully-diluted share capital would increase by a total of 28,480,770 shares, with approximately $293.7 million paid to us to exercise the warrants.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16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37" w:lineRule="exact"/>
        <w:rPr>
          <w:sz w:val="20"/>
          <w:szCs w:val="20"/>
          <w:color w:val="auto"/>
        </w:rPr>
      </w:pPr>
    </w:p>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76" name="Shape 3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76" o:spid="_x0000_s14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72" w:name="page73"/>
    <w:bookmarkEnd w:id="72"/>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78" name="Shape 3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78" o:spid="_x0000_s14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79" name="Shape 3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79" o:spid="_x0000_s14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69" w:lineRule="exact"/>
        <w:rPr>
          <w:sz w:val="20"/>
          <w:szCs w:val="20"/>
          <w:color w:val="auto"/>
        </w:rPr>
      </w:pPr>
    </w:p>
    <w:p>
      <w:pPr>
        <w:jc w:val="both"/>
        <w:ind w:firstLine="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62"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38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7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81" name="Shape 3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381" o:spid="_x0000_s14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73" w:name="page74"/>
    <w:bookmarkEnd w:id="73"/>
    <w:p>
      <w:pPr>
        <w:ind w:right="2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82" name="Shape 3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2" o:spid="_x0000_s14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We may incur debt in the future, and our ability to satisfy our obligations thereunder remains subject to a variety of factors, many of which are not within our control.</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may seek to incur debt in the future to fund our exploration and operational programs, which would reduce our financial flexibility and could have a material adverse effect on our business, financial condition or results of operation.</w:t>
      </w:r>
    </w:p>
    <w:p>
      <w:pPr>
        <w:spacing w:after="0" w:line="137"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Should we incur debt, including through the drawdown of our credit facility with Allseas and/or our credit facility with ERAS Capital LLC and Gerard Barron,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74"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360"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Shares and warrants may not be sustained, which would adversely affect the liquidity and price of our securities.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be able to comply with the continued listing standards of Nasdaq.</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55" w:lineRule="exact"/>
        <w:rPr>
          <w:sz w:val="20"/>
          <w:szCs w:val="20"/>
          <w:color w:val="auto"/>
        </w:rPr>
      </w:pPr>
    </w:p>
    <w:p>
      <w:pPr>
        <w:ind w:left="640" w:hanging="309"/>
        <w:spacing w:after="0"/>
        <w:tabs>
          <w:tab w:leader="none" w:pos="64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a limited availability of market quotations for our securities;</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reduced liquidity for our securities;</w:t>
      </w:r>
    </w:p>
    <w:p>
      <w:pPr>
        <w:spacing w:after="0" w:line="218" w:lineRule="exact"/>
        <w:rPr>
          <w:rFonts w:ascii="Arial" w:cs="Arial" w:eastAsia="Arial" w:hAnsi="Arial"/>
          <w:sz w:val="17"/>
          <w:szCs w:val="17"/>
          <w:color w:val="auto"/>
        </w:rPr>
      </w:pPr>
    </w:p>
    <w:p>
      <w:pPr>
        <w:jc w:val="both"/>
        <w:ind w:left="640" w:hanging="309"/>
        <w:spacing w:after="0" w:line="298" w:lineRule="auto"/>
        <w:tabs>
          <w:tab w:leader="none" w:pos="64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a limited amount of news and analyst coverage;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31"/>
        </w:numPr>
        <w:rPr>
          <w:rFonts w:ascii="Arial" w:cs="Arial" w:eastAsia="Arial" w:hAnsi="Arial"/>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74" w:name="page75"/>
    <w:bookmarkEnd w:id="74"/>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closing bid price of our Common Shares has been below the Nasdaq’s minimum $1.00 per share for extended periods of time in 2022 and into 2023. As a result, we received written notices from the Nasdaq in 2022 and 2023 notifying us that the closing bid price of the Common Shares over 30 consecutive trading days had fallen below the minimum $1.00 per share. Although we regained compliance with the Nasdaq’s minimum closing bid price,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7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implement and maintain effective internal controls over financial reporting, investors may lose confidence in the accuracy and completeness of our financial reports and we may face litigation.</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a public company, we are required to implement and maintain internal controls over financial reporting and to report any material weaknesses in such internal controls. There is no guarantee we will maintain effective internal controls in the future.</w:t>
      </w:r>
    </w:p>
    <w:p>
      <w:pPr>
        <w:spacing w:after="0" w:line="13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If during the evaluation and testing process, we identify one or more material weaknesses in the design or effectiveness of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valuation of our common stock could be adversely affected.</w:t>
      </w:r>
    </w:p>
    <w:p>
      <w:pPr>
        <w:spacing w:after="0" w:line="379" w:lineRule="exact"/>
        <w:rPr>
          <w:sz w:val="20"/>
          <w:szCs w:val="20"/>
          <w:color w:val="auto"/>
        </w:rPr>
      </w:pPr>
    </w:p>
    <w:p>
      <w:pPr>
        <w:jc w:val="both"/>
        <w:ind w:firstLine="313"/>
        <w:spacing w:after="0" w:line="261" w:lineRule="auto"/>
        <w:rPr>
          <w:sz w:val="20"/>
          <w:szCs w:val="20"/>
          <w:color w:val="auto"/>
        </w:rPr>
      </w:pPr>
      <w:r>
        <w:rPr>
          <w:rFonts w:ascii="Times New Roman" w:cs="Times New Roman" w:eastAsia="Times New Roman" w:hAnsi="Times New Roman"/>
          <w:sz w:val="17"/>
          <w:szCs w:val="17"/>
          <w:color w:val="auto"/>
        </w:rPr>
        <w:t>As a result of the material weaknesses and the associated restatements to our previously issued financial statements for the three months ended March 31, 2023, the six months ended June 30, 2023 and the nine months ended September 30, 2023 contained in its Quarterly Reports on Form 10-Q for the quarter ended March 31, 2023, June 30, 2023 and September 30, 2023, respectively, filed with the SEC and other matters that may be raised by the SEC, we may be subject to potential litigation or other disputes which may include, among others, claims invoking the federal and state securities laws, contractual claims or other claims arising from these matters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market price of our securities may be volatile, which could cause the value of your investment to decline.</w:t>
      </w:r>
    </w:p>
    <w:p>
      <w:pPr>
        <w:spacing w:after="0" w:line="21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regional conflicts, geopolitical events and natural disasters),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redeem unexpired warrants prior to their exercise at a time that is disadvantageous, thereby making the warrants worthless.</w:t>
      </w:r>
    </w:p>
    <w:p>
      <w:pPr>
        <w:spacing w:after="0" w:line="218"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We have the ability to redeem outstanding Public Warrants and Private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Our Class A Warrants have a similar call provision if the price of our Common Shares is over $6.50 per share (subject to adjustments) for 30 consecutive trading days at a price per warrant share of $0.0001.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7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76" w:name="page77"/>
    <w:bookmarkEnd w:id="76"/>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As we are not a reporting issuer in Canada, our Common Shares and Special Shares may be subject to restrictions on resale in Canada.</w:t>
      </w:r>
    </w:p>
    <w:p>
      <w:pPr>
        <w:spacing w:after="0" w:line="200" w:lineRule="exact"/>
        <w:rPr>
          <w:sz w:val="20"/>
          <w:szCs w:val="20"/>
          <w:color w:val="auto"/>
        </w:rPr>
      </w:pPr>
    </w:p>
    <w:p>
      <w:pPr>
        <w:spacing w:after="0" w:line="20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in our international operations, which could adversely affect our business.</w:t>
      </w:r>
    </w:p>
    <w:p>
      <w:pPr>
        <w:spacing w:after="0" w:line="21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classified as a PFIC in any taxable year which could result in adverse U.S. federal income tax consequences to 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218" w:lineRule="exact"/>
        <w:rPr>
          <w:sz w:val="20"/>
          <w:szCs w:val="20"/>
          <w:color w:val="auto"/>
        </w:rPr>
      </w:pPr>
    </w:p>
    <w:p>
      <w:pPr>
        <w:jc w:val="both"/>
        <w:ind w:firstLine="312"/>
        <w:spacing w:after="0" w:line="254" w:lineRule="auto"/>
        <w:rPr>
          <w:sz w:val="20"/>
          <w:szCs w:val="20"/>
          <w:color w:val="auto"/>
        </w:rPr>
      </w:pPr>
      <w:r>
        <w:rPr>
          <w:rFonts w:ascii="Times New Roman" w:cs="Times New Roman" w:eastAsia="Times New Roman" w:hAnsi="Times New Roman"/>
          <w:sz w:val="17"/>
          <w:szCs w:val="17"/>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2023.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7"/>
          <w:szCs w:val="17"/>
          <w:i w:val="1"/>
          <w:iCs w:val="1"/>
          <w:color w:val="auto"/>
        </w:rPr>
        <w:t>U.S. Federal Income Tax Considerations — Tax Consequences of Ownership and Disposition of Public Shares and Public Warrants</w:t>
      </w:r>
    </w:p>
    <w:p>
      <w:pPr>
        <w:spacing w:after="0" w:line="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 Passive Foreign Investment Company Rules</w:t>
      </w:r>
      <w:r>
        <w:rPr>
          <w:rFonts w:ascii="Times New Roman" w:cs="Times New Roman" w:eastAsia="Times New Roman" w:hAnsi="Times New Roman"/>
          <w:sz w:val="17"/>
          <w:szCs w:val="17"/>
          <w:color w:val="auto"/>
        </w:rPr>
        <w:t>” included in our registration statement on Form S-1 filed with the SEC on October 7,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56" w:lineRule="exact"/>
        <w:rPr>
          <w:sz w:val="20"/>
          <w:szCs w:val="20"/>
          <w:color w:val="auto"/>
        </w:rPr>
      </w:pPr>
    </w:p>
    <w:p>
      <w:pPr>
        <w:jc w:val="both"/>
        <w:ind w:right="560" w:firstLine="1"/>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77" w:name="page78"/>
    <w:bookmarkEnd w:id="77"/>
    <w:p>
      <w:pPr>
        <w:jc w:val="both"/>
        <w:ind w:left="6" w:firstLine="311"/>
        <w:spacing w:after="0" w:line="29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For instance, our Notice of Articles and Articles contain provisions that establish certain advance notice procedures for nomination of candidates for election as directors at shareholders’ meetings.</w:t>
      </w:r>
    </w:p>
    <w:p>
      <w:pPr>
        <w:spacing w:after="0" w:line="137" w:lineRule="exact"/>
        <w:rPr>
          <w:sz w:val="20"/>
          <w:szCs w:val="20"/>
          <w:color w:val="auto"/>
        </w:rPr>
      </w:pPr>
    </w:p>
    <w:p>
      <w:pPr>
        <w:jc w:val="both"/>
        <w:ind w:left="6" w:firstLine="311"/>
        <w:spacing w:after="0" w:line="265"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65" w:lineRule="exact"/>
        <w:rPr>
          <w:sz w:val="20"/>
          <w:szCs w:val="20"/>
          <w:color w:val="auto"/>
        </w:rPr>
      </w:pPr>
    </w:p>
    <w:p>
      <w:pPr>
        <w:jc w:val="both"/>
        <w:ind w:left="6" w:firstLine="311"/>
        <w:spacing w:after="0" w:line="276" w:lineRule="auto"/>
        <w:rPr>
          <w:sz w:val="20"/>
          <w:szCs w:val="20"/>
          <w:color w:val="auto"/>
        </w:rPr>
      </w:pPr>
      <w:r>
        <w:rPr>
          <w:rFonts w:ascii="Times New Roman" w:cs="Times New Roman" w:eastAsia="Times New Roman" w:hAnsi="Times New Roman"/>
          <w:sz w:val="17"/>
          <w:szCs w:val="17"/>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156" w:lineRule="exact"/>
        <w:rPr>
          <w:sz w:val="20"/>
          <w:szCs w:val="20"/>
          <w:color w:val="auto"/>
        </w:rPr>
      </w:pPr>
    </w:p>
    <w:p>
      <w:pPr>
        <w:jc w:val="both"/>
        <w:ind w:left="6"/>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62" w:lineRule="exact"/>
        <w:rPr>
          <w:sz w:val="20"/>
          <w:szCs w:val="20"/>
          <w:color w:val="auto"/>
        </w:rPr>
      </w:pPr>
    </w:p>
    <w:p>
      <w:pPr>
        <w:jc w:val="both"/>
        <w:ind w:left="6" w:firstLine="311"/>
        <w:spacing w:after="0" w:line="254" w:lineRule="auto"/>
        <w:rPr>
          <w:sz w:val="20"/>
          <w:szCs w:val="20"/>
          <w:color w:val="auto"/>
        </w:rPr>
      </w:pPr>
      <w:r>
        <w:rPr>
          <w:rFonts w:ascii="Times New Roman" w:cs="Times New Roman" w:eastAsia="Times New Roman" w:hAnsi="Times New Roman"/>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w:t>
      </w:r>
    </w:p>
    <w:p>
      <w:pPr>
        <w:spacing w:after="0" w:line="2" w:lineRule="exact"/>
        <w:rPr>
          <w:sz w:val="20"/>
          <w:szCs w:val="20"/>
          <w:color w:val="auto"/>
        </w:rPr>
      </w:pPr>
    </w:p>
    <w:p>
      <w:pPr>
        <w:jc w:val="both"/>
        <w:ind w:left="6" w:hanging="6"/>
        <w:spacing w:after="0" w:line="263" w:lineRule="auto"/>
        <w:tabs>
          <w:tab w:leader="none" w:pos="33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67" w:lineRule="exact"/>
        <w:rPr>
          <w:sz w:val="20"/>
          <w:szCs w:val="20"/>
          <w:color w:val="auto"/>
        </w:rPr>
      </w:pPr>
    </w:p>
    <w:p>
      <w:pPr>
        <w:jc w:val="both"/>
        <w:ind w:left="6" w:firstLine="311"/>
        <w:spacing w:after="0" w:line="263"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66" w:lineRule="exact"/>
        <w:rPr>
          <w:sz w:val="20"/>
          <w:szCs w:val="20"/>
          <w:color w:val="auto"/>
        </w:rPr>
      </w:pPr>
    </w:p>
    <w:p>
      <w:pPr>
        <w:jc w:val="both"/>
        <w:ind w:left="6" w:firstLine="311"/>
        <w:spacing w:after="0" w:line="269"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61" w:lineRule="exact"/>
        <w:rPr>
          <w:sz w:val="20"/>
          <w:szCs w:val="20"/>
          <w:color w:val="auto"/>
        </w:rPr>
      </w:pPr>
    </w:p>
    <w:p>
      <w:pPr>
        <w:jc w:val="both"/>
        <w:ind w:left="6" w:firstLine="311"/>
        <w:spacing w:after="0" w:line="261"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38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327" w:right="1320" w:bottom="1440" w:gutter="0" w:footer="0" w:header="0"/>
        </w:sectPr>
      </w:pPr>
    </w:p>
    <w:bookmarkStart w:id="78" w:name="page79"/>
    <w:bookmarkEnd w:id="78"/>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Our Notice and Articles permit us to issue an unlimited number of Common Shares and preferred shares without seeking approval of the holders of our Common Shares.</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6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TMC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38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3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7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222"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recognize the critical importance of maintaining the trust and confidence of investors, business partners and employees toward our business and are committed to protecting the confidentiality, integrity and availability of our business operations and systems. Our board of directors is involved in oversight of our risk management activities, and cybersecurity represents an important element of our overall approach to risk management. Our cybersecurity policies, standards, processes and practices are based on recognized frameworks established by the National Institute of Standards and Technology (NIST) and the International Organization for Standardization (ISO).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 and Strategy; Effect of Risk</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w:t>
      </w:r>
    </w:p>
    <w:p>
      <w:pPr>
        <w:sectPr>
          <w:pgSz w:w="12240" w:h="15840" w:orient="portrait"/>
          <w:cols w:equalWidth="0" w:num="1">
            <w:col w:w="9600"/>
          </w:cols>
          <w:pgMar w:left="1320" w:top="1328" w:right="132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8" w:right="1320" w:bottom="1440" w:gutter="0" w:footer="0" w:header="0"/>
          <w:type w:val="continuous"/>
        </w:sectPr>
      </w:pPr>
    </w:p>
    <w:bookmarkStart w:id="79" w:name="page80"/>
    <w:bookmarkEnd w:id="79"/>
    <w:p>
      <w:pPr>
        <w:ind w:firstLine="311"/>
        <w:spacing w:after="0" w:line="29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To mitigate these risks, we have implemented technology solutions that are designed to recognize anomalous activity and behavior on systems used by TMC employees, alongside other technical safeguards including:</w:t>
      </w:r>
    </w:p>
    <w:p>
      <w:pPr>
        <w:spacing w:after="0" w:line="137" w:lineRule="exact"/>
        <w:rPr>
          <w:sz w:val="20"/>
          <w:szCs w:val="20"/>
          <w:color w:val="auto"/>
        </w:rPr>
      </w:pPr>
    </w:p>
    <w:p>
      <w:pPr>
        <w:ind w:left="640" w:hanging="310"/>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Web Application Firewalls (WAF)</w:t>
      </w:r>
    </w:p>
    <w:p>
      <w:pPr>
        <w:spacing w:after="0" w:line="11" w:lineRule="exact"/>
        <w:rPr>
          <w:rFonts w:ascii="Arial" w:cs="Arial" w:eastAsia="Arial" w:hAnsi="Arial"/>
          <w:sz w:val="17"/>
          <w:szCs w:val="17"/>
          <w:color w:val="auto"/>
        </w:rPr>
      </w:pPr>
    </w:p>
    <w:p>
      <w:pPr>
        <w:ind w:left="640" w:hanging="310"/>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Intrusion detection systems</w:t>
      </w:r>
    </w:p>
    <w:p>
      <w:pPr>
        <w:spacing w:after="0" w:line="11" w:lineRule="exact"/>
        <w:rPr>
          <w:rFonts w:ascii="Arial" w:cs="Arial" w:eastAsia="Arial" w:hAnsi="Arial"/>
          <w:sz w:val="17"/>
          <w:szCs w:val="17"/>
          <w:color w:val="auto"/>
        </w:rPr>
      </w:pPr>
    </w:p>
    <w:p>
      <w:pPr>
        <w:ind w:left="640" w:hanging="310"/>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Antivirus</w:t>
      </w:r>
    </w:p>
    <w:p>
      <w:pPr>
        <w:spacing w:after="0" w:line="11" w:lineRule="exact"/>
        <w:rPr>
          <w:rFonts w:ascii="Arial" w:cs="Arial" w:eastAsia="Arial" w:hAnsi="Arial"/>
          <w:sz w:val="17"/>
          <w:szCs w:val="17"/>
          <w:color w:val="auto"/>
        </w:rPr>
      </w:pPr>
    </w:p>
    <w:p>
      <w:pPr>
        <w:ind w:left="640" w:hanging="310"/>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Endpoint protection and response</w:t>
      </w:r>
    </w:p>
    <w:p>
      <w:pPr>
        <w:spacing w:after="0" w:line="11" w:lineRule="exact"/>
        <w:rPr>
          <w:rFonts w:ascii="Arial" w:cs="Arial" w:eastAsia="Arial" w:hAnsi="Arial"/>
          <w:sz w:val="17"/>
          <w:szCs w:val="17"/>
          <w:color w:val="auto"/>
        </w:rPr>
      </w:pPr>
    </w:p>
    <w:p>
      <w:pPr>
        <w:ind w:left="640" w:hanging="310"/>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Security Event and Incident Management (SIEM)</w:t>
      </w:r>
    </w:p>
    <w:p>
      <w:pPr>
        <w:spacing w:after="0" w:line="11" w:lineRule="exact"/>
        <w:rPr>
          <w:rFonts w:ascii="Arial" w:cs="Arial" w:eastAsia="Arial" w:hAnsi="Arial"/>
          <w:sz w:val="17"/>
          <w:szCs w:val="17"/>
          <w:color w:val="auto"/>
        </w:rPr>
      </w:pPr>
    </w:p>
    <w:p>
      <w:pPr>
        <w:ind w:left="640" w:hanging="310"/>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Identity and Access management (IAM)</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34"/>
        </w:numPr>
        <w:rPr>
          <w:rFonts w:ascii="Arial" w:cs="Arial" w:eastAsia="Arial" w:hAnsi="Arial"/>
          <w:sz w:val="17"/>
          <w:szCs w:val="17"/>
          <w:color w:val="auto"/>
        </w:rPr>
      </w:pPr>
      <w:r>
        <w:rPr>
          <w:rFonts w:ascii="Times New Roman" w:cs="Times New Roman" w:eastAsia="Times New Roman" w:hAnsi="Times New Roman"/>
          <w:sz w:val="17"/>
          <w:szCs w:val="17"/>
          <w:color w:val="auto"/>
        </w:rPr>
        <w:t>Multi-factor authentication</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utilize a third-party consultancy to provide services including security audits, CISO, risk management and response strategies. This consultancy provides the Chief Technology Officer, who is responsible for leading our cyber security strategy, guidance on policy, standards and processes alongside managing the risk management process.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identify our cybersecurity threat risks by comparing our processes to standards set by the NIST, and the ISO specifically basing our policies and procedures on ISO27001 guidelines.</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To provide for the availability of critical data and systems, maintain regulatory compliance, manage our material risks from cybersecurity threats, and protect against and respond to cybersecurity incidents, we undertake the following activities:</w:t>
      </w:r>
    </w:p>
    <w:p>
      <w:pPr>
        <w:spacing w:after="0" w:line="137" w:lineRule="exact"/>
        <w:rPr>
          <w:sz w:val="20"/>
          <w:szCs w:val="20"/>
          <w:color w:val="auto"/>
        </w:rPr>
      </w:pPr>
    </w:p>
    <w:p>
      <w:pPr>
        <w:ind w:left="640" w:hanging="309"/>
        <w:spacing w:after="0"/>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monitor emerging data protection laws and implement changes to our processes that are designed to comply with such laws;</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through our policies, practices and contracts (as applicable), require employees, as well as third parties that provide services on our behalf, to treat confidential information and data with care;</w:t>
      </w:r>
    </w:p>
    <w:p>
      <w:pPr>
        <w:spacing w:after="0" w:line="135" w:lineRule="exact"/>
        <w:rPr>
          <w:rFonts w:ascii="Arial" w:cs="Arial" w:eastAsia="Arial" w:hAnsi="Arial"/>
          <w:sz w:val="17"/>
          <w:szCs w:val="17"/>
          <w:color w:val="auto"/>
        </w:rPr>
      </w:pPr>
    </w:p>
    <w:p>
      <w:pPr>
        <w:jc w:val="both"/>
        <w:ind w:left="640" w:hanging="309"/>
        <w:spacing w:after="0" w:line="276" w:lineRule="auto"/>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54" w:lineRule="exact"/>
        <w:rPr>
          <w:rFonts w:ascii="Arial" w:cs="Arial" w:eastAsia="Arial" w:hAnsi="Arial"/>
          <w:sz w:val="17"/>
          <w:szCs w:val="17"/>
          <w:color w:val="auto"/>
        </w:rPr>
      </w:pPr>
    </w:p>
    <w:p>
      <w:pPr>
        <w:jc w:val="both"/>
        <w:ind w:left="640" w:hanging="309"/>
        <w:spacing w:after="0" w:line="276" w:lineRule="auto"/>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provide regular, mandatory training for our employees and contractors regarding cybersecurity threats as a means to equip them with effective tools to address cybersecurity threats, and to communicate our evolving information security policies, standards, processes and practices;</w:t>
      </w:r>
    </w:p>
    <w:p>
      <w:pPr>
        <w:spacing w:after="0" w:line="154"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conduct regular phishing email simulations for all employees and contractors with access to our email systems to enhance awareness and responsiveness to possible threats;</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dark web scanning to determine any leaked credentials both corporate and personal for key employees.</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leverage the NIST incident handling framework and our MSPs to help us identify, protect, detect, respond and recover when there is an actual or potential cybersecurity incident;</w:t>
      </w:r>
    </w:p>
    <w:p>
      <w:pPr>
        <w:spacing w:after="0" w:line="135"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5"/>
        </w:numPr>
        <w:rPr>
          <w:rFonts w:ascii="Arial" w:cs="Arial" w:eastAsia="Arial" w:hAnsi="Arial"/>
          <w:sz w:val="17"/>
          <w:szCs w:val="17"/>
          <w:color w:val="auto"/>
        </w:rPr>
      </w:pPr>
      <w:r>
        <w:rPr>
          <w:rFonts w:ascii="Times New Roman" w:cs="Times New Roman" w:eastAsia="Times New Roman" w:hAnsi="Times New Roman"/>
          <w:sz w:val="17"/>
          <w:szCs w:val="17"/>
          <w:color w:val="auto"/>
        </w:rPr>
        <w:t>carry information security risk insurance that provides protection against the potential losses arising from a cybersecurity incident; and</w:t>
      </w:r>
    </w:p>
    <w:p>
      <w:pPr>
        <w:spacing w:after="0" w:line="13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part of the above processes, we regularly engage with consultants, auditors and other third parties, including annually having a third-party review our cybersecurity program to help identify areas for continued focus, improvement and compliance.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80" w:name="page81"/>
    <w:bookmarkEnd w:id="80"/>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Our processes also address cybersecurity threat risks associated with our use of third-party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6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“We are dependent upon information technology systems, which are subject to cyber threats, disruption, damage and failure” which disclosures are incorporated by reference herein.</w:t>
      </w:r>
    </w:p>
    <w:p>
      <w:pPr>
        <w:spacing w:after="0" w:line="160"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 the last three fiscal years, we have not experienced any material cybersecurity incidents and the expenses we have incurred from cybersecurity incidents were immaterial. This includes penalties and settlements, of which there were none.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Cybersecurity Governance; Management</w:t>
      </w:r>
    </w:p>
    <w:p>
      <w:pPr>
        <w:spacing w:after="0" w:line="218"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Cybersecurity is an important part of our risk management processes and an area of focus for our management. The audit committee of our board of directors is responsible for the oversight of risks from cybersecurity threats, as part of our Enterprise Risk Management system. In the event of a cybersecurity incident that meets established reporting thresholds, our audit committee will receive prompt and timely information regarding such incident, as well as ongoing updates until it has been addressed.</w:t>
      </w:r>
    </w:p>
    <w:p>
      <w:pPr>
        <w:spacing w:after="0" w:line="161"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Our cybersecurity risk management and strategy processes, which are discussed in greater detail above, are led by our Chief Technology Officer with guidance from external security consultant. Such individuals have collectively over 40 years of prior work experience in various roles involving managing information security, developing cybersecurity strategy, implementing effective information and cybersecurity programs, as well as relevant degrees and certifications, including Certified Information Security Manager and Certified CISO.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p>
    <w:p>
      <w:pPr>
        <w:spacing w:after="0" w:line="16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NORI Contract Area</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incorporated by reference as Exhibit 96.1 to this Annual Report.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Location of the NORI Area and access</w:t>
      </w:r>
    </w:p>
    <w:p>
      <w:pPr>
        <w:spacing w:after="0" w:line="218" w:lineRule="exact"/>
        <w:rPr>
          <w:sz w:val="20"/>
          <w:szCs w:val="20"/>
          <w:color w:val="auto"/>
        </w:rPr>
      </w:pPr>
    </w:p>
    <w:p>
      <w:pPr>
        <w:jc w:val="both"/>
        <w:ind w:right="20" w:firstLine="312"/>
        <w:spacing w:after="0" w:line="263" w:lineRule="auto"/>
        <w:rPr>
          <w:sz w:val="20"/>
          <w:szCs w:val="20"/>
          <w:color w:val="auto"/>
        </w:rPr>
      </w:pPr>
      <w:r>
        <w:rPr>
          <w:rFonts w:ascii="Times New Roman" w:cs="Times New Roman" w:eastAsia="Times New Roman" w:hAnsi="Times New Roman"/>
          <w:sz w:val="17"/>
          <w:szCs w:val="17"/>
          <w:color w:val="auto"/>
        </w:rPr>
        <w:t>The NORI Contract Area is located within the CCZ of the northeast Pacific Ocean. The CCZ is located in international waters between Hawaii and Mexico. The western-end of the CCZ is approximately 1,000 kilometers south of the Hawaiian island group. From here, the CCZ extends almost 5,000 kilometers east-northeast, in an approximately 600 kilometers wide trend, with the eastern limits approximately 2,000 kilometers west of southern Mexico. The region is well-located to ship nodules to the American continent or across the Pacific to Asian markets. The NORI Contract Area comprises four separate blocks (A, B, C and D) in the CCZ with a combined area of 74,830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120650</wp:posOffset>
            </wp:positionV>
            <wp:extent cx="4712970" cy="36461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35">
                      <a:extLst>
                        <a:ext uri="{28A0092B-C50C-407E-A947-70E740481C1C}"/>
                      </a:extLst>
                    </a:blip>
                    <a:srcRect/>
                    <a:stretch>
                      <a:fillRect/>
                    </a:stretch>
                  </pic:blipFill>
                  <pic:spPr bwMode="auto">
                    <a:xfrm>
                      <a:off x="0" y="0"/>
                      <a:ext cx="4712970" cy="364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NORI Contract Area extents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UTM</w:t>
            </w:r>
          </w:p>
        </w:tc>
        <w:tc>
          <w:tcPr>
            <w:tcW w:w="0" w:type="dxa"/>
            <w:vAlign w:val="bottom"/>
          </w:tcPr>
          <w:p>
            <w:pPr>
              <w:spacing w:after="0"/>
              <w:rPr>
                <w:sz w:val="1"/>
                <w:szCs w:val="1"/>
                <w:color w:val="auto"/>
              </w:rPr>
            </w:pPr>
          </w:p>
        </w:tc>
      </w:tr>
      <w:tr>
        <w:trPr>
          <w:trHeight w:val="143"/>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Latitude</w:t>
            </w:r>
          </w:p>
        </w:tc>
        <w:tc>
          <w:tcPr>
            <w:tcW w:w="9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Latitude</w:t>
            </w:r>
          </w:p>
        </w:tc>
        <w:tc>
          <w:tcPr>
            <w:tcW w:w="98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9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Longitude</w:t>
            </w:r>
          </w:p>
        </w:tc>
        <w:tc>
          <w:tcPr>
            <w:tcW w:w="8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88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4"/>
              </w:rPr>
              <w:t>UTM X</w:t>
            </w:r>
          </w:p>
        </w:tc>
        <w:tc>
          <w:tcPr>
            <w:tcW w:w="8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40" w:type="dxa"/>
            <w:vAlign w:val="bottom"/>
            <w:gridSpan w:val="2"/>
            <w:vMerge w:val="continue"/>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1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Zone</w:t>
            </w:r>
          </w:p>
        </w:tc>
        <w:tc>
          <w:tcPr>
            <w:tcW w:w="0" w:type="dxa"/>
            <w:vAlign w:val="bottom"/>
          </w:tcPr>
          <w:p>
            <w:pPr>
              <w:spacing w:after="0"/>
              <w:rPr>
                <w:sz w:val="1"/>
                <w:szCs w:val="1"/>
                <w:color w:val="auto"/>
              </w:rPr>
            </w:pPr>
          </w:p>
        </w:tc>
      </w:tr>
      <w:tr>
        <w:trPr>
          <w:trHeight w:val="200"/>
        </w:trPr>
        <w:tc>
          <w:tcPr>
            <w:tcW w:w="210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A</w:t>
            </w:r>
          </w:p>
        </w:tc>
        <w:tc>
          <w:tcPr>
            <w:tcW w:w="140" w:type="dxa"/>
            <w:vAlign w:val="bottom"/>
            <w:tcBorders>
              <w:top w:val="single" w:sz="8" w:color="CBEBF4"/>
            </w:tcBorders>
            <w:shd w:val="clear" w:color="auto" w:fill="CBEBF4"/>
          </w:tcPr>
          <w:p>
            <w:pPr>
              <w:spacing w:after="0"/>
              <w:rPr>
                <w:sz w:val="17"/>
                <w:szCs w:val="17"/>
                <w:color w:val="auto"/>
              </w:rPr>
            </w:pPr>
          </w:p>
        </w:tc>
        <w:tc>
          <w:tcPr>
            <w:tcW w:w="6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140" w:type="dxa"/>
            <w:vAlign w:val="bottom"/>
            <w:tcBorders>
              <w:top w:val="single" w:sz="8" w:color="CBEBF4"/>
            </w:tcBorders>
            <w:shd w:val="clear" w:color="auto" w:fill="CBEBF4"/>
          </w:tcPr>
          <w:p>
            <w:pPr>
              <w:spacing w:after="0"/>
              <w:rPr>
                <w:sz w:val="17"/>
                <w:szCs w:val="17"/>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4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(134.5830)</w:t>
            </w:r>
          </w:p>
        </w:tc>
        <w:tc>
          <w:tcPr>
            <w:tcW w:w="140" w:type="dxa"/>
            <w:vAlign w:val="bottom"/>
            <w:tcBorders>
              <w:top w:val="single" w:sz="8" w:color="CBEBF4"/>
            </w:tcBorders>
            <w:shd w:val="clear" w:color="auto" w:fill="CBEBF4"/>
          </w:tcPr>
          <w:p>
            <w:pPr>
              <w:spacing w:after="0"/>
              <w:rPr>
                <w:sz w:val="17"/>
                <w:szCs w:val="17"/>
                <w:color w:val="auto"/>
              </w:rPr>
            </w:pPr>
          </w:p>
        </w:tc>
        <w:tc>
          <w:tcPr>
            <w:tcW w:w="8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(133.8330)</w:t>
            </w:r>
          </w:p>
        </w:tc>
        <w:tc>
          <w:tcPr>
            <w:tcW w:w="14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545220.4</w:t>
            </w:r>
          </w:p>
        </w:tc>
        <w:tc>
          <w:tcPr>
            <w:tcW w:w="14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627276.0</w:t>
            </w:r>
          </w:p>
        </w:tc>
        <w:tc>
          <w:tcPr>
            <w:tcW w:w="160" w:type="dxa"/>
            <w:vAlign w:val="bottom"/>
            <w:tcBorders>
              <w:top w:val="single" w:sz="8" w:color="CBEBF4"/>
            </w:tcBorders>
            <w:shd w:val="clear" w:color="auto" w:fill="CBEBF4"/>
          </w:tcPr>
          <w:p>
            <w:pPr>
              <w:spacing w:after="0"/>
              <w:rPr>
                <w:sz w:val="17"/>
                <w:szCs w:val="17"/>
                <w:color w:val="auto"/>
              </w:rPr>
            </w:pPr>
          </w:p>
        </w:tc>
        <w:tc>
          <w:tcPr>
            <w:tcW w:w="68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1271339</w:t>
            </w:r>
          </w:p>
        </w:tc>
        <w:tc>
          <w:tcPr>
            <w:tcW w:w="140" w:type="dxa"/>
            <w:vAlign w:val="bottom"/>
            <w:tcBorders>
              <w:top w:val="single" w:sz="8" w:color="CBEBF4"/>
            </w:tcBorders>
            <w:shd w:val="clear" w:color="auto" w:fill="CBEBF4"/>
          </w:tcPr>
          <w:p>
            <w:pPr>
              <w:spacing w:after="0"/>
              <w:rPr>
                <w:sz w:val="17"/>
                <w:szCs w:val="17"/>
                <w:color w:val="auto"/>
              </w:rPr>
            </w:pPr>
          </w:p>
        </w:tc>
        <w:tc>
          <w:tcPr>
            <w:tcW w:w="68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1437255</w:t>
            </w:r>
          </w:p>
        </w:tc>
        <w:tc>
          <w:tcPr>
            <w:tcW w:w="140" w:type="dxa"/>
            <w:vAlign w:val="bottom"/>
            <w:tcBorders>
              <w:top w:val="single" w:sz="8" w:color="CBEBF4"/>
            </w:tcBorders>
            <w:shd w:val="clear" w:color="auto" w:fill="CBEBF4"/>
          </w:tcPr>
          <w:p>
            <w:pPr>
              <w:spacing w:after="0"/>
              <w:rPr>
                <w:sz w:val="17"/>
                <w:szCs w:val="17"/>
                <w:color w:val="auto"/>
              </w:rPr>
            </w:pPr>
          </w:p>
        </w:tc>
        <w:tc>
          <w:tcPr>
            <w:tcW w:w="3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13.5801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14.00000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(133.2000)</w:t>
            </w:r>
          </w:p>
        </w:tc>
        <w:tc>
          <w:tcPr>
            <w:tcW w:w="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607995.7</w:t>
            </w:r>
          </w:p>
        </w:tc>
        <w:tc>
          <w:tcPr>
            <w:tcW w:w="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694759.8</w:t>
            </w: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1501590</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1548425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22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C</w:t>
            </w: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40" w:type="dxa"/>
            <w:vAlign w:val="bottom"/>
            <w:shd w:val="clear" w:color="auto" w:fill="CBEBF4"/>
          </w:tcPr>
          <w:p>
            <w:pPr>
              <w:spacing w:after="0"/>
              <w:rPr>
                <w:sz w:val="18"/>
                <w:szCs w:val="18"/>
                <w:color w:val="auto"/>
              </w:rPr>
            </w:pP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14.93500</w:t>
            </w:r>
          </w:p>
        </w:tc>
        <w:tc>
          <w:tcPr>
            <w:tcW w:w="140" w:type="dxa"/>
            <w:vAlign w:val="bottom"/>
            <w:shd w:val="clear" w:color="auto" w:fill="CBEBF4"/>
          </w:tcPr>
          <w:p>
            <w:pPr>
              <w:spacing w:after="0"/>
              <w:rPr>
                <w:sz w:val="18"/>
                <w:szCs w:val="18"/>
                <w:color w:val="auto"/>
              </w:rPr>
            </w:pPr>
          </w:p>
        </w:tc>
        <w:tc>
          <w:tcPr>
            <w:tcW w:w="8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(123.0000)</w:t>
            </w:r>
          </w:p>
        </w:tc>
        <w:tc>
          <w:tcPr>
            <w:tcW w:w="140" w:type="dxa"/>
            <w:vAlign w:val="bottom"/>
            <w:shd w:val="clear" w:color="auto" w:fill="CBEBF4"/>
          </w:tcPr>
          <w:p>
            <w:pPr>
              <w:spacing w:after="0"/>
              <w:rPr>
                <w:sz w:val="18"/>
                <w:szCs w:val="18"/>
                <w:color w:val="auto"/>
              </w:rPr>
            </w:pP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(120.5000)</w:t>
            </w:r>
          </w:p>
        </w:tc>
        <w:tc>
          <w:tcPr>
            <w:tcW w:w="140" w:type="dxa"/>
            <w:vAlign w:val="bottom"/>
            <w:shd w:val="clear" w:color="auto" w:fill="CBEBF4"/>
          </w:tcPr>
          <w:p>
            <w:pPr>
              <w:spacing w:after="0"/>
              <w:rPr>
                <w:sz w:val="18"/>
                <w:szCs w:val="18"/>
                <w:color w:val="auto"/>
              </w:rPr>
            </w:pPr>
          </w:p>
        </w:tc>
        <w:tc>
          <w:tcPr>
            <w:tcW w:w="7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500000.0</w:t>
            </w:r>
          </w:p>
        </w:tc>
        <w:tc>
          <w:tcPr>
            <w:tcW w:w="140" w:type="dxa"/>
            <w:vAlign w:val="bottom"/>
            <w:shd w:val="clear" w:color="auto" w:fill="CBEBF4"/>
          </w:tcPr>
          <w:p>
            <w:pPr>
              <w:spacing w:after="0"/>
              <w:rPr>
                <w:sz w:val="18"/>
                <w:szCs w:val="18"/>
                <w:color w:val="auto"/>
              </w:rPr>
            </w:pPr>
          </w:p>
        </w:tc>
        <w:tc>
          <w:tcPr>
            <w:tcW w:w="7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769458.3</w:t>
            </w:r>
          </w:p>
        </w:tc>
        <w:tc>
          <w:tcPr>
            <w:tcW w:w="160" w:type="dxa"/>
            <w:vAlign w:val="bottom"/>
            <w:shd w:val="clear" w:color="auto" w:fill="CBEBF4"/>
          </w:tcPr>
          <w:p>
            <w:pPr>
              <w:spacing w:after="0"/>
              <w:rPr>
                <w:sz w:val="18"/>
                <w:szCs w:val="18"/>
                <w:color w:val="auto"/>
              </w:rPr>
            </w:pPr>
          </w:p>
        </w:tc>
        <w:tc>
          <w:tcPr>
            <w:tcW w:w="6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1326941</w:t>
            </w:r>
          </w:p>
        </w:tc>
        <w:tc>
          <w:tcPr>
            <w:tcW w:w="140" w:type="dxa"/>
            <w:vAlign w:val="bottom"/>
            <w:shd w:val="clear" w:color="auto" w:fill="CBEBF4"/>
          </w:tcPr>
          <w:p>
            <w:pPr>
              <w:spacing w:after="0"/>
              <w:rPr>
                <w:sz w:val="18"/>
                <w:szCs w:val="18"/>
                <w:color w:val="auto"/>
              </w:rPr>
            </w:pPr>
          </w:p>
        </w:tc>
        <w:tc>
          <w:tcPr>
            <w:tcW w:w="6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1652649</w:t>
            </w:r>
          </w:p>
        </w:tc>
        <w:tc>
          <w:tcPr>
            <w:tcW w:w="4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9"/>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9.8950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11.08333</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(117.8167)</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(116.0667)</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410465.2</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602326.1</w:t>
            </w:r>
          </w:p>
        </w:tc>
        <w:tc>
          <w:tcPr>
            <w:tcW w:w="1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1093913</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1225353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DD — Decimal degrees, UTM — Universal Transverse Mercator map projection</w:t>
      </w:r>
    </w:p>
    <w:p>
      <w:pPr>
        <w:spacing w:after="0" w:line="219"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Section 3 of the NORI Technical Report Summary for further specific information of the location of the NORI Contract Area.</w:t>
      </w:r>
    </w:p>
    <w:p>
      <w:pPr>
        <w:sectPr>
          <w:pgSz w:w="12240" w:h="15840" w:orient="portrait"/>
          <w:cols w:equalWidth="0" w:num="1">
            <w:col w:w="9620"/>
          </w:cols>
          <w:pgMar w:left="1320" w:top="1328"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20"/>
          </w:cols>
          <w:pgMar w:left="1320" w:top="1328" w:right="1300"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Tenements and permits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Regulations-The NORI Exploration Contract, Business Regulations-The NORI Sponsorship Agreement and Business Regulations- International Seabed Authority above for information related to tenements and permits in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NORI obligations and sponsorship</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Regulations-The NORI Exploration Contract, Business Regulations-The NORI Sponsorship Agreement above for information related to this agreement in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Royalties and taxes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Regulations-Royalties and taxes above for information with respect to our obligations for royalties and taxes in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History of previous exploration activities in the NORI Contract Area</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66"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meters of water. Approximately 800 tonnes of nodules were recovered.</w:t>
      </w:r>
    </w:p>
    <w:p>
      <w:pPr>
        <w:spacing w:after="0" w:line="374"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Using a different system to OMI, Ocean Mining Associates recovered approximately 500 tonnes of nodules during its trial collection in the 1970s.</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60"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8" w:right="1320" w:bottom="1440" w:gutter="0" w:footer="0" w:header="0"/>
        </w:sectPr>
      </w:pPr>
    </w:p>
    <w:bookmarkStart w:id="83" w:name="page84"/>
    <w:bookmarkEnd w:id="83"/>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5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See Section 5 of the NORI Technical Report Summary for further specific information of the history of previous exploration of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Geology and sampling</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Seafloor polymetallic nodules occur in all oceans, but the CCZ hosts a relatively high abundance of high Ni and Cu grade nodules.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CCZ seafloor forms part of the Abyssal Plains, which are the largest physiographic province on Earth.</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average depth of the seafloor in the Project Area is 3,800 to 4,200 meters. Overall, the seafloor slopes at approximately 0.57</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(1 meter per kilometer) but the Abyssal Plains are traversed by ridges, with amplitude of 50 to 300 meters (maximum 1,000 meters) and wavelength of 1 to 10 kilometers. The Abyssal Plains are punctuated by extinct volcanoes rising 500 to 2,000 meters above the seafloor.</w:t>
      </w:r>
    </w:p>
    <w:p>
      <w:pPr>
        <w:spacing w:after="0" w:line="154"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55"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55" w:lineRule="exact"/>
        <w:rPr>
          <w:sz w:val="20"/>
          <w:szCs w:val="20"/>
          <w:color w:val="auto"/>
        </w:rPr>
      </w:pPr>
    </w:p>
    <w:p>
      <w:pPr>
        <w:jc w:val="both"/>
        <w:ind w:firstLine="310"/>
        <w:spacing w:after="0" w:line="299" w:lineRule="auto"/>
        <w:rPr>
          <w:sz w:val="20"/>
          <w:szCs w:val="20"/>
          <w:color w:val="auto"/>
        </w:rPr>
      </w:pPr>
      <w:r>
        <w:rPr>
          <w:rFonts w:ascii="Times New Roman" w:cs="Times New Roman" w:eastAsia="Times New Roman" w:hAnsi="Times New Roman"/>
          <w:sz w:val="17"/>
          <w:szCs w:val="17"/>
          <w:color w:val="auto"/>
        </w:rPr>
        <w:t>The specific conditions of the CCZ (water depth, latitude, and seafloor sediment type) are considered to be the key controls for the formation of polymetallic nodules.</w:t>
      </w:r>
    </w:p>
    <w:p>
      <w:pPr>
        <w:spacing w:after="0" w:line="13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65"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378" w:lineRule="exact"/>
        <w:rPr>
          <w:sz w:val="20"/>
          <w:szCs w:val="20"/>
          <w:color w:val="auto"/>
        </w:rPr>
      </w:pPr>
    </w:p>
    <w:p>
      <w:pPr>
        <w:jc w:val="both"/>
        <w:ind w:firstLine="312"/>
        <w:spacing w:after="0" w:line="299" w:lineRule="auto"/>
        <w:rPr>
          <w:sz w:val="20"/>
          <w:szCs w:val="20"/>
          <w:color w:val="auto"/>
        </w:rPr>
      </w:pPr>
      <w:r>
        <w:rPr>
          <w:rFonts w:ascii="Times New Roman" w:cs="Times New Roman" w:eastAsia="Times New Roman" w:hAnsi="Times New Roman"/>
          <w:sz w:val="17"/>
          <w:szCs w:val="17"/>
          <w:color w:val="auto"/>
        </w:rPr>
        <w:t>NORI completed offshore exploration campaigns in 2012, 2013, 2018, 2019 and 2020. During these campaigns a variety of data was collected including:</w:t>
      </w:r>
    </w:p>
    <w:p>
      <w:pPr>
        <w:spacing w:after="0" w:line="135" w:lineRule="exact"/>
        <w:rPr>
          <w:sz w:val="20"/>
          <w:szCs w:val="20"/>
          <w:color w:val="auto"/>
        </w:rPr>
      </w:pPr>
    </w:p>
    <w:p>
      <w:pPr>
        <w:jc w:val="both"/>
        <w:ind w:left="640" w:hanging="310"/>
        <w:spacing w:after="0" w:line="276" w:lineRule="auto"/>
        <w:tabs>
          <w:tab w:leader="none" w:pos="641" w:val="left"/>
        </w:tabs>
        <w:numPr>
          <w:ilvl w:val="0"/>
          <w:numId w:val="36"/>
        </w:numPr>
        <w:rPr>
          <w:rFonts w:ascii="Arial" w:cs="Arial" w:eastAsia="Arial" w:hAnsi="Arial"/>
          <w:sz w:val="17"/>
          <w:szCs w:val="17"/>
          <w:color w:val="auto"/>
        </w:rPr>
      </w:pPr>
      <w:r>
        <w:rPr>
          <w:rFonts w:ascii="Times New Roman" w:cs="Times New Roman" w:eastAsia="Times New Roman" w:hAnsi="Times New Roman"/>
          <w:sz w:val="17"/>
          <w:szCs w:val="17"/>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54" w:lineRule="exact"/>
        <w:rPr>
          <w:rFonts w:ascii="Arial" w:cs="Arial" w:eastAsia="Arial" w:hAnsi="Arial"/>
          <w:sz w:val="17"/>
          <w:szCs w:val="17"/>
          <w:color w:val="auto"/>
        </w:rPr>
      </w:pPr>
    </w:p>
    <w:p>
      <w:pPr>
        <w:ind w:left="640" w:hanging="310"/>
        <w:spacing w:after="0" w:line="298" w:lineRule="auto"/>
        <w:tabs>
          <w:tab w:leader="none" w:pos="639" w:val="left"/>
        </w:tabs>
        <w:numPr>
          <w:ilvl w:val="0"/>
          <w:numId w:val="36"/>
        </w:numPr>
        <w:rPr>
          <w:rFonts w:ascii="Arial" w:cs="Arial" w:eastAsia="Arial" w:hAnsi="Arial"/>
          <w:sz w:val="17"/>
          <w:szCs w:val="17"/>
          <w:color w:val="auto"/>
        </w:rPr>
      </w:pPr>
      <w:r>
        <w:rPr>
          <w:rFonts w:ascii="Times New Roman" w:cs="Times New Roman" w:eastAsia="Times New Roman" w:hAnsi="Times New Roman"/>
          <w:sz w:val="17"/>
          <w:szCs w:val="17"/>
          <w:color w:val="auto"/>
        </w:rPr>
        <w:t>detailed seafloor survey work with an autonomous underwater vehicle (AUV), utilizing an MBES, Side Scan Sonar (SSS), Sub-Bottom Profiler (SBP), and camera payload; and</w:t>
      </w:r>
    </w:p>
    <w:p>
      <w:pPr>
        <w:spacing w:after="0" w:line="135" w:lineRule="exact"/>
        <w:rPr>
          <w:rFonts w:ascii="Arial" w:cs="Arial" w:eastAsia="Arial" w:hAnsi="Arial"/>
          <w:sz w:val="17"/>
          <w:szCs w:val="17"/>
          <w:color w:val="auto"/>
        </w:rPr>
      </w:pPr>
    </w:p>
    <w:p>
      <w:pPr>
        <w:ind w:left="640" w:hanging="309"/>
        <w:spacing w:after="0" w:line="298" w:lineRule="auto"/>
        <w:tabs>
          <w:tab w:leader="none" w:pos="639" w:val="left"/>
        </w:tabs>
        <w:numPr>
          <w:ilvl w:val="0"/>
          <w:numId w:val="36"/>
        </w:numPr>
        <w:rPr>
          <w:rFonts w:ascii="Arial" w:cs="Arial" w:eastAsia="Arial" w:hAnsi="Arial"/>
          <w:sz w:val="17"/>
          <w:szCs w:val="17"/>
          <w:color w:val="auto"/>
        </w:rPr>
      </w:pPr>
      <w:r>
        <w:rPr>
          <w:rFonts w:ascii="Times New Roman" w:cs="Times New Roman" w:eastAsia="Times New Roman" w:hAnsi="Times New Roman"/>
          <w:sz w:val="17"/>
          <w:szCs w:val="17"/>
          <w:color w:val="auto"/>
        </w:rPr>
        <w:t>a total of 252 box core samples collected using a 0.75 square meters box corer, mainly on a 10 kilometers by 10 kilometers square grid were used for resource evaluation.</w:t>
      </w:r>
    </w:p>
    <w:p>
      <w:pPr>
        <w:sectPr>
          <w:pgSz w:w="12240" w:h="15840" w:orient="portrait"/>
          <w:cols w:equalWidth="0" w:num="1">
            <w:col w:w="9600"/>
          </w:cols>
          <w:pgMar w:left="1320" w:top="1327" w:right="1320"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7" w:right="1320" w:bottom="1440" w:gutter="0" w:footer="0" w:header="0"/>
          <w:type w:val="continuous"/>
        </w:sectPr>
      </w:pPr>
    </w:p>
    <w:bookmarkStart w:id="84" w:name="page85"/>
    <w:bookmarkEnd w:id="84"/>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60"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For more information about the NORI exploration campaigns in 2012, 2013, 2018, 2019 and 2020, see Section 7 of the NORI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resource estimate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measured mineral resource was assigned to the area within NORI Area D where box-core sampling was conducted on a nominal 7 kilometers by 7 kilometers spacing and infilled with estimates of nodule abundance from seafloor photography to a spacing of 3.5 kilometers by 3.5 kilometers.</w:t>
      </w:r>
    </w:p>
    <w:p>
      <w:pPr>
        <w:spacing w:after="0" w:line="155"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The indicated mineral resource was assigned to the area within NORI Area D where box-core sampling was conducted on a nominal spacing of 7 kilometers by 7 kilometers or 10 kilometers by 10 kilometers but without additional photo-estimates of nodule abundance.</w:t>
      </w:r>
    </w:p>
    <w:p>
      <w:pPr>
        <w:spacing w:after="0" w:line="13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55"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mineral resource estimate for NORI Area D at a 4 kilogram/square meters abundance cut-off is set forth below. This cut-off is derived from the estimates of costs and revenues presented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17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estimated mineral resources were determined in 2021 as of December 31, 2020 and also reflect the estimated mineral resources as of December 31, 2023, as none of the mineral resources in these areas were depleted by mining or any other activities.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NORI December 31, 2023 In-Situ Mineral Resource estimate for NORI Area D at 4 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abundance cut-off</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Category</w:t>
            </w:r>
          </w:p>
        </w:tc>
        <w:tc>
          <w:tcPr>
            <w:tcW w:w="140" w:type="dxa"/>
            <w:vAlign w:val="bottom"/>
          </w:tcPr>
          <w:p>
            <w:pPr>
              <w:spacing w:after="0"/>
              <w:rPr>
                <w:sz w:val="13"/>
                <w:szCs w:val="13"/>
                <w:color w:val="auto"/>
              </w:rPr>
            </w:pPr>
          </w:p>
        </w:tc>
        <w:tc>
          <w:tcPr>
            <w:tcW w:w="60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Tonnes</w:t>
            </w:r>
          </w:p>
        </w:tc>
        <w:tc>
          <w:tcPr>
            <w:tcW w:w="9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Nickel</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Cobalt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Manganese</w:t>
            </w:r>
          </w:p>
        </w:tc>
        <w:tc>
          <w:tcPr>
            <w:tcW w:w="140" w:type="dxa"/>
            <w:vAlign w:val="bottom"/>
          </w:tcPr>
          <w:p>
            <w:pPr>
              <w:spacing w:after="0"/>
              <w:rPr>
                <w:sz w:val="13"/>
                <w:szCs w:val="13"/>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Silicon</w:t>
            </w:r>
          </w:p>
        </w:tc>
        <w:tc>
          <w:tcPr>
            <w:tcW w:w="0" w:type="dxa"/>
            <w:vAlign w:val="bottom"/>
          </w:tcPr>
          <w:p>
            <w:pPr>
              <w:spacing w:after="0"/>
              <w:rPr>
                <w:sz w:val="1"/>
                <w:szCs w:val="1"/>
                <w:color w:val="auto"/>
              </w:rPr>
            </w:pPr>
          </w:p>
        </w:tc>
      </w:tr>
      <w:tr>
        <w:trPr>
          <w:trHeight w:val="168"/>
        </w:trPr>
        <w:tc>
          <w:tcPr>
            <w:tcW w:w="33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(Mt (wet))</w:t>
            </w:r>
          </w:p>
        </w:tc>
        <w:tc>
          <w:tcPr>
            <w:tcW w:w="980" w:type="dxa"/>
            <w:vAlign w:val="bottom"/>
            <w:gridSpan w:val="3"/>
          </w:tcPr>
          <w:p>
            <w:pPr>
              <w:ind w:left="140"/>
              <w:spacing w:after="0" w:line="169" w:lineRule="exact"/>
              <w:rPr>
                <w:sz w:val="20"/>
                <w:szCs w:val="20"/>
                <w:color w:val="auto"/>
              </w:rPr>
            </w:pPr>
            <w:r>
              <w:rPr>
                <w:rFonts w:ascii="Times New Roman" w:cs="Times New Roman" w:eastAsia="Times New Roman" w:hAnsi="Times New Roman"/>
                <w:sz w:val="13"/>
                <w:szCs w:val="13"/>
                <w:b w:val="1"/>
                <w:bCs w:val="1"/>
                <w:color w:val="auto"/>
              </w:rPr>
              <w:t>(wet kg/m</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3"/>
                <w:szCs w:val="13"/>
                <w:b w:val="1"/>
                <w:bCs w:val="1"/>
                <w:color w:val="auto"/>
              </w:rPr>
              <w:t>)</w:t>
            </w: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31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D</w:t>
            </w:r>
          </w:p>
        </w:tc>
        <w:tc>
          <w:tcPr>
            <w:tcW w:w="140" w:type="dxa"/>
            <w:vAlign w:val="bottom"/>
            <w:tcBorders>
              <w:top w:val="single" w:sz="8" w:color="CBEBF4"/>
            </w:tcBorders>
            <w:shd w:val="clear" w:color="auto" w:fill="CBEBF4"/>
          </w:tcPr>
          <w:p>
            <w:pPr>
              <w:spacing w:after="0"/>
              <w:rPr>
                <w:sz w:val="17"/>
                <w:szCs w:val="17"/>
                <w:color w:val="auto"/>
              </w:rPr>
            </w:pPr>
          </w:p>
        </w:tc>
        <w:tc>
          <w:tcPr>
            <w:tcW w:w="90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Measured</w:t>
            </w:r>
          </w:p>
        </w:tc>
        <w:tc>
          <w:tcPr>
            <w:tcW w:w="14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top w:val="single" w:sz="8" w:color="CBEBF4"/>
            </w:tcBorders>
            <w:shd w:val="clear" w:color="auto" w:fill="CBEBF4"/>
          </w:tcPr>
          <w:p>
            <w:pPr>
              <w:spacing w:after="0"/>
              <w:rPr>
                <w:sz w:val="17"/>
                <w:szCs w:val="17"/>
                <w:color w:val="auto"/>
              </w:rPr>
            </w:pPr>
          </w:p>
        </w:tc>
        <w:tc>
          <w:tcPr>
            <w:tcW w:w="7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Borders>
              <w:top w:val="single" w:sz="8" w:color="CBEBF4"/>
            </w:tcBorders>
            <w:shd w:val="clear" w:color="auto" w:fill="CBEBF4"/>
          </w:tcPr>
          <w:p>
            <w:pPr>
              <w:spacing w:after="0"/>
              <w:rPr>
                <w:sz w:val="17"/>
                <w:szCs w:val="17"/>
                <w:color w:val="auto"/>
              </w:rPr>
            </w:pPr>
          </w:p>
        </w:tc>
        <w:tc>
          <w:tcPr>
            <w:tcW w:w="5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6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Borders>
              <w:top w:val="single" w:sz="8" w:color="CBEBF4"/>
            </w:tcBorders>
            <w:shd w:val="clear" w:color="auto" w:fill="CBEBF4"/>
          </w:tcPr>
          <w:p>
            <w:pPr>
              <w:spacing w:after="0"/>
              <w:rPr>
                <w:sz w:val="17"/>
                <w:szCs w:val="17"/>
                <w:color w:val="auto"/>
              </w:rPr>
            </w:pPr>
          </w:p>
        </w:tc>
        <w:tc>
          <w:tcPr>
            <w:tcW w:w="6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Borders>
              <w:top w:val="single" w:sz="8" w:color="CBEBF4"/>
            </w:tcBorders>
            <w:shd w:val="clear" w:color="auto" w:fill="CBEBF4"/>
          </w:tcPr>
          <w:p>
            <w:pPr>
              <w:spacing w:after="0"/>
              <w:rPr>
                <w:sz w:val="17"/>
                <w:szCs w:val="17"/>
                <w:color w:val="auto"/>
              </w:rPr>
            </w:pPr>
          </w:p>
        </w:tc>
        <w:tc>
          <w:tcPr>
            <w:tcW w:w="7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tcBorders>
              <w:top w:val="single" w:sz="8" w:color="CBEBF4"/>
            </w:tcBorders>
            <w:shd w:val="clear" w:color="auto" w:fill="CBEBF4"/>
          </w:tcPr>
          <w:p>
            <w:pPr>
              <w:spacing w:after="0"/>
              <w:rPr>
                <w:sz w:val="17"/>
                <w:szCs w:val="17"/>
                <w:color w:val="auto"/>
              </w:rPr>
            </w:pPr>
          </w:p>
        </w:tc>
        <w:tc>
          <w:tcPr>
            <w:tcW w:w="6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Indicated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183"/>
        </w:trPr>
        <w:tc>
          <w:tcPr>
            <w:tcW w:w="31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900" w:type="dxa"/>
            <w:vAlign w:val="bottom"/>
            <w:shd w:val="clear" w:color="auto" w:fill="CBEBF4"/>
          </w:tcPr>
          <w:p>
            <w:pPr>
              <w:jc w:val="center"/>
              <w:spacing w:after="0" w:line="184" w:lineRule="exact"/>
              <w:rPr>
                <w:sz w:val="20"/>
                <w:szCs w:val="20"/>
                <w:color w:val="auto"/>
              </w:rPr>
            </w:pPr>
            <w:r>
              <w:rPr>
                <w:rFonts w:ascii="Times New Roman" w:cs="Times New Roman" w:eastAsia="Times New Roman" w:hAnsi="Times New Roman"/>
                <w:sz w:val="17"/>
                <w:szCs w:val="17"/>
                <w:color w:val="auto"/>
              </w:rPr>
              <w:t>Measured +</w:t>
            </w: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7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6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2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7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3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D</w:t>
            </w:r>
          </w:p>
        </w:tc>
        <w:tc>
          <w:tcPr>
            <w:tcW w:w="90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Indicated</w:t>
            </w:r>
          </w:p>
        </w:tc>
        <w:tc>
          <w:tcPr>
            <w:tcW w:w="7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6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BEBF4"/>
          </w:tcPr>
          <w:p>
            <w:pPr>
              <w:spacing w:after="0"/>
              <w:rPr>
                <w:sz w:val="20"/>
                <w:szCs w:val="20"/>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shd w:val="clear" w:color="auto" w:fill="CBEBF4"/>
          </w:tcPr>
          <w:p>
            <w:pPr>
              <w:spacing w:after="0"/>
              <w:rPr>
                <w:sz w:val="20"/>
                <w:szCs w:val="20"/>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7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232"/>
        </w:trPr>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Inferred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53975</wp:posOffset>
                </wp:positionV>
                <wp:extent cx="1529715" cy="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38">
                          <a:solidFill>
                            <a:srgbClr val="000000"/>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4.25pt" to="120.85pt,4.25pt" o:allowincell="f" strokecolor="#000000" strokeweight="0.6487pt"/>
            </w:pict>
          </mc:Fallback>
        </mc:AlternateContent>
      </w:r>
    </w:p>
    <w:p>
      <w:pPr>
        <w:spacing w:after="0" w:line="139" w:lineRule="exact"/>
        <w:rPr>
          <w:sz w:val="20"/>
          <w:szCs w:val="20"/>
          <w:color w:val="auto"/>
        </w:rPr>
      </w:pPr>
    </w:p>
    <w:p>
      <w:pPr>
        <w:jc w:val="both"/>
        <w:ind w:left="20" w:right="20"/>
        <w:spacing w:after="0" w:line="298"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37" w:lineRule="exact"/>
        <w:rPr>
          <w:sz w:val="20"/>
          <w:szCs w:val="20"/>
          <w:color w:val="auto"/>
        </w:rPr>
      </w:pPr>
    </w:p>
    <w:p>
      <w:pPr>
        <w:jc w:val="both"/>
        <w:ind w:left="20" w:right="20" w:firstLine="311"/>
        <w:spacing w:after="0" w:line="242" w:lineRule="auto"/>
        <w:rPr>
          <w:sz w:val="20"/>
          <w:szCs w:val="20"/>
          <w:color w:val="auto"/>
        </w:rPr>
      </w:pPr>
      <w:r>
        <w:rPr>
          <w:rFonts w:ascii="Times New Roman" w:cs="Times New Roman" w:eastAsia="Times New Roman" w:hAnsi="Times New Roman"/>
          <w:sz w:val="17"/>
          <w:szCs w:val="17"/>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copper metal $6,872/t; cobalt metal $46,333/t; cobalt in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186" w:lineRule="exact"/>
        <w:rPr>
          <w:sz w:val="20"/>
          <w:szCs w:val="20"/>
          <w:color w:val="auto"/>
        </w:rPr>
      </w:pPr>
    </w:p>
    <w:p>
      <w:pPr>
        <w:jc w:val="both"/>
        <w:ind w:left="20" w:right="20" w:firstLine="311"/>
        <w:spacing w:after="0" w:line="263" w:lineRule="auto"/>
        <w:rPr>
          <w:sz w:val="20"/>
          <w:szCs w:val="20"/>
          <w:color w:val="auto"/>
        </w:rPr>
      </w:pPr>
      <w:r>
        <w:rPr>
          <w:rFonts w:ascii="Times New Roman" w:cs="Times New Roman" w:eastAsia="Times New Roman" w:hAnsi="Times New Roman"/>
          <w:sz w:val="17"/>
          <w:szCs w:val="17"/>
          <w:color w:val="auto"/>
        </w:rPr>
        <w:t>Sampling of NORI Area D at a spacing of 10 kilometers by 10 kilometers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67" w:lineRule="exact"/>
        <w:rPr>
          <w:sz w:val="20"/>
          <w:szCs w:val="20"/>
          <w:color w:val="auto"/>
        </w:rPr>
      </w:pPr>
    </w:p>
    <w:p>
      <w:pPr>
        <w:jc w:val="both"/>
        <w:ind w:left="20" w:right="20" w:firstLine="311"/>
        <w:spacing w:after="0" w:line="238" w:lineRule="auto"/>
        <w:rPr>
          <w:sz w:val="20"/>
          <w:szCs w:val="20"/>
          <w:color w:val="auto"/>
        </w:rPr>
      </w:pPr>
      <w:r>
        <w:rPr>
          <w:rFonts w:ascii="Times New Roman" w:cs="Times New Roman" w:eastAsia="Times New Roman" w:hAnsi="Times New Roman"/>
          <w:sz w:val="17"/>
          <w:szCs w:val="17"/>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84" w:lineRule="exact"/>
        <w:rPr>
          <w:sz w:val="20"/>
          <w:szCs w:val="20"/>
          <w:color w:val="auto"/>
        </w:rPr>
      </w:pPr>
    </w:p>
    <w:p>
      <w:pPr>
        <w:jc w:val="both"/>
        <w:ind w:left="20" w:right="20" w:firstLine="311"/>
        <w:spacing w:after="0"/>
        <w:rPr>
          <w:sz w:val="20"/>
          <w:szCs w:val="20"/>
          <w:color w:val="auto"/>
        </w:rPr>
      </w:pPr>
      <w:r>
        <w:rPr>
          <w:rFonts w:ascii="Times New Roman" w:cs="Times New Roman" w:eastAsia="Times New Roman" w:hAnsi="Times New Roman"/>
          <w:sz w:val="17"/>
          <w:szCs w:val="17"/>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at a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187" w:lineRule="exact"/>
        <w:rPr>
          <w:sz w:val="20"/>
          <w:szCs w:val="20"/>
          <w:color w:val="auto"/>
        </w:rPr>
      </w:pPr>
    </w:p>
    <w:p>
      <w:pPr>
        <w:jc w:val="both"/>
        <w:ind w:left="20" w:right="20" w:firstLine="310"/>
        <w:spacing w:after="0" w:line="298" w:lineRule="auto"/>
        <w:rPr>
          <w:sz w:val="20"/>
          <w:szCs w:val="20"/>
          <w:color w:val="auto"/>
        </w:rPr>
      </w:pPr>
      <w:r>
        <w:rPr>
          <w:rFonts w:ascii="Times New Roman" w:cs="Times New Roman" w:eastAsia="Times New Roman" w:hAnsi="Times New Roman"/>
          <w:sz w:val="17"/>
          <w:szCs w:val="17"/>
          <w:color w:val="auto"/>
        </w:rPr>
        <w:t>The estimated mineral resources were determined in 2021 as of December 31, 2020 and also reflect the estimated mineral resources as of December 31, 2023, as none of the mineral resources in these areas were depleted by mining or any other activities.</w:t>
      </w:r>
    </w:p>
    <w:p>
      <w:pPr>
        <w:spacing w:after="0" w:line="1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NORI Area A, B and C December 31, 2023 In-Situ Mineral Resource estimate at 4 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abundance cut-off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Nodule tonnage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Ni</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Cu</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Co</w:t>
            </w: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68"/>
        </w:trPr>
        <w:tc>
          <w:tcPr>
            <w:tcW w:w="33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(Mt (wet))</w:t>
            </w:r>
          </w:p>
        </w:tc>
        <w:tc>
          <w:tcPr>
            <w:tcW w:w="8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3"/>
                <w:szCs w:val="13"/>
                <w:b w:val="1"/>
                <w:bCs w:val="1"/>
                <w:color w:val="auto"/>
              </w:rPr>
              <w:t>(wet kg/m</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3"/>
                <w:szCs w:val="13"/>
                <w:b w:val="1"/>
                <w:bCs w:val="1"/>
                <w:color w:val="auto"/>
              </w:rPr>
              <w:t>)</w:t>
            </w: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60" w:type="dxa"/>
            <w:vAlign w:val="bottom"/>
            <w:tcBorders>
              <w:top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A</w:t>
            </w:r>
          </w:p>
        </w:tc>
        <w:tc>
          <w:tcPr>
            <w:tcW w:w="16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Inferred</w:t>
            </w:r>
          </w:p>
        </w:tc>
        <w:tc>
          <w:tcPr>
            <w:tcW w:w="180" w:type="dxa"/>
            <w:vAlign w:val="bottom"/>
            <w:tcBorders>
              <w:top w:val="single" w:sz="8" w:color="CBEBF4"/>
            </w:tcBorders>
            <w:shd w:val="clear" w:color="auto" w:fill="CBEBF4"/>
          </w:tcPr>
          <w:p>
            <w:pPr>
              <w:spacing w:after="0"/>
              <w:rPr>
                <w:sz w:val="17"/>
                <w:szCs w:val="17"/>
                <w:color w:val="auto"/>
              </w:rPr>
            </w:pPr>
          </w:p>
        </w:tc>
        <w:tc>
          <w:tcPr>
            <w:tcW w:w="9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6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60" w:type="dxa"/>
            <w:vAlign w:val="bottom"/>
            <w:tcBorders>
              <w:top w:val="single" w:sz="8" w:color="CBEBF4"/>
            </w:tcBorders>
            <w:shd w:val="clear" w:color="auto" w:fill="CBEBF4"/>
          </w:tcPr>
          <w:p>
            <w:pPr>
              <w:spacing w:after="0"/>
              <w:rPr>
                <w:sz w:val="17"/>
                <w:szCs w:val="17"/>
                <w:color w:val="auto"/>
              </w:rPr>
            </w:pPr>
          </w:p>
        </w:tc>
        <w:tc>
          <w:tcPr>
            <w:tcW w:w="7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60" w:type="dxa"/>
            <w:vAlign w:val="bottom"/>
            <w:tcBorders>
              <w:top w:val="single" w:sz="8" w:color="CBEBF4"/>
            </w:tcBorders>
            <w:shd w:val="clear" w:color="auto" w:fill="CBEBF4"/>
          </w:tcPr>
          <w:p>
            <w:pPr>
              <w:spacing w:after="0"/>
              <w:rPr>
                <w:sz w:val="17"/>
                <w:szCs w:val="17"/>
                <w:color w:val="auto"/>
              </w:rPr>
            </w:pPr>
          </w:p>
        </w:tc>
        <w:tc>
          <w:tcPr>
            <w:tcW w:w="7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Inferred</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gridSpan w:val="3"/>
            <w:shd w:val="clear" w:color="auto" w:fill="CBEBF4"/>
          </w:tcPr>
          <w:p>
            <w:pPr>
              <w:spacing w:after="0"/>
              <w:rPr>
                <w:sz w:val="20"/>
                <w:szCs w:val="20"/>
                <w:color w:val="auto"/>
              </w:rPr>
            </w:pPr>
            <w:r>
              <w:rPr>
                <w:rFonts w:ascii="Times New Roman" w:cs="Times New Roman" w:eastAsia="Times New Roman" w:hAnsi="Times New Roman"/>
                <w:sz w:val="17"/>
                <w:szCs w:val="17"/>
                <w:color w:val="auto"/>
              </w:rPr>
              <w:t>C</w:t>
            </w:r>
          </w:p>
        </w:tc>
        <w:tc>
          <w:tcPr>
            <w:tcW w:w="900" w:type="dxa"/>
            <w:vAlign w:val="bottom"/>
            <w:gridSpan w:val="2"/>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Inferred</w:t>
            </w:r>
          </w:p>
        </w:tc>
        <w:tc>
          <w:tcPr>
            <w:tcW w:w="9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60" w:type="dxa"/>
            <w:vAlign w:val="bottom"/>
            <w:shd w:val="clear" w:color="auto" w:fill="CBEBF4"/>
          </w:tcPr>
          <w:p>
            <w:pPr>
              <w:spacing w:after="0"/>
              <w:rPr>
                <w:sz w:val="18"/>
                <w:szCs w:val="18"/>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shd w:val="clear" w:color="auto" w:fill="CBEBF4"/>
          </w:tcPr>
          <w:p>
            <w:pPr>
              <w:spacing w:after="0"/>
              <w:rPr>
                <w:sz w:val="18"/>
                <w:szCs w:val="18"/>
                <w:color w:val="auto"/>
              </w:rPr>
            </w:pP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60" w:type="dxa"/>
            <w:vAlign w:val="bottom"/>
            <w:shd w:val="clear" w:color="auto" w:fill="CBEBF4"/>
          </w:tcPr>
          <w:p>
            <w:pPr>
              <w:spacing w:after="0"/>
              <w:rPr>
                <w:sz w:val="18"/>
                <w:szCs w:val="18"/>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shd w:val="clear" w:color="auto" w:fill="CBEBF4"/>
          </w:tcPr>
          <w:p>
            <w:pPr>
              <w:spacing w:after="0"/>
              <w:rPr>
                <w:sz w:val="18"/>
                <w:szCs w:val="18"/>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shd w:val="clear" w:color="auto" w:fill="CBEBF4"/>
          </w:tcPr>
          <w:p>
            <w:pPr>
              <w:spacing w:after="0"/>
              <w:rPr>
                <w:sz w:val="18"/>
                <w:szCs w:val="18"/>
                <w:color w:val="auto"/>
              </w:rPr>
            </w:pP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104"/>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0" w:right="20" w:firstLine="1"/>
        <w:spacing w:after="0" w:line="298"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ectPr>
          <w:pgSz w:w="12240" w:h="15840" w:orient="portrait"/>
          <w:cols w:equalWidth="0" w:num="1">
            <w:col w:w="9640"/>
          </w:cols>
          <w:pgMar w:left="1300" w:top="1318" w:right="130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367030</wp:posOffset>
                </wp:positionV>
                <wp:extent cx="6110605" cy="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9pt" to="481.55pt,28.9pt" o:allowincell="f" strokecolor="#000000" strokeweight="1.2947pt"/>
            </w:pict>
          </mc:Fallback>
        </mc:AlternateContent>
      </w:r>
    </w:p>
    <w:p>
      <w:pPr>
        <w:sectPr>
          <w:pgSz w:w="12240" w:h="15840" w:orient="portrait"/>
          <w:cols w:equalWidth="0" w:num="1">
            <w:col w:w="9640"/>
          </w:cols>
          <w:pgMar w:left="1300" w:top="1318" w:right="1300" w:bottom="1440" w:gutter="0" w:footer="0" w:header="0"/>
          <w:type w:val="continuous"/>
        </w:sectPr>
      </w:pPr>
    </w:p>
    <w:bookmarkStart w:id="86" w:name="page87"/>
    <w:bookmarkEnd w:id="86"/>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Information concerning our mineral properties in the NORI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7"/>
          <w:szCs w:val="17"/>
          <w:b w:val="1"/>
          <w:bCs w:val="1"/>
          <w:color w:val="auto"/>
        </w:rPr>
        <w:t>You are specifically cautioned not to assume that any part or all of the mineral deposits in these categories will ever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converted into mineral reserves, as defined by the SEC.</w:t>
      </w:r>
    </w:p>
    <w:p>
      <w:pPr>
        <w:spacing w:after="0" w:line="166"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7"/>
          <w:szCs w:val="17"/>
          <w:b w:val="1"/>
          <w:bCs w:val="1"/>
          <w:color w:val="auto"/>
        </w:rPr>
        <w:t>Therefore, you are cautioned not to assume that all or any part of an inferred mineral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Development plan</w:t>
      </w:r>
    </w:p>
    <w:p>
      <w:pPr>
        <w:spacing w:after="0" w:line="218"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 The development plan has been refined since the creation of the NORI Technical Report Summary.</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proposed seafloor development phases are as follows:</w:t>
      </w:r>
    </w:p>
    <w:p>
      <w:pPr>
        <w:spacing w:after="0" w:line="219" w:lineRule="exact"/>
        <w:rPr>
          <w:sz w:val="20"/>
          <w:szCs w:val="20"/>
          <w:color w:val="auto"/>
        </w:rPr>
      </w:pPr>
    </w:p>
    <w:p>
      <w:pPr>
        <w:jc w:val="both"/>
        <w:ind w:left="640" w:hanging="309"/>
        <w:spacing w:after="0" w:line="269" w:lineRule="auto"/>
        <w:tabs>
          <w:tab w:leader="none" w:pos="64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The Collector Test was designed to perform proof of concept for the methods of collecting and lifting the nodules while acquiring sufficient data to design a commercial system. The Collector Test used a converted sixth generation drillship,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Nodules collected during the test were stored on the</w:t>
      </w:r>
      <w:r>
        <w:rPr>
          <w:rFonts w:ascii="Times New Roman" w:cs="Times New Roman" w:eastAsia="Times New Roman" w:hAnsi="Times New Roman"/>
          <w:sz w:val="17"/>
          <w:szCs w:val="17"/>
          <w:i w:val="1"/>
          <w:iCs w:val="1"/>
          <w:color w:val="auto"/>
        </w:rPr>
        <w:t xml:space="preserve"> Hidden Gem </w:t>
      </w:r>
      <w:r>
        <w:rPr>
          <w:rFonts w:ascii="Times New Roman" w:cs="Times New Roman" w:eastAsia="Times New Roman" w:hAnsi="Times New Roman"/>
          <w:sz w:val="17"/>
          <w:szCs w:val="17"/>
          <w:color w:val="auto"/>
        </w:rPr>
        <w:t>and brought to shore for use in large scale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pilot testing. The test did not demonstrate the transshipment of nodules to a shore-based facility.</w:t>
      </w:r>
    </w:p>
    <w:p>
      <w:pPr>
        <w:spacing w:after="0" w:line="159" w:lineRule="exact"/>
        <w:rPr>
          <w:rFonts w:ascii="Arial" w:cs="Arial" w:eastAsia="Arial" w:hAnsi="Arial"/>
          <w:sz w:val="17"/>
          <w:szCs w:val="17"/>
          <w:color w:val="auto"/>
        </w:rPr>
      </w:pPr>
    </w:p>
    <w:p>
      <w:pPr>
        <w:jc w:val="both"/>
        <w:ind w:left="640" w:hanging="309"/>
        <w:spacing w:after="0" w:line="265" w:lineRule="auto"/>
        <w:tabs>
          <w:tab w:leader="none" w:pos="64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Project Zero System would be an extension of the Collector Test using an upgrade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produce a sufficient and continuous quantity of nodules to support commercial operation commencing at 1.3 Mtpa increasing in staged increments to 3.0 Mtpa of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164"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Project Zero Plan of Work application contemplates that an increase in production is achieved via the introduction of another production vessel with the capacity of up to 3.0 Mtpa.</w:t>
      </w:r>
    </w:p>
    <w:p>
      <w:pPr>
        <w:spacing w:after="0" w:line="135" w:lineRule="exact"/>
        <w:rPr>
          <w:rFonts w:ascii="Arial" w:cs="Arial" w:eastAsia="Arial" w:hAnsi="Arial"/>
          <w:sz w:val="17"/>
          <w:szCs w:val="17"/>
          <w:color w:val="auto"/>
        </w:rPr>
      </w:pPr>
    </w:p>
    <w:p>
      <w:pPr>
        <w:ind w:left="640" w:hanging="310"/>
        <w:spacing w:after="0"/>
        <w:tabs>
          <w:tab w:leader="none" w:pos="64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The processing of the polymetallic nodules would also be ramped up in phases:</w:t>
      </w:r>
    </w:p>
    <w:p>
      <w:pPr>
        <w:spacing w:after="0" w:line="218" w:lineRule="exact"/>
        <w:rPr>
          <w:rFonts w:ascii="Arial" w:cs="Arial" w:eastAsia="Arial" w:hAnsi="Arial"/>
          <w:sz w:val="17"/>
          <w:szCs w:val="17"/>
          <w:color w:val="auto"/>
        </w:rPr>
      </w:pPr>
    </w:p>
    <w:p>
      <w:pPr>
        <w:jc w:val="both"/>
        <w:ind w:left="640" w:hanging="310"/>
        <w:spacing w:after="0" w:line="263" w:lineRule="auto"/>
        <w:tabs>
          <w:tab w:leader="none" w:pos="64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In Project Zero, NORI proposes to toll-treat polymetallic nodules at existing RKEF smelters, utilizing excess industry capacity. NORI advises there is significant interest from many parties in China, Indonesia and Japan to utilize RKEF plants which may become stranded as a result of the Indonesian government nickel laterite ore export ban restricting supply of the nickel laterite feedstock that they currently utilize and the significant recent build-out of capacity in Indonesia which may have resulted in processing capacity oversupply. These RKEF plants were originally built to convert nickel laterite to nickel pig iron and could be converted to smelt polymetallic nodules with minor modifications.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87" w:name="page88"/>
    <w:bookmarkEnd w:id="87"/>
    <w:p>
      <w:pPr>
        <w:jc w:val="both"/>
        <w:ind w:left="640" w:hanging="309"/>
        <w:spacing w:after="0" w:line="276" w:lineRule="auto"/>
        <w:tabs>
          <w:tab w:leader="none" w:pos="640" w:val="left"/>
        </w:tabs>
        <w:numPr>
          <w:ilvl w:val="0"/>
          <w:numId w:val="38"/>
        </w:numPr>
        <w:rPr>
          <w:rFonts w:ascii="Arial" w:cs="Arial" w:eastAsia="Arial" w:hAnsi="Arial"/>
          <w:sz w:val="17"/>
          <w:szCs w:val="17"/>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 Project One, a purpose-built process plant would be constructed, including pyrometallurgical (~50% of Project One production, with the other ~50% tolled through existing RKEF facilities) and hydrometallurgical circuits (100% of Project One production). Nodule production would be increased in phases by treatment in this new plant and existing RKEFs.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methods</w:t>
      </w:r>
    </w:p>
    <w:p>
      <w:pPr>
        <w:spacing w:after="0" w:line="218"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Drill Ship 2; and Collector Ship 1. Collector Ship 1 is intended to be supported by a collector support vessel.</w:t>
      </w:r>
    </w:p>
    <w:p>
      <w:pPr>
        <w:spacing w:after="0" w:line="137"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71"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60"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tonnes, and housing a crew of around 120 personnel. Nodules are planned to be discharged from the RALS to the PSVs, where they are expected to be dewatered and temporarily stored or transferred directly to a transport vessel.</w:t>
      </w:r>
    </w:p>
    <w:p>
      <w:pPr>
        <w:spacing w:after="0" w:line="171" w:lineRule="exact"/>
        <w:rPr>
          <w:sz w:val="20"/>
          <w:szCs w:val="20"/>
          <w:color w:val="auto"/>
        </w:rPr>
      </w:pPr>
    </w:p>
    <w:p>
      <w:pPr>
        <w:jc w:val="both"/>
        <w:ind w:firstLine="313"/>
        <w:spacing w:after="0" w:line="276" w:lineRule="auto"/>
        <w:rPr>
          <w:sz w:val="20"/>
          <w:szCs w:val="20"/>
          <w:color w:val="auto"/>
        </w:rPr>
      </w:pPr>
      <w:r>
        <w:rPr>
          <w:rFonts w:ascii="Times New Roman" w:cs="Times New Roman" w:eastAsia="Times New Roman" w:hAnsi="Times New Roman"/>
          <w:sz w:val="17"/>
          <w:szCs w:val="17"/>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88" w:name="page89"/>
    <w:bookmarkEnd w:id="88"/>
    <w:p>
      <w:pPr>
        <w:jc w:val="both"/>
        <w:ind w:right="20"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61" w:lineRule="exact"/>
        <w:rPr>
          <w:sz w:val="20"/>
          <w:szCs w:val="20"/>
          <w:color w:val="auto"/>
        </w:rPr>
      </w:pPr>
    </w:p>
    <w:p>
      <w:pPr>
        <w:jc w:val="both"/>
        <w:ind w:right="20" w:firstLine="311"/>
        <w:spacing w:after="0" w:line="265" w:lineRule="auto"/>
        <w:rPr>
          <w:sz w:val="20"/>
          <w:szCs w:val="20"/>
          <w:color w:val="auto"/>
        </w:rPr>
      </w:pPr>
      <w:r>
        <w:rPr>
          <w:rFonts w:ascii="Times New Roman" w:cs="Times New Roman" w:eastAsia="Times New Roman" w:hAnsi="Times New Roman"/>
          <w:sz w:val="17"/>
          <w:szCs w:val="17"/>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Expected Mineral Resource modifying factors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Modifying factors</w:t>
            </w: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6"/>
        </w:trPr>
        <w:tc>
          <w:tcPr>
            <w:tcW w:w="2400" w:type="dxa"/>
            <w:vAlign w:val="bottom"/>
            <w:tcBorders>
              <w:top w:val="single" w:sz="8" w:color="auto"/>
            </w:tcBorders>
            <w:shd w:val="clear" w:color="auto" w:fill="CBEBF4"/>
          </w:tcPr>
          <w:p>
            <w:pPr>
              <w:spacing w:after="0" w:line="176" w:lineRule="exact"/>
              <w:rPr>
                <w:sz w:val="20"/>
                <w:szCs w:val="20"/>
                <w:color w:val="auto"/>
              </w:rPr>
            </w:pPr>
            <w:r>
              <w:rPr>
                <w:rFonts w:ascii="Times New Roman" w:cs="Times New Roman" w:eastAsia="Times New Roman" w:hAnsi="Times New Roman"/>
                <w:sz w:val="17"/>
                <w:szCs w:val="17"/>
                <w:color w:val="auto"/>
              </w:rPr>
              <w:t>Resource area efficiency</w:t>
            </w:r>
          </w:p>
        </w:tc>
        <w:tc>
          <w:tcPr>
            <w:tcW w:w="240" w:type="dxa"/>
            <w:vAlign w:val="bottom"/>
            <w:tcBorders>
              <w:top w:val="single" w:sz="8" w:color="CBEBF4"/>
            </w:tcBorders>
            <w:shd w:val="clear" w:color="auto" w:fill="CBEBF4"/>
          </w:tcPr>
          <w:p>
            <w:pPr>
              <w:spacing w:after="0"/>
              <w:rPr>
                <w:sz w:val="15"/>
                <w:szCs w:val="15"/>
                <w:color w:val="auto"/>
              </w:rPr>
            </w:pPr>
          </w:p>
        </w:tc>
        <w:tc>
          <w:tcPr>
            <w:tcW w:w="660" w:type="dxa"/>
            <w:vAlign w:val="bottom"/>
            <w:tcBorders>
              <w:top w:val="single" w:sz="8" w:color="auto"/>
            </w:tcBorders>
            <w:shd w:val="clear" w:color="auto" w:fill="CBEBF4"/>
          </w:tcPr>
          <w:p>
            <w:pPr>
              <w:jc w:val="center"/>
              <w:spacing w:after="0" w:line="176" w:lineRule="exact"/>
              <w:rPr>
                <w:sz w:val="20"/>
                <w:szCs w:val="20"/>
                <w:color w:val="auto"/>
              </w:rPr>
            </w:pPr>
            <w:r>
              <w:rPr>
                <w:rFonts w:ascii="Times New Roman" w:cs="Times New Roman" w:eastAsia="Times New Roman" w:hAnsi="Times New Roman"/>
                <w:sz w:val="17"/>
                <w:szCs w:val="17"/>
                <w:color w:val="auto"/>
              </w:rPr>
              <w:t>92%</w:t>
            </w:r>
          </w:p>
        </w:tc>
        <w:tc>
          <w:tcPr>
            <w:tcW w:w="200" w:type="dxa"/>
            <w:vAlign w:val="bottom"/>
            <w:tcBorders>
              <w:top w:val="single" w:sz="8" w:color="CBEBF4"/>
            </w:tcBorders>
            <w:shd w:val="clear" w:color="auto" w:fill="CBEBF4"/>
          </w:tcPr>
          <w:p>
            <w:pPr>
              <w:spacing w:after="0"/>
              <w:rPr>
                <w:sz w:val="15"/>
                <w:szCs w:val="15"/>
                <w:color w:val="auto"/>
              </w:rPr>
            </w:pPr>
          </w:p>
        </w:tc>
        <w:tc>
          <w:tcPr>
            <w:tcW w:w="6120" w:type="dxa"/>
            <w:vAlign w:val="bottom"/>
            <w:tcBorders>
              <w:top w:val="single" w:sz="8" w:color="auto"/>
            </w:tcBorders>
            <w:shd w:val="clear" w:color="auto" w:fill="CBEBF4"/>
          </w:tcPr>
          <w:p>
            <w:pPr>
              <w:spacing w:after="0" w:line="176" w:lineRule="exact"/>
              <w:rPr>
                <w:sz w:val="20"/>
                <w:szCs w:val="20"/>
                <w:color w:val="auto"/>
              </w:rPr>
            </w:pPr>
            <w:r>
              <w:rPr>
                <w:rFonts w:ascii="Times New Roman" w:cs="Times New Roman" w:eastAsia="Times New Roman" w:hAnsi="Times New Roman"/>
                <w:sz w:val="17"/>
                <w:szCs w:val="17"/>
                <w:color w:val="auto"/>
              </w:rPr>
              <w:t>The resource area efficiency factor is defined as the width of the collector divided by</w:t>
            </w:r>
          </w:p>
        </w:tc>
      </w:tr>
      <w:tr>
        <w:trPr>
          <w:trHeight w:val="207"/>
        </w:trPr>
        <w:tc>
          <w:tcPr>
            <w:tcW w:w="2400" w:type="dxa"/>
            <w:vAlign w:val="bottom"/>
            <w:shd w:val="clear" w:color="auto" w:fill="CBEBF4"/>
          </w:tcPr>
          <w:p>
            <w:pPr>
              <w:spacing w:after="0"/>
              <w:rPr>
                <w:sz w:val="18"/>
                <w:szCs w:val="18"/>
                <w:color w:val="auto"/>
              </w:rPr>
            </w:pPr>
          </w:p>
        </w:tc>
        <w:tc>
          <w:tcPr>
            <w:tcW w:w="240" w:type="dxa"/>
            <w:vAlign w:val="bottom"/>
            <w:shd w:val="clear" w:color="auto" w:fill="CBEBF4"/>
          </w:tcPr>
          <w:p>
            <w:pPr>
              <w:spacing w:after="0"/>
              <w:rPr>
                <w:sz w:val="18"/>
                <w:szCs w:val="18"/>
                <w:color w:val="auto"/>
              </w:rPr>
            </w:pPr>
          </w:p>
        </w:tc>
        <w:tc>
          <w:tcPr>
            <w:tcW w:w="660" w:type="dxa"/>
            <w:vAlign w:val="bottom"/>
            <w:shd w:val="clear" w:color="auto" w:fill="CBEBF4"/>
          </w:tcPr>
          <w:p>
            <w:pPr>
              <w:spacing w:after="0"/>
              <w:rPr>
                <w:sz w:val="18"/>
                <w:szCs w:val="18"/>
                <w:color w:val="auto"/>
              </w:rPr>
            </w:pPr>
          </w:p>
        </w:tc>
        <w:tc>
          <w:tcPr>
            <w:tcW w:w="63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the width of the collector path. A 0.5 m undisturbed strip is to be left either side of the</w:t>
            </w:r>
          </w:p>
        </w:tc>
      </w:tr>
      <w:tr>
        <w:trPr>
          <w:trHeight w:val="232"/>
        </w:trPr>
        <w:tc>
          <w:tcPr>
            <w:tcW w:w="2400" w:type="dxa"/>
            <w:vAlign w:val="bottom"/>
            <w:shd w:val="clear" w:color="auto" w:fill="CBEBF4"/>
          </w:tcPr>
          <w:p>
            <w:pPr>
              <w:spacing w:after="0"/>
              <w:rPr>
                <w:sz w:val="20"/>
                <w:szCs w:val="20"/>
                <w:color w:val="auto"/>
              </w:rPr>
            </w:pPr>
          </w:p>
        </w:tc>
        <w:tc>
          <w:tcPr>
            <w:tcW w:w="240" w:type="dxa"/>
            <w:vAlign w:val="bottom"/>
            <w:shd w:val="clear" w:color="auto" w:fill="CBEBF4"/>
          </w:tcPr>
          <w:p>
            <w:pPr>
              <w:spacing w:after="0"/>
              <w:rPr>
                <w:sz w:val="20"/>
                <w:szCs w:val="20"/>
                <w:color w:val="auto"/>
              </w:rPr>
            </w:pPr>
          </w:p>
        </w:tc>
        <w:tc>
          <w:tcPr>
            <w:tcW w:w="660" w:type="dxa"/>
            <w:vAlign w:val="bottom"/>
            <w:shd w:val="clear" w:color="auto" w:fill="CBEBF4"/>
          </w:tcPr>
          <w:p>
            <w:pPr>
              <w:spacing w:after="0"/>
              <w:rPr>
                <w:sz w:val="20"/>
                <w:szCs w:val="20"/>
                <w:color w:val="auto"/>
              </w:rPr>
            </w:pPr>
          </w:p>
        </w:tc>
        <w:tc>
          <w:tcPr>
            <w:tcW w:w="63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collector. For a 12 m wide collector, the resource area efficiency is calculated as 12/13.</w:t>
            </w:r>
          </w:p>
        </w:tc>
      </w:tr>
      <w:tr>
        <w:trPr>
          <w:trHeight w:val="183"/>
        </w:trPr>
        <w:tc>
          <w:tcPr>
            <w:tcW w:w="26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Collector pick-up efficiency</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90%</w:t>
            </w:r>
          </w:p>
        </w:tc>
        <w:tc>
          <w:tcPr>
            <w:tcW w:w="6320" w:type="dxa"/>
            <w:vAlign w:val="bottom"/>
            <w:gridSpan w:val="2"/>
          </w:tcPr>
          <w:p>
            <w:pPr>
              <w:ind w:left="200"/>
              <w:spacing w:after="0" w:line="183" w:lineRule="exact"/>
              <w:rPr>
                <w:sz w:val="20"/>
                <w:szCs w:val="20"/>
                <w:color w:val="auto"/>
              </w:rPr>
            </w:pPr>
            <w:r>
              <w:rPr>
                <w:rFonts w:ascii="Times New Roman" w:cs="Times New Roman" w:eastAsia="Times New Roman" w:hAnsi="Times New Roman"/>
                <w:sz w:val="17"/>
                <w:szCs w:val="17"/>
                <w:color w:val="auto"/>
              </w:rPr>
              <w:t>This is the percentage of nodule mass passed over by the collector that is picked-up up</w:t>
            </w:r>
          </w:p>
        </w:tc>
      </w:tr>
      <w:tr>
        <w:trPr>
          <w:trHeight w:val="232"/>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by the collector head.</w:t>
            </w:r>
          </w:p>
        </w:tc>
      </w:tr>
      <w:tr>
        <w:trPr>
          <w:trHeight w:val="183"/>
        </w:trPr>
        <w:tc>
          <w:tcPr>
            <w:tcW w:w="2640" w:type="dxa"/>
            <w:vAlign w:val="bottom"/>
            <w:gridSpan w:val="2"/>
            <w:shd w:val="clear" w:color="auto" w:fill="CBEBF4"/>
          </w:tcPr>
          <w:p>
            <w:pPr>
              <w:spacing w:after="0" w:line="184" w:lineRule="exact"/>
              <w:rPr>
                <w:sz w:val="20"/>
                <w:szCs w:val="20"/>
                <w:color w:val="auto"/>
              </w:rPr>
            </w:pPr>
            <w:r>
              <w:rPr>
                <w:rFonts w:ascii="Times New Roman" w:cs="Times New Roman" w:eastAsia="Times New Roman" w:hAnsi="Times New Roman"/>
                <w:sz w:val="17"/>
                <w:szCs w:val="17"/>
                <w:color w:val="auto"/>
              </w:rPr>
              <w:t>Collector underflow efficiency</w:t>
            </w:r>
          </w:p>
        </w:tc>
        <w:tc>
          <w:tcPr>
            <w:tcW w:w="660" w:type="dxa"/>
            <w:vAlign w:val="bottom"/>
            <w:shd w:val="clear" w:color="auto" w:fill="CBEBF4"/>
          </w:tcPr>
          <w:p>
            <w:pPr>
              <w:jc w:val="center"/>
              <w:spacing w:after="0" w:line="184" w:lineRule="exact"/>
              <w:rPr>
                <w:sz w:val="20"/>
                <w:szCs w:val="20"/>
                <w:color w:val="auto"/>
              </w:rPr>
            </w:pPr>
            <w:r>
              <w:rPr>
                <w:rFonts w:ascii="Times New Roman" w:cs="Times New Roman" w:eastAsia="Times New Roman" w:hAnsi="Times New Roman"/>
                <w:sz w:val="17"/>
                <w:szCs w:val="17"/>
                <w:color w:val="auto"/>
              </w:rPr>
              <w:t>95%</w:t>
            </w:r>
          </w:p>
        </w:tc>
        <w:tc>
          <w:tcPr>
            <w:tcW w:w="6320" w:type="dxa"/>
            <w:vAlign w:val="bottom"/>
            <w:gridSpan w:val="2"/>
            <w:shd w:val="clear" w:color="auto" w:fill="CBEBF4"/>
          </w:tcPr>
          <w:p>
            <w:pPr>
              <w:ind w:left="200"/>
              <w:spacing w:after="0" w:line="184" w:lineRule="exact"/>
              <w:rPr>
                <w:sz w:val="20"/>
                <w:szCs w:val="20"/>
                <w:color w:val="auto"/>
              </w:rPr>
            </w:pPr>
            <w:r>
              <w:rPr>
                <w:rFonts w:ascii="Times New Roman" w:cs="Times New Roman" w:eastAsia="Times New Roman" w:hAnsi="Times New Roman"/>
                <w:sz w:val="17"/>
                <w:szCs w:val="17"/>
                <w:color w:val="auto"/>
              </w:rPr>
              <w:t>This is the percentage of nodule mass that is picked-up up that is passed to the collector</w:t>
            </w:r>
          </w:p>
        </w:tc>
      </w:tr>
      <w:tr>
        <w:trPr>
          <w:trHeight w:val="231"/>
        </w:trPr>
        <w:tc>
          <w:tcPr>
            <w:tcW w:w="2400" w:type="dxa"/>
            <w:vAlign w:val="bottom"/>
            <w:shd w:val="clear" w:color="auto" w:fill="CBEBF4"/>
          </w:tcPr>
          <w:p>
            <w:pPr>
              <w:spacing w:after="0"/>
              <w:rPr>
                <w:sz w:val="20"/>
                <w:szCs w:val="20"/>
                <w:color w:val="auto"/>
              </w:rPr>
            </w:pPr>
          </w:p>
        </w:tc>
        <w:tc>
          <w:tcPr>
            <w:tcW w:w="240" w:type="dxa"/>
            <w:vAlign w:val="bottom"/>
            <w:shd w:val="clear" w:color="auto" w:fill="CBEBF4"/>
          </w:tcPr>
          <w:p>
            <w:pPr>
              <w:spacing w:after="0"/>
              <w:rPr>
                <w:sz w:val="20"/>
                <w:szCs w:val="20"/>
                <w:color w:val="auto"/>
              </w:rPr>
            </w:pPr>
          </w:p>
        </w:tc>
        <w:tc>
          <w:tcPr>
            <w:tcW w:w="660" w:type="dxa"/>
            <w:vAlign w:val="bottom"/>
            <w:shd w:val="clear" w:color="auto" w:fill="CBEBF4"/>
          </w:tcPr>
          <w:p>
            <w:pPr>
              <w:spacing w:after="0"/>
              <w:rPr>
                <w:sz w:val="20"/>
                <w:szCs w:val="20"/>
                <w:color w:val="auto"/>
              </w:rPr>
            </w:pPr>
          </w:p>
        </w:tc>
        <w:tc>
          <w:tcPr>
            <w:tcW w:w="63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underflow.</w:t>
            </w:r>
          </w:p>
        </w:tc>
      </w:tr>
      <w:tr>
        <w:trPr>
          <w:trHeight w:val="183"/>
        </w:trPr>
        <w:tc>
          <w:tcPr>
            <w:tcW w:w="26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Nodule attrition</w:t>
            </w:r>
          </w:p>
        </w:tc>
        <w:tc>
          <w:tcPr>
            <w:tcW w:w="6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0%</w:t>
            </w:r>
          </w:p>
        </w:tc>
        <w:tc>
          <w:tcPr>
            <w:tcW w:w="6320" w:type="dxa"/>
            <w:vAlign w:val="bottom"/>
            <w:gridSpan w:val="2"/>
          </w:tcPr>
          <w:p>
            <w:pPr>
              <w:ind w:left="200"/>
              <w:spacing w:after="0" w:line="183" w:lineRule="exact"/>
              <w:rPr>
                <w:sz w:val="20"/>
                <w:szCs w:val="20"/>
                <w:color w:val="auto"/>
              </w:rPr>
            </w:pPr>
            <w:r>
              <w:rPr>
                <w:rFonts w:ascii="Times New Roman" w:cs="Times New Roman" w:eastAsia="Times New Roman" w:hAnsi="Times New Roman"/>
                <w:sz w:val="17"/>
                <w:szCs w:val="17"/>
                <w:color w:val="auto"/>
              </w:rPr>
              <w:t>This is the percentage of mass of nodule lost through attrition from the seafloor to trans-</w:t>
            </w:r>
          </w:p>
        </w:tc>
      </w:tr>
      <w:tr>
        <w:trPr>
          <w:trHeight w:val="231"/>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shipment. It is included in the trans-shipment efficiency.</w:t>
            </w:r>
          </w:p>
        </w:tc>
      </w:tr>
      <w:tr>
        <w:trPr>
          <w:trHeight w:val="183"/>
        </w:trPr>
        <w:tc>
          <w:tcPr>
            <w:tcW w:w="2640" w:type="dxa"/>
            <w:vAlign w:val="bottom"/>
            <w:gridSpan w:val="2"/>
            <w:shd w:val="clear" w:color="auto" w:fill="CBEBF4"/>
          </w:tcPr>
          <w:p>
            <w:pPr>
              <w:spacing w:after="0" w:line="183" w:lineRule="exact"/>
              <w:rPr>
                <w:sz w:val="20"/>
                <w:szCs w:val="20"/>
                <w:color w:val="auto"/>
              </w:rPr>
            </w:pPr>
            <w:r>
              <w:rPr>
                <w:rFonts w:ascii="Times New Roman" w:cs="Times New Roman" w:eastAsia="Times New Roman" w:hAnsi="Times New Roman"/>
                <w:sz w:val="17"/>
                <w:szCs w:val="17"/>
                <w:color w:val="auto"/>
              </w:rPr>
              <w:t>Trans-shipment efficiency</w:t>
            </w:r>
          </w:p>
        </w:tc>
        <w:tc>
          <w:tcPr>
            <w:tcW w:w="660" w:type="dxa"/>
            <w:vAlign w:val="bottom"/>
            <w:shd w:val="clear" w:color="auto" w:fill="CBEBF4"/>
          </w:tcPr>
          <w:p>
            <w:pPr>
              <w:jc w:val="center"/>
              <w:spacing w:after="0" w:line="183" w:lineRule="exact"/>
              <w:rPr>
                <w:sz w:val="20"/>
                <w:szCs w:val="20"/>
                <w:color w:val="auto"/>
              </w:rPr>
            </w:pPr>
            <w:r>
              <w:rPr>
                <w:rFonts w:ascii="Times New Roman" w:cs="Times New Roman" w:eastAsia="Times New Roman" w:hAnsi="Times New Roman"/>
                <w:sz w:val="17"/>
                <w:szCs w:val="17"/>
                <w:color w:val="auto"/>
              </w:rPr>
              <w:t>93%</w:t>
            </w:r>
          </w:p>
        </w:tc>
        <w:tc>
          <w:tcPr>
            <w:tcW w:w="6320" w:type="dxa"/>
            <w:vAlign w:val="bottom"/>
            <w:gridSpan w:val="2"/>
            <w:shd w:val="clear" w:color="auto" w:fill="CBEBF4"/>
          </w:tcPr>
          <w:p>
            <w:pPr>
              <w:ind w:left="200"/>
              <w:spacing w:after="0" w:line="183" w:lineRule="exact"/>
              <w:rPr>
                <w:sz w:val="20"/>
                <w:szCs w:val="20"/>
                <w:color w:val="auto"/>
              </w:rPr>
            </w:pPr>
            <w:r>
              <w:rPr>
                <w:rFonts w:ascii="Times New Roman" w:cs="Times New Roman" w:eastAsia="Times New Roman" w:hAnsi="Times New Roman"/>
                <w:sz w:val="17"/>
                <w:szCs w:val="17"/>
                <w:color w:val="auto"/>
              </w:rPr>
              <w:t>This is the percentage of nodule mass transferred from the production vessel to trans-</w:t>
            </w:r>
          </w:p>
        </w:tc>
      </w:tr>
      <w:tr>
        <w:trPr>
          <w:trHeight w:val="232"/>
        </w:trPr>
        <w:tc>
          <w:tcPr>
            <w:tcW w:w="2400" w:type="dxa"/>
            <w:vAlign w:val="bottom"/>
            <w:shd w:val="clear" w:color="auto" w:fill="CBEBF4"/>
          </w:tcPr>
          <w:p>
            <w:pPr>
              <w:spacing w:after="0"/>
              <w:rPr>
                <w:sz w:val="20"/>
                <w:szCs w:val="20"/>
                <w:color w:val="auto"/>
              </w:rPr>
            </w:pPr>
          </w:p>
        </w:tc>
        <w:tc>
          <w:tcPr>
            <w:tcW w:w="240" w:type="dxa"/>
            <w:vAlign w:val="bottom"/>
            <w:shd w:val="clear" w:color="auto" w:fill="CBEBF4"/>
          </w:tcPr>
          <w:p>
            <w:pPr>
              <w:spacing w:after="0"/>
              <w:rPr>
                <w:sz w:val="20"/>
                <w:szCs w:val="20"/>
                <w:color w:val="auto"/>
              </w:rPr>
            </w:pPr>
          </w:p>
        </w:tc>
        <w:tc>
          <w:tcPr>
            <w:tcW w:w="660" w:type="dxa"/>
            <w:vAlign w:val="bottom"/>
            <w:shd w:val="clear" w:color="auto" w:fill="CBEBF4"/>
          </w:tcPr>
          <w:p>
            <w:pPr>
              <w:spacing w:after="0"/>
              <w:rPr>
                <w:sz w:val="20"/>
                <w:szCs w:val="20"/>
                <w:color w:val="auto"/>
              </w:rPr>
            </w:pPr>
          </w:p>
        </w:tc>
        <w:tc>
          <w:tcPr>
            <w:tcW w:w="63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shipment.</w:t>
            </w:r>
          </w:p>
        </w:tc>
      </w:tr>
      <w:tr>
        <w:trPr>
          <w:trHeight w:val="183"/>
        </w:trPr>
        <w:tc>
          <w:tcPr>
            <w:tcW w:w="264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Overall collector efficiency</w:t>
            </w:r>
          </w:p>
        </w:tc>
        <w:tc>
          <w:tcPr>
            <w:tcW w:w="66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color w:val="auto"/>
              </w:rPr>
              <w:t>80%</w:t>
            </w:r>
          </w:p>
        </w:tc>
        <w:tc>
          <w:tcPr>
            <w:tcW w:w="6320" w:type="dxa"/>
            <w:vAlign w:val="bottom"/>
            <w:gridSpan w:val="2"/>
          </w:tcPr>
          <w:p>
            <w:pPr>
              <w:ind w:left="200"/>
              <w:spacing w:after="0" w:line="184" w:lineRule="exact"/>
              <w:rPr>
                <w:sz w:val="20"/>
                <w:szCs w:val="20"/>
                <w:color w:val="auto"/>
              </w:rPr>
            </w:pPr>
            <w:r>
              <w:rPr>
                <w:rFonts w:ascii="Times New Roman" w:cs="Times New Roman" w:eastAsia="Times New Roman" w:hAnsi="Times New Roman"/>
                <w:sz w:val="17"/>
                <w:szCs w:val="17"/>
                <w:color w:val="auto"/>
              </w:rPr>
              <w:t>This is the percentage of nodule mass passed over by the collector that is delivered to</w:t>
            </w:r>
          </w:p>
        </w:tc>
      </w:tr>
      <w:tr>
        <w:trPr>
          <w:trHeight w:val="207"/>
        </w:trPr>
        <w:tc>
          <w:tcPr>
            <w:tcW w:w="2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the transport vessel. It includes losses in the pick-up, overflow, attrition and trans-</w:t>
            </w:r>
          </w:p>
        </w:tc>
      </w:tr>
      <w:tr>
        <w:trPr>
          <w:trHeight w:val="231"/>
        </w:trPr>
        <w:tc>
          <w:tcPr>
            <w:tcW w:w="2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shipment (90%*95%*100%*93%).</w:t>
            </w:r>
          </w:p>
        </w:tc>
      </w:tr>
      <w:tr>
        <w:trPr>
          <w:trHeight w:val="183"/>
        </w:trPr>
        <w:tc>
          <w:tcPr>
            <w:tcW w:w="2640" w:type="dxa"/>
            <w:vAlign w:val="bottom"/>
            <w:gridSpan w:val="2"/>
            <w:shd w:val="clear" w:color="auto" w:fill="CBEBF4"/>
          </w:tcPr>
          <w:p>
            <w:pPr>
              <w:spacing w:after="0" w:line="183" w:lineRule="exact"/>
              <w:rPr>
                <w:sz w:val="20"/>
                <w:szCs w:val="20"/>
                <w:color w:val="auto"/>
              </w:rPr>
            </w:pPr>
            <w:r>
              <w:rPr>
                <w:rFonts w:ascii="Times New Roman" w:cs="Times New Roman" w:eastAsia="Times New Roman" w:hAnsi="Times New Roman"/>
                <w:sz w:val="17"/>
                <w:szCs w:val="17"/>
                <w:color w:val="auto"/>
              </w:rPr>
              <w:t>Overall resource recovery factor</w:t>
            </w:r>
          </w:p>
        </w:tc>
        <w:tc>
          <w:tcPr>
            <w:tcW w:w="660" w:type="dxa"/>
            <w:vAlign w:val="bottom"/>
            <w:shd w:val="clear" w:color="auto" w:fill="CBEBF4"/>
          </w:tcPr>
          <w:p>
            <w:pPr>
              <w:jc w:val="center"/>
              <w:spacing w:after="0" w:line="183" w:lineRule="exact"/>
              <w:rPr>
                <w:sz w:val="20"/>
                <w:szCs w:val="20"/>
                <w:color w:val="auto"/>
              </w:rPr>
            </w:pPr>
            <w:r>
              <w:rPr>
                <w:rFonts w:ascii="Times New Roman" w:cs="Times New Roman" w:eastAsia="Times New Roman" w:hAnsi="Times New Roman"/>
                <w:sz w:val="17"/>
                <w:szCs w:val="17"/>
                <w:color w:val="auto"/>
              </w:rPr>
              <w:t>73%</w:t>
            </w:r>
          </w:p>
        </w:tc>
        <w:tc>
          <w:tcPr>
            <w:tcW w:w="6320" w:type="dxa"/>
            <w:vAlign w:val="bottom"/>
            <w:gridSpan w:val="2"/>
            <w:shd w:val="clear" w:color="auto" w:fill="CBEBF4"/>
          </w:tcPr>
          <w:p>
            <w:pPr>
              <w:ind w:left="200"/>
              <w:spacing w:after="0" w:line="183" w:lineRule="exact"/>
              <w:rPr>
                <w:sz w:val="20"/>
                <w:szCs w:val="20"/>
                <w:color w:val="auto"/>
              </w:rPr>
            </w:pPr>
            <w:r>
              <w:rPr>
                <w:rFonts w:ascii="Times New Roman" w:cs="Times New Roman" w:eastAsia="Times New Roman" w:hAnsi="Times New Roman"/>
                <w:sz w:val="17"/>
                <w:szCs w:val="17"/>
                <w:color w:val="auto"/>
              </w:rPr>
              <w:t>Is the product of the resource area efficiency * collector pick-up efficiency * collector</w:t>
            </w:r>
          </w:p>
        </w:tc>
      </w:tr>
      <w:tr>
        <w:trPr>
          <w:trHeight w:val="207"/>
        </w:trPr>
        <w:tc>
          <w:tcPr>
            <w:tcW w:w="2400" w:type="dxa"/>
            <w:vAlign w:val="bottom"/>
            <w:shd w:val="clear" w:color="auto" w:fill="CBEBF4"/>
          </w:tcPr>
          <w:p>
            <w:pPr>
              <w:spacing w:after="0"/>
              <w:rPr>
                <w:sz w:val="18"/>
                <w:szCs w:val="18"/>
                <w:color w:val="auto"/>
              </w:rPr>
            </w:pPr>
          </w:p>
        </w:tc>
        <w:tc>
          <w:tcPr>
            <w:tcW w:w="240" w:type="dxa"/>
            <w:vAlign w:val="bottom"/>
            <w:shd w:val="clear" w:color="auto" w:fill="CBEBF4"/>
          </w:tcPr>
          <w:p>
            <w:pPr>
              <w:spacing w:after="0"/>
              <w:rPr>
                <w:sz w:val="18"/>
                <w:szCs w:val="18"/>
                <w:color w:val="auto"/>
              </w:rPr>
            </w:pPr>
          </w:p>
        </w:tc>
        <w:tc>
          <w:tcPr>
            <w:tcW w:w="660" w:type="dxa"/>
            <w:vAlign w:val="bottom"/>
            <w:shd w:val="clear" w:color="auto" w:fill="CBEBF4"/>
          </w:tcPr>
          <w:p>
            <w:pPr>
              <w:spacing w:after="0"/>
              <w:rPr>
                <w:sz w:val="18"/>
                <w:szCs w:val="18"/>
                <w:color w:val="auto"/>
              </w:rPr>
            </w:pPr>
          </w:p>
        </w:tc>
        <w:tc>
          <w:tcPr>
            <w:tcW w:w="63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under flow efficiency * (1 — nodule attrition (%)), * trans-shipment efficiency</w:t>
            </w:r>
          </w:p>
        </w:tc>
      </w:tr>
      <w:tr>
        <w:trPr>
          <w:trHeight w:val="231"/>
        </w:trPr>
        <w:tc>
          <w:tcPr>
            <w:tcW w:w="2400" w:type="dxa"/>
            <w:vAlign w:val="bottom"/>
            <w:shd w:val="clear" w:color="auto" w:fill="CBEBF4"/>
          </w:tcPr>
          <w:p>
            <w:pPr>
              <w:spacing w:after="0"/>
              <w:rPr>
                <w:sz w:val="20"/>
                <w:szCs w:val="20"/>
                <w:color w:val="auto"/>
              </w:rPr>
            </w:pPr>
          </w:p>
        </w:tc>
        <w:tc>
          <w:tcPr>
            <w:tcW w:w="240" w:type="dxa"/>
            <w:vAlign w:val="bottom"/>
            <w:shd w:val="clear" w:color="auto" w:fill="CBEBF4"/>
          </w:tcPr>
          <w:p>
            <w:pPr>
              <w:spacing w:after="0"/>
              <w:rPr>
                <w:sz w:val="20"/>
                <w:szCs w:val="20"/>
                <w:color w:val="auto"/>
              </w:rPr>
            </w:pPr>
          </w:p>
        </w:tc>
        <w:tc>
          <w:tcPr>
            <w:tcW w:w="660" w:type="dxa"/>
            <w:vAlign w:val="bottom"/>
            <w:shd w:val="clear" w:color="auto" w:fill="CBEBF4"/>
          </w:tcPr>
          <w:p>
            <w:pPr>
              <w:spacing w:after="0"/>
              <w:rPr>
                <w:sz w:val="20"/>
                <w:szCs w:val="20"/>
                <w:color w:val="auto"/>
              </w:rPr>
            </w:pPr>
          </w:p>
        </w:tc>
        <w:tc>
          <w:tcPr>
            <w:tcW w:w="63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(92%*90%*95%*100%*93%).</w:t>
            </w:r>
          </w:p>
        </w:tc>
      </w:tr>
    </w:tbl>
    <w:p>
      <w:pPr>
        <w:spacing w:after="0" w:line="183" w:lineRule="exact"/>
        <w:rPr>
          <w:sz w:val="20"/>
          <w:szCs w:val="20"/>
          <w:color w:val="auto"/>
        </w:rPr>
      </w:pPr>
    </w:p>
    <w:p>
      <w:pPr>
        <w:ind w:right="880" w:firstLine="311"/>
        <w:spacing w:after="0" w:line="509" w:lineRule="auto"/>
        <w:rPr>
          <w:sz w:val="20"/>
          <w:szCs w:val="20"/>
          <w:color w:val="auto"/>
        </w:rPr>
      </w:pPr>
      <w:r>
        <w:rPr>
          <w:rFonts w:ascii="Times New Roman" w:cs="Times New Roman" w:eastAsia="Times New Roman" w:hAnsi="Times New Roman"/>
          <w:sz w:val="17"/>
          <w:szCs w:val="17"/>
          <w:color w:val="auto"/>
        </w:rPr>
        <w:t xml:space="preserve">For more information on polymetallic nodule collection methods, see Section 13 of the NORI Technical Report Summary. </w:t>
      </w:r>
      <w:r>
        <w:rPr>
          <w:rFonts w:ascii="Times New Roman" w:cs="Times New Roman" w:eastAsia="Times New Roman" w:hAnsi="Times New Roman"/>
          <w:sz w:val="17"/>
          <w:szCs w:val="17"/>
          <w:b w:val="1"/>
          <w:bCs w:val="1"/>
          <w:i w:val="1"/>
          <w:iCs w:val="1"/>
          <w:color w:val="auto"/>
        </w:rPr>
        <w:t>Mineral processing and metallurgical testing</w:t>
      </w:r>
    </w:p>
    <w:p>
      <w:pPr>
        <w:jc w:val="both"/>
        <w:ind w:right="20" w:firstLine="311"/>
        <w:spacing w:after="0" w:line="269" w:lineRule="auto"/>
        <w:rPr>
          <w:sz w:val="20"/>
          <w:szCs w:val="20"/>
          <w:color w:val="auto"/>
        </w:rPr>
      </w:pPr>
      <w:r>
        <w:rPr>
          <w:rFonts w:ascii="Times New Roman" w:cs="Times New Roman" w:eastAsia="Times New Roman" w:hAnsi="Times New Roman"/>
          <w:sz w:val="17"/>
          <w:szCs w:val="17"/>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60" w:lineRule="exact"/>
        <w:rPr>
          <w:sz w:val="20"/>
          <w:szCs w:val="20"/>
          <w:color w:val="auto"/>
        </w:rPr>
      </w:pPr>
    </w:p>
    <w:p>
      <w:pPr>
        <w:jc w:val="both"/>
        <w:ind w:right="20" w:firstLine="312"/>
        <w:spacing w:after="0" w:line="269" w:lineRule="auto"/>
        <w:rPr>
          <w:sz w:val="20"/>
          <w:szCs w:val="20"/>
          <w:color w:val="auto"/>
        </w:rPr>
      </w:pPr>
      <w:r>
        <w:rPr>
          <w:rFonts w:ascii="Times New Roman" w:cs="Times New Roman" w:eastAsia="Times New Roman" w:hAnsi="Times New Roman"/>
          <w:sz w:val="17"/>
          <w:szCs w:val="17"/>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Four RKEF lines and two hydrometallurgical refineries are expected to be required to meet our expected production demand.</w:t>
      </w:r>
    </w:p>
    <w:p>
      <w:pPr>
        <w:spacing w:after="0" w:line="220" w:lineRule="exact"/>
        <w:rPr>
          <w:sz w:val="20"/>
          <w:szCs w:val="20"/>
          <w:color w:val="auto"/>
        </w:rPr>
      </w:pPr>
    </w:p>
    <w:p>
      <w:pPr>
        <w:jc w:val="both"/>
        <w:ind w:right="20" w:firstLine="311"/>
        <w:spacing w:after="0" w:line="269" w:lineRule="auto"/>
        <w:rPr>
          <w:sz w:val="20"/>
          <w:szCs w:val="20"/>
          <w:color w:val="auto"/>
        </w:rPr>
      </w:pPr>
      <w:r>
        <w:rPr>
          <w:rFonts w:ascii="Times New Roman" w:cs="Times New Roman" w:eastAsia="Times New Roman" w:hAnsi="Times New Roman"/>
          <w:sz w:val="17"/>
          <w:szCs w:val="17"/>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ectPr>
          <w:pgSz w:w="12240" w:h="15840" w:orient="portrait"/>
          <w:cols w:equalWidth="0" w:num="1">
            <w:col w:w="9620"/>
          </w:cols>
          <w:pgMar w:left="1320" w:top="1327" w:right="1300" w:bottom="1440" w:gutter="0" w:footer="0" w:header="0"/>
        </w:sect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20"/>
          </w:cols>
          <w:pgMar w:left="1320" w:top="1327" w:right="1300" w:bottom="1440" w:gutter="0" w:footer="0" w:header="0"/>
          <w:type w:val="continuous"/>
        </w:sectPr>
      </w:pPr>
    </w:p>
    <w:bookmarkStart w:id="89" w:name="page90"/>
    <w:bookmarkEnd w:id="89"/>
    <w:p>
      <w:pPr>
        <w:jc w:val="both"/>
        <w:ind w:left="20"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61" w:lineRule="exact"/>
        <w:rPr>
          <w:sz w:val="20"/>
          <w:szCs w:val="20"/>
          <w:color w:val="auto"/>
        </w:rPr>
      </w:pPr>
    </w:p>
    <w:p>
      <w:pPr>
        <w:jc w:val="both"/>
        <w:ind w:left="20" w:firstLine="311"/>
        <w:spacing w:after="0" w:line="264" w:lineRule="auto"/>
        <w:rPr>
          <w:sz w:val="20"/>
          <w:szCs w:val="20"/>
          <w:color w:val="auto"/>
        </w:rPr>
      </w:pPr>
      <w:r>
        <w:rPr>
          <w:rFonts w:ascii="Times New Roman" w:cs="Times New Roman" w:eastAsia="Times New Roman" w:hAnsi="Times New Roman"/>
          <w:sz w:val="17"/>
          <w:szCs w:val="17"/>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average targeted processing rate for the new processing plant at full capacity is expected to be 6.4 Mtpa of nodules (dry basis).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The location and host country of the processing operation has not yet been determined. Engineering design has not yet been undertaken.</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Expected metallurgical recoveries are summarized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Nickel</w:t>
            </w:r>
          </w:p>
        </w:tc>
        <w:tc>
          <w:tcPr>
            <w:tcW w:w="118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3"/>
              </w:rPr>
              <w:t>Cobalt</w:t>
            </w:r>
          </w:p>
        </w:tc>
        <w:tc>
          <w:tcPr>
            <w:tcW w:w="1200" w:type="dxa"/>
            <w:vAlign w:val="bottom"/>
            <w:gridSpan w:val="2"/>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0" w:type="dxa"/>
            <w:vAlign w:val="bottom"/>
          </w:tcPr>
          <w:p>
            <w:pPr>
              <w:spacing w:after="0"/>
              <w:rPr>
                <w:sz w:val="1"/>
                <w:szCs w:val="1"/>
                <w:color w:val="auto"/>
              </w:rPr>
            </w:pPr>
          </w:p>
        </w:tc>
      </w:tr>
      <w:tr>
        <w:trPr>
          <w:trHeight w:val="14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Process Step</w:t>
            </w:r>
          </w:p>
        </w:tc>
        <w:tc>
          <w:tcPr>
            <w:tcW w:w="220" w:type="dxa"/>
            <w:vAlign w:val="bottom"/>
          </w:tcPr>
          <w:p>
            <w:pPr>
              <w:spacing w:after="0"/>
              <w:rPr>
                <w:sz w:val="12"/>
                <w:szCs w:val="12"/>
                <w:color w:val="auto"/>
              </w:rPr>
            </w:pPr>
          </w:p>
        </w:tc>
        <w:tc>
          <w:tcPr>
            <w:tcW w:w="1180" w:type="dxa"/>
            <w:vAlign w:val="bottom"/>
            <w:gridSpan w:val="2"/>
          </w:tcPr>
          <w:p>
            <w:pPr>
              <w:jc w:val="center"/>
              <w:ind w:right="154"/>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Recovery</w:t>
            </w:r>
          </w:p>
        </w:tc>
        <w:tc>
          <w:tcPr>
            <w:tcW w:w="1180" w:type="dxa"/>
            <w:vAlign w:val="bottom"/>
            <w:gridSpan w:val="2"/>
          </w:tcPr>
          <w:p>
            <w:pPr>
              <w:jc w:val="center"/>
              <w:ind w:right="154"/>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Recovery</w:t>
            </w:r>
          </w:p>
        </w:tc>
        <w:tc>
          <w:tcPr>
            <w:tcW w:w="1200" w:type="dxa"/>
            <w:vAlign w:val="bottom"/>
            <w:gridSpan w:val="2"/>
          </w:tcPr>
          <w:p>
            <w:pPr>
              <w:jc w:val="right"/>
              <w:ind w:right="354"/>
              <w:spacing w:after="0" w:line="143" w:lineRule="exact"/>
              <w:rPr>
                <w:sz w:val="20"/>
                <w:szCs w:val="20"/>
                <w:color w:val="auto"/>
              </w:rPr>
            </w:pPr>
            <w:r>
              <w:rPr>
                <w:rFonts w:ascii="Times New Roman" w:cs="Times New Roman" w:eastAsia="Times New Roman" w:hAnsi="Times New Roman"/>
                <w:sz w:val="14"/>
                <w:szCs w:val="14"/>
                <w:b w:val="1"/>
                <w:bCs w:val="1"/>
                <w:color w:val="auto"/>
              </w:rPr>
              <w:t>Recovery</w:t>
            </w:r>
          </w:p>
        </w:tc>
        <w:tc>
          <w:tcPr>
            <w:tcW w:w="0" w:type="dxa"/>
            <w:vAlign w:val="bottom"/>
          </w:tcPr>
          <w:p>
            <w:pPr>
              <w:spacing w:after="0"/>
              <w:rPr>
                <w:sz w:val="1"/>
                <w:szCs w:val="1"/>
                <w:color w:val="auto"/>
              </w:rPr>
            </w:pPr>
          </w:p>
        </w:tc>
      </w:tr>
      <w:tr>
        <w:trPr>
          <w:trHeight w:val="168"/>
        </w:trPr>
        <w:tc>
          <w:tcPr>
            <w:tcW w:w="5840" w:type="dxa"/>
            <w:vAlign w:val="bottom"/>
            <w:vMerge w:val="continue"/>
          </w:tcPr>
          <w:p>
            <w:pPr>
              <w:spacing w:after="0"/>
              <w:rPr>
                <w:sz w:val="14"/>
                <w:szCs w:val="14"/>
                <w:color w:val="auto"/>
              </w:rPr>
            </w:pPr>
          </w:p>
        </w:tc>
        <w:tc>
          <w:tcPr>
            <w:tcW w:w="1180" w:type="dxa"/>
            <w:vAlign w:val="bottom"/>
            <w:gridSpan w:val="2"/>
          </w:tcPr>
          <w:p>
            <w:pPr>
              <w:jc w:val="center"/>
              <w:ind w:left="158"/>
              <w:spacing w:after="0"/>
              <w:rPr>
                <w:sz w:val="20"/>
                <w:szCs w:val="20"/>
                <w:color w:val="auto"/>
              </w:rPr>
            </w:pPr>
            <w:r>
              <w:rPr>
                <w:rFonts w:ascii="Times New Roman" w:cs="Times New Roman" w:eastAsia="Times New Roman" w:hAnsi="Times New Roman"/>
                <w:sz w:val="14"/>
                <w:szCs w:val="14"/>
                <w:b w:val="1"/>
                <w:bCs w:val="1"/>
                <w:color w:val="auto"/>
                <w:w w:val="94"/>
              </w:rPr>
              <w:t>(%)</w:t>
            </w: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w:t>
            </w:r>
          </w:p>
        </w:tc>
        <w:tc>
          <w:tcPr>
            <w:tcW w:w="22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840" w:type="dxa"/>
            <w:vAlign w:val="bottom"/>
            <w:tcBorders>
              <w:top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Final matte</w:t>
            </w:r>
          </w:p>
        </w:tc>
        <w:tc>
          <w:tcPr>
            <w:tcW w:w="220" w:type="dxa"/>
            <w:vAlign w:val="bottom"/>
            <w:tcBorders>
              <w:top w:val="single" w:sz="8" w:color="CBEBF4"/>
            </w:tcBorders>
            <w:shd w:val="clear" w:color="auto" w:fill="CBEBF4"/>
          </w:tcPr>
          <w:p>
            <w:pPr>
              <w:spacing w:after="0"/>
              <w:rPr>
                <w:sz w:val="17"/>
                <w:szCs w:val="17"/>
                <w:color w:val="auto"/>
              </w:rPr>
            </w:pP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20" w:type="dxa"/>
            <w:vAlign w:val="bottom"/>
            <w:tcBorders>
              <w:top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220" w:type="dxa"/>
            <w:vAlign w:val="bottom"/>
            <w:tcBorders>
              <w:top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240" w:type="dxa"/>
            <w:vAlign w:val="bottom"/>
            <w:tcBorders>
              <w:top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7"/>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Hydrometallurgical products before recycle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96.2 %</w:t>
            </w:r>
          </w:p>
        </w:tc>
        <w:tc>
          <w:tcPr>
            <w:tcW w:w="0" w:type="dxa"/>
            <w:vAlign w:val="bottom"/>
          </w:tcPr>
          <w:p>
            <w:pPr>
              <w:spacing w:after="0"/>
              <w:rPr>
                <w:sz w:val="1"/>
                <w:szCs w:val="1"/>
                <w:color w:val="auto"/>
              </w:rPr>
            </w:pPr>
          </w:p>
        </w:tc>
      </w:tr>
      <w:tr>
        <w:trPr>
          <w:trHeight w:val="207"/>
        </w:trPr>
        <w:tc>
          <w:tcPr>
            <w:tcW w:w="584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Recycled residue</w:t>
            </w:r>
          </w:p>
        </w:tc>
        <w:tc>
          <w:tcPr>
            <w:tcW w:w="11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1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77.4 %</w:t>
            </w:r>
          </w:p>
        </w:tc>
        <w:tc>
          <w:tcPr>
            <w:tcW w:w="120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86.5 %</w:t>
            </w:r>
          </w:p>
        </w:tc>
        <w:tc>
          <w:tcPr>
            <w:tcW w:w="0" w:type="dxa"/>
            <w:vAlign w:val="bottom"/>
          </w:tcPr>
          <w:p>
            <w:pPr>
              <w:spacing w:after="0"/>
              <w:rPr>
                <w:sz w:val="1"/>
                <w:szCs w:val="1"/>
                <w:color w:val="auto"/>
              </w:rPr>
            </w:pPr>
          </w:p>
        </w:tc>
      </w:tr>
      <w:tr>
        <w:trPr>
          <w:trHeight w:val="232"/>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Overall recovery</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77.2 %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86.2 %</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20" w:firstLine="310"/>
        <w:spacing w:after="0" w:line="276" w:lineRule="auto"/>
        <w:rPr>
          <w:sz w:val="20"/>
          <w:szCs w:val="20"/>
          <w:color w:val="auto"/>
        </w:rPr>
      </w:pPr>
      <w:r>
        <w:rPr>
          <w:rFonts w:ascii="Times New Roman" w:cs="Times New Roman" w:eastAsia="Times New Roman" w:hAnsi="Times New Roman"/>
          <w:sz w:val="17"/>
          <w:szCs w:val="17"/>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55" w:lineRule="exact"/>
        <w:rPr>
          <w:sz w:val="20"/>
          <w:szCs w:val="20"/>
          <w:color w:val="auto"/>
        </w:rPr>
      </w:pPr>
    </w:p>
    <w:p>
      <w:pPr>
        <w:ind w:left="20" w:right="520" w:firstLine="311"/>
        <w:spacing w:after="0" w:line="509" w:lineRule="auto"/>
        <w:rPr>
          <w:sz w:val="20"/>
          <w:szCs w:val="20"/>
          <w:color w:val="auto"/>
        </w:rPr>
      </w:pPr>
      <w:r>
        <w:rPr>
          <w:rFonts w:ascii="Times New Roman" w:cs="Times New Roman" w:eastAsia="Times New Roman" w:hAnsi="Times New Roman"/>
          <w:sz w:val="17"/>
          <w:szCs w:val="17"/>
          <w:color w:val="auto"/>
        </w:rPr>
        <w:t xml:space="preserve">For more information on mineral processing and metallurgical testing, see Section 14 of the NORI Technical Report Summary. </w:t>
      </w:r>
      <w:r>
        <w:rPr>
          <w:rFonts w:ascii="Times New Roman" w:cs="Times New Roman" w:eastAsia="Times New Roman" w:hAnsi="Times New Roman"/>
          <w:sz w:val="17"/>
          <w:szCs w:val="17"/>
          <w:b w:val="1"/>
          <w:bCs w:val="1"/>
          <w:i w:val="1"/>
          <w:iCs w:val="1"/>
          <w:color w:val="auto"/>
        </w:rPr>
        <w:t>Environmental studies, permitting, community, or social impact</w:t>
      </w:r>
    </w:p>
    <w:p>
      <w:pPr>
        <w:jc w:val="both"/>
        <w:ind w:left="20" w:firstLine="311"/>
        <w:spacing w:after="0" w:line="276" w:lineRule="auto"/>
        <w:rPr>
          <w:sz w:val="20"/>
          <w:szCs w:val="20"/>
          <w:color w:val="auto"/>
        </w:rPr>
      </w:pPr>
      <w:r>
        <w:rPr>
          <w:rFonts w:ascii="Times New Roman" w:cs="Times New Roman" w:eastAsia="Times New Roman" w:hAnsi="Times New Roman"/>
          <w:sz w:val="17"/>
          <w:szCs w:val="17"/>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55" w:lineRule="exact"/>
        <w:rPr>
          <w:sz w:val="20"/>
          <w:szCs w:val="20"/>
          <w:color w:val="auto"/>
        </w:rPr>
      </w:pPr>
    </w:p>
    <w:p>
      <w:pPr>
        <w:jc w:val="both"/>
        <w:ind w:left="20" w:firstLine="311"/>
        <w:spacing w:after="0" w:line="276" w:lineRule="auto"/>
        <w:rPr>
          <w:sz w:val="20"/>
          <w:szCs w:val="20"/>
          <w:color w:val="auto"/>
        </w:rPr>
      </w:pPr>
      <w:r>
        <w:rPr>
          <w:rFonts w:ascii="Times New Roman" w:cs="Times New Roman" w:eastAsia="Times New Roman" w:hAnsi="Times New Roman"/>
          <w:sz w:val="17"/>
          <w:szCs w:val="17"/>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55" w:lineRule="exact"/>
        <w:rPr>
          <w:sz w:val="20"/>
          <w:szCs w:val="20"/>
          <w:color w:val="auto"/>
        </w:rPr>
      </w:pPr>
    </w:p>
    <w:p>
      <w:pPr>
        <w:jc w:val="both"/>
        <w:ind w:left="20" w:firstLine="311"/>
        <w:spacing w:after="0" w:line="276" w:lineRule="auto"/>
        <w:rPr>
          <w:sz w:val="20"/>
          <w:szCs w:val="20"/>
          <w:color w:val="auto"/>
        </w:rPr>
      </w:pPr>
      <w:r>
        <w:rPr>
          <w:rFonts w:ascii="Times New Roman" w:cs="Times New Roman" w:eastAsia="Times New Roman" w:hAnsi="Times New Roman"/>
          <w:sz w:val="17"/>
          <w:szCs w:val="17"/>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55" w:lineRule="exact"/>
        <w:rPr>
          <w:sz w:val="20"/>
          <w:szCs w:val="20"/>
          <w:color w:val="auto"/>
        </w:rPr>
      </w:pPr>
    </w:p>
    <w:p>
      <w:pPr>
        <w:jc w:val="both"/>
        <w:ind w:left="20" w:firstLine="310"/>
        <w:spacing w:after="0" w:line="276" w:lineRule="auto"/>
        <w:rPr>
          <w:sz w:val="20"/>
          <w:szCs w:val="20"/>
          <w:color w:val="auto"/>
        </w:rPr>
      </w:pPr>
      <w:r>
        <w:rPr>
          <w:rFonts w:ascii="Times New Roman" w:cs="Times New Roman" w:eastAsia="Times New Roman" w:hAnsi="Times New Roman"/>
          <w:sz w:val="17"/>
          <w:szCs w:val="17"/>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55" w:lineRule="exact"/>
        <w:rPr>
          <w:sz w:val="20"/>
          <w:szCs w:val="20"/>
          <w:color w:val="auto"/>
        </w:rPr>
      </w:pPr>
    </w:p>
    <w:p>
      <w:pPr>
        <w:jc w:val="both"/>
        <w:ind w:left="20" w:firstLine="312"/>
        <w:spacing w:after="0" w:line="269" w:lineRule="auto"/>
        <w:rPr>
          <w:sz w:val="20"/>
          <w:szCs w:val="20"/>
          <w:color w:val="auto"/>
        </w:rPr>
      </w:pPr>
      <w:r>
        <w:rPr>
          <w:rFonts w:ascii="Times New Roman" w:cs="Times New Roman" w:eastAsia="Times New Roman" w:hAnsi="Times New Roman"/>
          <w:sz w:val="17"/>
          <w:szCs w:val="17"/>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360045</wp:posOffset>
                </wp:positionV>
                <wp:extent cx="6110605" cy="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35pt" to="481.55pt,28.35pt" o:allowincell="f" strokecolor="#000000" strokeweight="1.2956pt"/>
            </w:pict>
          </mc:Fallback>
        </mc:AlternateContent>
      </w:r>
    </w:p>
    <w:p>
      <w:pPr>
        <w:sectPr>
          <w:pgSz w:w="12240" w:h="15840" w:orient="portrait"/>
          <w:cols w:equalWidth="0" w:num="1">
            <w:col w:w="9620"/>
          </w:cols>
          <w:pgMar w:left="1300" w:top="1327" w:right="1320" w:bottom="1440" w:gutter="0" w:footer="0" w:header="0"/>
        </w:sectPr>
      </w:pPr>
    </w:p>
    <w:bookmarkStart w:id="90" w:name="page91"/>
    <w:bookmarkEnd w:id="90"/>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onshore environmental and social impacts are in the process of being evaluated as part of the feasibility being undertaken by PAMCO under the binding MoU signed in November 2023 for nodules that would be processed at their existing facility in Hachinohe, Japan. This is an existing facility that has processed laterite ores since the mid 1960’s and has all the required operating permits to do so. PAMCO are working with Japanese authorities to ensure that the environmental impacts of treating nodules are minimized and can be undertaken within PAMCO existing permissions or ensuring appropriate permissions are issued if required.</w:t>
      </w:r>
    </w:p>
    <w:p>
      <w:pPr>
        <w:spacing w:after="0" w:line="16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It is likely that additional facilities beyond PAMCO will be required as production expands. This could involve processing through additional tolling facilities or potentially newly built facilities. The onshore environmental and social impacts of these facilities have not been assessed because the tolling facilities have not been identified or a new-build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66"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on environmental studies, permitting and social or community impact, see Section 17 of the NORI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analysis</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6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68" w:lineRule="exact"/>
        <w:rPr>
          <w:sz w:val="20"/>
          <w:szCs w:val="20"/>
          <w:color w:val="auto"/>
        </w:rPr>
      </w:pPr>
    </w:p>
    <w:p>
      <w:pPr>
        <w:jc w:val="both"/>
        <w:ind w:firstLine="310"/>
        <w:spacing w:after="0" w:line="234" w:lineRule="auto"/>
        <w:rPr>
          <w:sz w:val="20"/>
          <w:szCs w:val="20"/>
          <w:color w:val="auto"/>
        </w:rPr>
      </w:pPr>
      <w:r>
        <w:rPr>
          <w:rFonts w:ascii="Times New Roman" w:cs="Times New Roman" w:eastAsia="Times New Roman" w:hAnsi="Times New Roman"/>
          <w:sz w:val="17"/>
          <w:szCs w:val="17"/>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The proposed project schedule is shown in the Gantt chart in Figure 19.1 of the NORI Technical Report Summary.</w:t>
      </w:r>
    </w:p>
    <w:p>
      <w:pPr>
        <w:spacing w:after="0" w:line="185"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35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91" w:name="page92"/>
    <w:bookmarkEnd w:id="91"/>
    <w:p>
      <w:pPr>
        <w:jc w:val="both"/>
        <w:ind w:right="20" w:firstLine="311"/>
        <w:spacing w:after="0" w:line="265"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165" w:lineRule="exact"/>
        <w:rPr>
          <w:sz w:val="20"/>
          <w:szCs w:val="20"/>
          <w:color w:val="auto"/>
        </w:rPr>
      </w:pPr>
    </w:p>
    <w:p>
      <w:pPr>
        <w:jc w:val="both"/>
        <w:ind w:right="20" w:firstLine="311"/>
        <w:spacing w:after="0" w:line="289" w:lineRule="auto"/>
        <w:rPr>
          <w:sz w:val="20"/>
          <w:szCs w:val="20"/>
          <w:color w:val="auto"/>
        </w:rPr>
      </w:pPr>
      <w:r>
        <w:rPr>
          <w:rFonts w:ascii="Times New Roman" w:cs="Times New Roman" w:eastAsia="Times New Roman" w:hAnsi="Times New Roman"/>
          <w:sz w:val="17"/>
          <w:szCs w:val="17"/>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pacing w:after="0" w:line="359"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Based on preliminary discussions with potential buyers, NORI believes that there is sufficient demand for the alloy and matte over the life of the project.</w:t>
      </w:r>
    </w:p>
    <w:p>
      <w:pPr>
        <w:spacing w:after="0" w:line="137"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The analysis was performed on a 100% ownership basis and excludes consideration of financing costs and forward metal sales. The analysis assumes the economic parameters listed in the table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Assumed Economic Inputs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Parameters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80" w:type="dxa"/>
            <w:vAlign w:val="bottom"/>
            <w:gridSpan w:val="2"/>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Values</w:t>
            </w:r>
          </w:p>
        </w:tc>
      </w:tr>
      <w:tr>
        <w:trPr>
          <w:trHeight w:val="200"/>
        </w:trPr>
        <w:tc>
          <w:tcPr>
            <w:tcW w:w="612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Hydrometallurgical plant Ni recovery</w:t>
            </w:r>
          </w:p>
        </w:tc>
        <w:tc>
          <w:tcPr>
            <w:tcW w:w="220" w:type="dxa"/>
            <w:vAlign w:val="bottom"/>
            <w:tcBorders>
              <w:top w:val="single" w:sz="8" w:color="CBEBF4"/>
            </w:tcBorders>
            <w:shd w:val="clear" w:color="auto" w:fill="CBEBF4"/>
          </w:tcPr>
          <w:p>
            <w:pPr>
              <w:spacing w:after="0"/>
              <w:rPr>
                <w:sz w:val="17"/>
                <w:szCs w:val="17"/>
                <w:color w:val="auto"/>
              </w:rPr>
            </w:pPr>
          </w:p>
        </w:tc>
        <w:tc>
          <w:tcPr>
            <w:tcW w:w="148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CBEBF4"/>
            </w:tcBorders>
            <w:shd w:val="clear" w:color="auto" w:fill="CBEBF4"/>
          </w:tcPr>
          <w:p>
            <w:pPr>
              <w:spacing w:after="0"/>
              <w:rPr>
                <w:sz w:val="17"/>
                <w:szCs w:val="17"/>
                <w:color w:val="auto"/>
              </w:rPr>
            </w:pPr>
          </w:p>
        </w:tc>
        <w:tc>
          <w:tcPr>
            <w:tcW w:w="13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20" w:type="dxa"/>
            <w:vAlign w:val="bottom"/>
            <w:tcBorders>
              <w:top w:val="single" w:sz="8" w:color="CBEBF4"/>
            </w:tcBorders>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Mn recovery</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Hydrometallurgical plant Cu recovery</w:t>
            </w:r>
          </w:p>
        </w:tc>
        <w:tc>
          <w:tcPr>
            <w:tcW w:w="14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shd w:val="clear" w:color="auto" w:fill="CBEBF4"/>
          </w:tcPr>
          <w:p>
            <w:pPr>
              <w:spacing w:after="0"/>
              <w:rPr>
                <w:sz w:val="19"/>
                <w:szCs w:val="19"/>
                <w:color w:val="auto"/>
              </w:rPr>
            </w:pPr>
          </w:p>
        </w:tc>
        <w:tc>
          <w:tcPr>
            <w:tcW w:w="1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22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Hydrometallurgical plant Co recovery</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Pyrometallurgical plant Ni recovery</w:t>
            </w:r>
          </w:p>
        </w:tc>
        <w:tc>
          <w:tcPr>
            <w:tcW w:w="14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shd w:val="clear" w:color="auto" w:fill="CBEBF4"/>
          </w:tcPr>
          <w:p>
            <w:pPr>
              <w:spacing w:after="0"/>
              <w:rPr>
                <w:sz w:val="19"/>
                <w:szCs w:val="19"/>
                <w:color w:val="auto"/>
              </w:rPr>
            </w:pPr>
          </w:p>
        </w:tc>
        <w:tc>
          <w:tcPr>
            <w:tcW w:w="1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22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Pyrometallurgical plant Cu recovery</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Pyrometallurgical plant Co recovery</w:t>
            </w:r>
          </w:p>
        </w:tc>
        <w:tc>
          <w:tcPr>
            <w:tcW w:w="14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shd w:val="clear" w:color="auto" w:fill="CBEBF4"/>
          </w:tcPr>
          <w:p>
            <w:pPr>
              <w:spacing w:after="0"/>
              <w:rPr>
                <w:sz w:val="19"/>
                <w:szCs w:val="19"/>
                <w:color w:val="auto"/>
              </w:rPr>
            </w:pPr>
          </w:p>
        </w:tc>
        <w:tc>
          <w:tcPr>
            <w:tcW w:w="1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22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Mn silicate grade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Cu cathode grade</w:t>
            </w:r>
          </w:p>
        </w:tc>
        <w:tc>
          <w:tcPr>
            <w:tcW w:w="14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shd w:val="clear" w:color="auto" w:fill="CBEBF4"/>
          </w:tcPr>
          <w:p>
            <w:pPr>
              <w:spacing w:after="0"/>
              <w:rPr>
                <w:sz w:val="19"/>
                <w:szCs w:val="19"/>
                <w:color w:val="auto"/>
              </w:rPr>
            </w:pPr>
          </w:p>
        </w:tc>
        <w:tc>
          <w:tcPr>
            <w:tcW w:w="1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22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Payability of Cu content in cathode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20"/>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Nodule moisture content</w:t>
            </w:r>
          </w:p>
        </w:tc>
        <w:tc>
          <w:tcPr>
            <w:tcW w:w="148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shd w:val="clear" w:color="auto" w:fill="CBEBF4"/>
          </w:tcPr>
          <w:p>
            <w:pPr>
              <w:spacing w:after="0"/>
              <w:rPr>
                <w:sz w:val="19"/>
                <w:szCs w:val="19"/>
                <w:color w:val="auto"/>
              </w:rPr>
            </w:pPr>
          </w:p>
        </w:tc>
        <w:tc>
          <w:tcPr>
            <w:tcW w:w="1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07"/>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Onshore tax rate</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 of taxable income</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r>
        <w:trPr>
          <w:trHeight w:val="207"/>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Average offshore tax (to ISA)</w:t>
            </w:r>
          </w:p>
        </w:tc>
        <w:tc>
          <w:tcPr>
            <w:tcW w:w="1700" w:type="dxa"/>
            <w:vAlign w:val="bottom"/>
            <w:gridSpan w:val="2"/>
            <w:shd w:val="clear" w:color="auto" w:fill="CBEBF4"/>
          </w:tcPr>
          <w:p>
            <w:pPr>
              <w:jc w:val="center"/>
              <w:ind w:right="240"/>
              <w:spacing w:after="0"/>
              <w:rPr>
                <w:sz w:val="20"/>
                <w:szCs w:val="20"/>
                <w:color w:val="auto"/>
              </w:rPr>
            </w:pPr>
            <w:r>
              <w:rPr>
                <w:rFonts w:ascii="Times New Roman" w:cs="Times New Roman" w:eastAsia="Times New Roman" w:hAnsi="Times New Roman"/>
                <w:sz w:val="17"/>
                <w:szCs w:val="17"/>
                <w:color w:val="auto"/>
              </w:rPr>
              <w:t>% of taxable income</w:t>
            </w:r>
          </w:p>
        </w:tc>
        <w:tc>
          <w:tcPr>
            <w:tcW w:w="1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22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Project revenues will come from the following sources:</w:t>
      </w:r>
    </w:p>
    <w:p>
      <w:pPr>
        <w:spacing w:after="0" w:line="219" w:lineRule="exact"/>
        <w:rPr>
          <w:sz w:val="20"/>
          <w:szCs w:val="20"/>
          <w:color w:val="auto"/>
        </w:rPr>
      </w:pPr>
    </w:p>
    <w:p>
      <w:pPr>
        <w:ind w:left="640" w:hanging="310"/>
        <w:spacing w:after="0"/>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 nickel sulfate product;</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 copper cathode product;</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 cobalt sulfate product;</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 manganese silicate product;</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an ammonium sulfate product;</w:t>
      </w:r>
    </w:p>
    <w:p>
      <w:pPr>
        <w:spacing w:after="0" w:line="218" w:lineRule="exact"/>
        <w:rPr>
          <w:rFonts w:ascii="Arial" w:cs="Arial" w:eastAsia="Arial" w:hAnsi="Arial"/>
          <w:sz w:val="17"/>
          <w:szCs w:val="17"/>
          <w:color w:val="auto"/>
        </w:rPr>
      </w:pPr>
    </w:p>
    <w:p>
      <w:pPr>
        <w:ind w:left="640" w:hanging="310"/>
        <w:spacing w:after="0"/>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 nickel alloy product containing copper and cobalt; and</w:t>
      </w:r>
    </w:p>
    <w:p>
      <w:pPr>
        <w:spacing w:after="0" w:line="218" w:lineRule="exact"/>
        <w:rPr>
          <w:rFonts w:ascii="Arial" w:cs="Arial" w:eastAsia="Arial" w:hAnsi="Arial"/>
          <w:sz w:val="17"/>
          <w:szCs w:val="17"/>
          <w:color w:val="auto"/>
        </w:rPr>
      </w:pPr>
    </w:p>
    <w:p>
      <w:pPr>
        <w:ind w:left="640" w:right="160" w:hanging="309"/>
        <w:spacing w:after="0" w:line="298" w:lineRule="auto"/>
        <w:tabs>
          <w:tab w:leader="none" w:pos="640" w:val="left"/>
        </w:tabs>
        <w:numPr>
          <w:ilvl w:val="0"/>
          <w:numId w:val="39"/>
        </w:numPr>
        <w:rPr>
          <w:rFonts w:ascii="Arial" w:cs="Arial" w:eastAsia="Arial" w:hAnsi="Arial"/>
          <w:sz w:val="17"/>
          <w:szCs w:val="17"/>
          <w:color w:val="auto"/>
        </w:rPr>
      </w:pPr>
      <w:r>
        <w:rPr>
          <w:rFonts w:ascii="Times New Roman" w:cs="Times New Roman" w:eastAsia="Times New Roman" w:hAnsi="Times New Roman"/>
          <w:sz w:val="17"/>
          <w:szCs w:val="17"/>
          <w:color w:val="auto"/>
        </w:rPr>
        <w:t>a matte product from the NORI pyrometallurgical plants containing nickel, copper and cobalt, which would be sold to the matte market.</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20"/>
          </w:cols>
          <w:pgMar w:left="1320" w:top="1327" w:right="130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81" name="Shape 4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1" o:spid="_x0000_s15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82" name="Shape 4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2" o:spid="_x0000_s15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NORI has used the following payable percentages for the alloy:</w:t>
      </w:r>
    </w:p>
    <w:p>
      <w:pPr>
        <w:spacing w:after="0" w:line="219" w:lineRule="exact"/>
        <w:rPr>
          <w:sz w:val="20"/>
          <w:szCs w:val="20"/>
          <w:color w:val="auto"/>
        </w:rPr>
      </w:pPr>
    </w:p>
    <w:p>
      <w:pPr>
        <w:ind w:left="640" w:hanging="309"/>
        <w:spacing w:after="0"/>
        <w:tabs>
          <w:tab w:leader="none" w:pos="640" w:val="left"/>
        </w:tabs>
        <w:numPr>
          <w:ilvl w:val="0"/>
          <w:numId w:val="40"/>
        </w:numPr>
        <w:rPr>
          <w:rFonts w:ascii="Arial" w:cs="Arial" w:eastAsia="Arial" w:hAnsi="Arial"/>
          <w:sz w:val="17"/>
          <w:szCs w:val="17"/>
          <w:color w:val="auto"/>
        </w:rPr>
      </w:pPr>
      <w:r>
        <w:rPr>
          <w:rFonts w:ascii="Times New Roman" w:cs="Times New Roman" w:eastAsia="Times New Roman" w:hAnsi="Times New Roman"/>
          <w:sz w:val="17"/>
          <w:szCs w:val="17"/>
          <w:color w:val="auto"/>
        </w:rPr>
        <w:t>Nickel: 80% of in-situ value in the alloy;</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0"/>
        </w:numPr>
        <w:rPr>
          <w:rFonts w:ascii="Arial" w:cs="Arial" w:eastAsia="Arial" w:hAnsi="Arial"/>
          <w:sz w:val="17"/>
          <w:szCs w:val="17"/>
          <w:color w:val="auto"/>
        </w:rPr>
      </w:pPr>
      <w:r>
        <w:rPr>
          <w:rFonts w:ascii="Times New Roman" w:cs="Times New Roman" w:eastAsia="Times New Roman" w:hAnsi="Times New Roman"/>
          <w:sz w:val="17"/>
          <w:szCs w:val="17"/>
          <w:color w:val="auto"/>
        </w:rPr>
        <w:t>Copper: 40% of in-situ value in the alloy;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0"/>
        </w:numPr>
        <w:rPr>
          <w:rFonts w:ascii="Arial" w:cs="Arial" w:eastAsia="Arial" w:hAnsi="Arial"/>
          <w:sz w:val="17"/>
          <w:szCs w:val="17"/>
          <w:color w:val="auto"/>
        </w:rPr>
      </w:pPr>
      <w:r>
        <w:rPr>
          <w:rFonts w:ascii="Times New Roman" w:cs="Times New Roman" w:eastAsia="Times New Roman" w:hAnsi="Times New Roman"/>
          <w:sz w:val="17"/>
          <w:szCs w:val="17"/>
          <w:color w:val="auto"/>
        </w:rPr>
        <w:t>Cobalt: 80% of in-situ value in the alloy.</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following estimates for treatment charges and refining charges for the alloy product were used in the NORI financial model:</w:t>
      </w:r>
    </w:p>
    <w:p>
      <w:pPr>
        <w:spacing w:after="0" w:line="219" w:lineRule="exact"/>
        <w:rPr>
          <w:sz w:val="20"/>
          <w:szCs w:val="20"/>
          <w:color w:val="auto"/>
        </w:rPr>
      </w:pPr>
    </w:p>
    <w:p>
      <w:pPr>
        <w:ind w:left="640" w:hanging="309"/>
        <w:spacing w:after="0"/>
        <w:tabs>
          <w:tab w:leader="none" w:pos="64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7"/>
          <w:szCs w:val="17"/>
          <w:color w:val="auto"/>
        </w:rPr>
        <w:t>a refining charge of $1,697/tonne of contained nickel in the alloy;</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7"/>
          <w:szCs w:val="17"/>
          <w:color w:val="auto"/>
        </w:rPr>
        <w:t>a refining charge of $800/tonne of contained nickel in the alloy;</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7"/>
          <w:szCs w:val="17"/>
          <w:color w:val="auto"/>
        </w:rPr>
        <w:t>a refining charge of $6,700/tonne of contained nickel in the alloy;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1"/>
        </w:numPr>
        <w:rPr>
          <w:rFonts w:ascii="Arial" w:cs="Arial" w:eastAsia="Arial" w:hAnsi="Arial"/>
          <w:sz w:val="17"/>
          <w:szCs w:val="17"/>
          <w:color w:val="auto"/>
        </w:rPr>
      </w:pPr>
      <w:r>
        <w:rPr>
          <w:rFonts w:ascii="Times New Roman" w:cs="Times New Roman" w:eastAsia="Times New Roman" w:hAnsi="Times New Roman"/>
          <w:sz w:val="17"/>
          <w:szCs w:val="17"/>
          <w:color w:val="auto"/>
        </w:rPr>
        <w:t>a treatment charge $300/tonne of alloy.</w:t>
      </w:r>
    </w:p>
    <w:p>
      <w:pPr>
        <w:spacing w:after="0" w:line="219" w:lineRule="exact"/>
        <w:rPr>
          <w:sz w:val="20"/>
          <w:szCs w:val="20"/>
          <w:color w:val="auto"/>
        </w:rPr>
      </w:pPr>
    </w:p>
    <w:p>
      <w:pPr>
        <w:jc w:val="both"/>
        <w:ind w:right="20" w:firstLine="311"/>
        <w:spacing w:after="0" w:line="276" w:lineRule="auto"/>
        <w:rPr>
          <w:sz w:val="20"/>
          <w:szCs w:val="20"/>
          <w:color w:val="auto"/>
        </w:rPr>
      </w:pPr>
      <w:r>
        <w:rPr>
          <w:rFonts w:ascii="Times New Roman" w:cs="Times New Roman" w:eastAsia="Times New Roman" w:hAnsi="Times New Roman"/>
          <w:sz w:val="17"/>
          <w:szCs w:val="17"/>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55" w:lineRule="exact"/>
        <w:rPr>
          <w:sz w:val="20"/>
          <w:szCs w:val="20"/>
          <w:color w:val="auto"/>
        </w:rPr>
      </w:pPr>
    </w:p>
    <w:p>
      <w:pPr>
        <w:jc w:val="both"/>
        <w:ind w:right="20" w:firstLine="311"/>
        <w:spacing w:after="0" w:line="276" w:lineRule="auto"/>
        <w:rPr>
          <w:sz w:val="20"/>
          <w:szCs w:val="20"/>
          <w:color w:val="auto"/>
        </w:rPr>
      </w:pPr>
      <w:r>
        <w:rPr>
          <w:rFonts w:ascii="Times New Roman" w:cs="Times New Roman" w:eastAsia="Times New Roman" w:hAnsi="Times New Roman"/>
          <w:sz w:val="17"/>
          <w:szCs w:val="17"/>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2029</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2030</w:t>
            </w:r>
          </w:p>
        </w:tc>
        <w:tc>
          <w:tcPr>
            <w:tcW w:w="14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2031</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2033</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2034 – 2046</w:t>
            </w:r>
          </w:p>
        </w:tc>
      </w:tr>
      <w:tr>
        <w:trPr>
          <w:trHeight w:val="168"/>
        </w:trPr>
        <w:tc>
          <w:tcPr>
            <w:tcW w:w="160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1600" w:type="dxa"/>
            <w:vAlign w:val="bottom"/>
            <w:tcBorders>
              <w:top w:val="single" w:sz="8" w:color="CBEBF4"/>
            </w:tcBorders>
            <w:shd w:val="clear" w:color="auto" w:fill="CBEBF4"/>
          </w:tcPr>
          <w:p>
            <w:pPr>
              <w:spacing w:after="0" w:line="163" w:lineRule="exact"/>
              <w:rPr>
                <w:sz w:val="20"/>
                <w:szCs w:val="20"/>
                <w:color w:val="auto"/>
              </w:rPr>
            </w:pPr>
            <w:r>
              <w:rPr>
                <w:rFonts w:ascii="Times New Roman" w:cs="Times New Roman" w:eastAsia="Times New Roman" w:hAnsi="Times New Roman"/>
                <w:sz w:val="17"/>
                <w:szCs w:val="17"/>
                <w:color w:val="auto"/>
              </w:rPr>
              <w:t>Ni metal, LME cash</w:t>
            </w:r>
          </w:p>
        </w:tc>
        <w:tc>
          <w:tcPr>
            <w:tcW w:w="60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58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58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58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60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58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58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60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60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600" w:type="dxa"/>
            <w:vAlign w:val="bottom"/>
            <w:tcBorders>
              <w:top w:val="single" w:sz="8" w:color="auto"/>
            </w:tcBorders>
            <w:shd w:val="clear" w:color="auto" w:fill="CBEBF4"/>
          </w:tcPr>
          <w:p>
            <w:pPr>
              <w:spacing w:after="0"/>
              <w:rPr>
                <w:sz w:val="14"/>
                <w:szCs w:val="14"/>
                <w:color w:val="auto"/>
              </w:rPr>
            </w:pPr>
          </w:p>
        </w:tc>
        <w:tc>
          <w:tcPr>
            <w:tcW w:w="140" w:type="dxa"/>
            <w:vAlign w:val="bottom"/>
            <w:tcBorders>
              <w:top w:val="single" w:sz="8" w:color="CBEBF4"/>
            </w:tcBorders>
            <w:shd w:val="clear" w:color="auto" w:fill="CBEBF4"/>
          </w:tcPr>
          <w:p>
            <w:pPr>
              <w:spacing w:after="0"/>
              <w:rPr>
                <w:sz w:val="14"/>
                <w:szCs w:val="14"/>
                <w:color w:val="auto"/>
              </w:rPr>
            </w:pPr>
          </w:p>
        </w:tc>
        <w:tc>
          <w:tcPr>
            <w:tcW w:w="720" w:type="dxa"/>
            <w:vAlign w:val="bottom"/>
            <w:tcBorders>
              <w:top w:val="single" w:sz="8" w:color="auto"/>
            </w:tcBorders>
            <w:shd w:val="clear" w:color="auto" w:fill="CBEBF4"/>
          </w:tcPr>
          <w:p>
            <w:pPr>
              <w:spacing w:after="0"/>
              <w:rPr>
                <w:sz w:val="14"/>
                <w:szCs w:val="14"/>
                <w:color w:val="auto"/>
              </w:rPr>
            </w:pPr>
          </w:p>
        </w:tc>
      </w:tr>
      <w:tr>
        <w:trPr>
          <w:trHeight w:val="232"/>
        </w:trPr>
        <w:tc>
          <w:tcPr>
            <w:tcW w:w="1600" w:type="dxa"/>
            <w:vAlign w:val="bottom"/>
            <w:shd w:val="clear" w:color="auto" w:fill="CBEBF4"/>
          </w:tcPr>
          <w:p>
            <w:pPr>
              <w:ind w:left="120"/>
              <w:spacing w:after="0"/>
              <w:rPr>
                <w:sz w:val="20"/>
                <w:szCs w:val="20"/>
                <w:color w:val="auto"/>
              </w:rPr>
            </w:pPr>
            <w:r>
              <w:rPr>
                <w:rFonts w:ascii="Times New Roman" w:cs="Times New Roman" w:eastAsia="Times New Roman" w:hAnsi="Times New Roman"/>
                <w:sz w:val="17"/>
                <w:szCs w:val="17"/>
                <w:color w:val="auto"/>
              </w:rPr>
              <w:t>(/t)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14,067</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14,467</w:t>
            </w:r>
          </w:p>
        </w:tc>
        <w:tc>
          <w:tcPr>
            <w:tcW w:w="72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14,868</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15,269</w:t>
            </w:r>
          </w:p>
        </w:tc>
        <w:tc>
          <w:tcPr>
            <w:tcW w:w="14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15,670</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16,071</w:t>
            </w:r>
          </w:p>
        </w:tc>
        <w:tc>
          <w:tcPr>
            <w:tcW w:w="72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16,472</w:t>
            </w:r>
          </w:p>
        </w:tc>
        <w:tc>
          <w:tcPr>
            <w:tcW w:w="14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16,472</w:t>
            </w:r>
          </w:p>
        </w:tc>
        <w:tc>
          <w:tcPr>
            <w:tcW w:w="74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16,472</w:t>
            </w:r>
          </w:p>
        </w:tc>
        <w:tc>
          <w:tcPr>
            <w:tcW w:w="74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16,472</w:t>
            </w:r>
          </w:p>
        </w:tc>
        <w:tc>
          <w:tcPr>
            <w:tcW w:w="140" w:type="dxa"/>
            <w:vAlign w:val="bottom"/>
            <w:shd w:val="clear" w:color="auto" w:fill="CBEBF4"/>
          </w:tcPr>
          <w:p>
            <w:pPr>
              <w:spacing w:after="0"/>
              <w:rPr>
                <w:sz w:val="20"/>
                <w:szCs w:val="20"/>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16,472</w:t>
            </w:r>
          </w:p>
        </w:tc>
      </w:tr>
      <w:tr>
        <w:trPr>
          <w:trHeight w:val="207"/>
        </w:trPr>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Ni Sulfate (/t)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16,443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17,678</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18,087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18,087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18,087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18,807</w:t>
            </w:r>
          </w:p>
        </w:tc>
      </w:tr>
      <w:tr>
        <w:trPr>
          <w:trHeight w:val="183"/>
        </w:trPr>
        <w:tc>
          <w:tcPr>
            <w:tcW w:w="1600" w:type="dxa"/>
            <w:vAlign w:val="bottom"/>
            <w:shd w:val="clear" w:color="auto" w:fill="CBEBF4"/>
          </w:tcPr>
          <w:p>
            <w:pPr>
              <w:spacing w:after="0" w:line="184" w:lineRule="exact"/>
              <w:rPr>
                <w:sz w:val="20"/>
                <w:szCs w:val="20"/>
                <w:color w:val="auto"/>
              </w:rPr>
            </w:pPr>
            <w:r>
              <w:rPr>
                <w:rFonts w:ascii="Times New Roman" w:cs="Times New Roman" w:eastAsia="Times New Roman" w:hAnsi="Times New Roman"/>
                <w:sz w:val="17"/>
                <w:szCs w:val="17"/>
                <w:color w:val="auto"/>
              </w:rPr>
              <w:t>SiMn, China import,</w:t>
            </w: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r>
      <w:tr>
        <w:trPr>
          <w:trHeight w:val="232"/>
        </w:trPr>
        <w:tc>
          <w:tcPr>
            <w:tcW w:w="1600" w:type="dxa"/>
            <w:vAlign w:val="bottom"/>
            <w:shd w:val="clear" w:color="auto" w:fill="CBEBF4"/>
          </w:tcPr>
          <w:p>
            <w:pPr>
              <w:ind w:left="120"/>
              <w:spacing w:after="0"/>
              <w:rPr>
                <w:sz w:val="20"/>
                <w:szCs w:val="20"/>
                <w:color w:val="auto"/>
              </w:rPr>
            </w:pPr>
            <w:r>
              <w:rPr>
                <w:rFonts w:ascii="Times New Roman" w:cs="Times New Roman" w:eastAsia="Times New Roman" w:hAnsi="Times New Roman"/>
                <w:sz w:val="17"/>
                <w:szCs w:val="17"/>
                <w:color w:val="auto"/>
              </w:rPr>
              <w:t>44% Mn (/dmtu)</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72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4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72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74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4.50</w:t>
            </w:r>
          </w:p>
        </w:tc>
        <w:tc>
          <w:tcPr>
            <w:tcW w:w="74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BEBF4"/>
          </w:tcPr>
          <w:p>
            <w:pPr>
              <w:spacing w:after="0"/>
              <w:rPr>
                <w:sz w:val="20"/>
                <w:szCs w:val="20"/>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183"/>
        </w:trPr>
        <w:tc>
          <w:tcPr>
            <w:tcW w:w="16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Cu, Grade A cathode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2"/>
        </w:trPr>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LME cash (/t)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6,435</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6,557</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6,787</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6,822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6,839</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6,872</w:t>
            </w:r>
          </w:p>
        </w:tc>
      </w:tr>
      <w:tr>
        <w:trPr>
          <w:trHeight w:val="183"/>
        </w:trPr>
        <w:tc>
          <w:tcPr>
            <w:tcW w:w="1600" w:type="dxa"/>
            <w:vAlign w:val="bottom"/>
            <w:shd w:val="clear" w:color="auto" w:fill="CBEBF4"/>
          </w:tcPr>
          <w:p>
            <w:pPr>
              <w:spacing w:after="0" w:line="183" w:lineRule="exact"/>
              <w:rPr>
                <w:sz w:val="20"/>
                <w:szCs w:val="20"/>
                <w:color w:val="auto"/>
              </w:rPr>
            </w:pPr>
            <w:r>
              <w:rPr>
                <w:rFonts w:ascii="Times New Roman" w:cs="Times New Roman" w:eastAsia="Times New Roman" w:hAnsi="Times New Roman"/>
                <w:sz w:val="17"/>
                <w:szCs w:val="17"/>
                <w:color w:val="auto"/>
              </w:rPr>
              <w:t>Co, EU Co 99.8%</w:t>
            </w: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58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600" w:type="dxa"/>
            <w:vAlign w:val="bottom"/>
            <w:shd w:val="clear" w:color="auto" w:fill="CBEBF4"/>
          </w:tcPr>
          <w:p>
            <w:pPr>
              <w:spacing w:after="0"/>
              <w:rPr>
                <w:sz w:val="15"/>
                <w:szCs w:val="15"/>
                <w:color w:val="auto"/>
              </w:rPr>
            </w:pPr>
          </w:p>
        </w:tc>
        <w:tc>
          <w:tcPr>
            <w:tcW w:w="140" w:type="dxa"/>
            <w:vAlign w:val="bottom"/>
            <w:shd w:val="clear" w:color="auto" w:fill="CBEBF4"/>
          </w:tcPr>
          <w:p>
            <w:pPr>
              <w:spacing w:after="0"/>
              <w:rPr>
                <w:sz w:val="15"/>
                <w:szCs w:val="15"/>
                <w:color w:val="auto"/>
              </w:rPr>
            </w:pPr>
          </w:p>
        </w:tc>
        <w:tc>
          <w:tcPr>
            <w:tcW w:w="720" w:type="dxa"/>
            <w:vAlign w:val="bottom"/>
            <w:shd w:val="clear" w:color="auto" w:fill="CBEBF4"/>
          </w:tcPr>
          <w:p>
            <w:pPr>
              <w:spacing w:after="0"/>
              <w:rPr>
                <w:sz w:val="15"/>
                <w:szCs w:val="15"/>
                <w:color w:val="auto"/>
              </w:rPr>
            </w:pPr>
          </w:p>
        </w:tc>
      </w:tr>
      <w:tr>
        <w:trPr>
          <w:trHeight w:val="232"/>
        </w:trPr>
        <w:tc>
          <w:tcPr>
            <w:tcW w:w="1600" w:type="dxa"/>
            <w:vAlign w:val="bottom"/>
            <w:shd w:val="clear" w:color="auto" w:fill="CBEBF4"/>
          </w:tcPr>
          <w:p>
            <w:pPr>
              <w:ind w:left="120"/>
              <w:spacing w:after="0"/>
              <w:rPr>
                <w:sz w:val="20"/>
                <w:szCs w:val="20"/>
                <w:color w:val="auto"/>
              </w:rPr>
            </w:pPr>
            <w:r>
              <w:rPr>
                <w:rFonts w:ascii="Times New Roman" w:cs="Times New Roman" w:eastAsia="Times New Roman" w:hAnsi="Times New Roman"/>
                <w:sz w:val="17"/>
                <w:szCs w:val="17"/>
                <w:color w:val="auto"/>
              </w:rPr>
              <w:t>min (EXW) (/t)</w:t>
            </w: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52,881</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39,914</w:t>
            </w:r>
          </w:p>
        </w:tc>
        <w:tc>
          <w:tcPr>
            <w:tcW w:w="72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38,204</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41,526</w:t>
            </w:r>
          </w:p>
        </w:tc>
        <w:tc>
          <w:tcPr>
            <w:tcW w:w="14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45,137</w:t>
            </w:r>
          </w:p>
        </w:tc>
        <w:tc>
          <w:tcPr>
            <w:tcW w:w="140" w:type="dxa"/>
            <w:vAlign w:val="bottom"/>
            <w:shd w:val="clear" w:color="auto" w:fill="CBEBF4"/>
          </w:tcPr>
          <w:p>
            <w:pPr>
              <w:spacing w:after="0"/>
              <w:rPr>
                <w:sz w:val="20"/>
                <w:szCs w:val="20"/>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49,062</w:t>
            </w:r>
          </w:p>
        </w:tc>
        <w:tc>
          <w:tcPr>
            <w:tcW w:w="72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51,106</w:t>
            </w:r>
          </w:p>
        </w:tc>
        <w:tc>
          <w:tcPr>
            <w:tcW w:w="140" w:type="dxa"/>
            <w:vAlign w:val="bottom"/>
            <w:shd w:val="clear" w:color="auto" w:fill="CBEBF4"/>
          </w:tcPr>
          <w:p>
            <w:pPr>
              <w:spacing w:after="0"/>
              <w:rPr>
                <w:sz w:val="20"/>
                <w:szCs w:val="20"/>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50,600</w:t>
            </w:r>
          </w:p>
        </w:tc>
        <w:tc>
          <w:tcPr>
            <w:tcW w:w="74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49,126</w:t>
            </w:r>
          </w:p>
        </w:tc>
        <w:tc>
          <w:tcPr>
            <w:tcW w:w="74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color w:val="auto"/>
              </w:rPr>
              <w:t>47,695</w:t>
            </w:r>
          </w:p>
        </w:tc>
        <w:tc>
          <w:tcPr>
            <w:tcW w:w="140" w:type="dxa"/>
            <w:vAlign w:val="bottom"/>
            <w:shd w:val="clear" w:color="auto" w:fill="CBEBF4"/>
          </w:tcPr>
          <w:p>
            <w:pPr>
              <w:spacing w:after="0"/>
              <w:rPr>
                <w:sz w:val="20"/>
                <w:szCs w:val="20"/>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46,333</w:t>
            </w:r>
          </w:p>
        </w:tc>
      </w:tr>
      <w:tr>
        <w:trPr>
          <w:trHeight w:val="183"/>
        </w:trPr>
        <w:tc>
          <w:tcPr>
            <w:tcW w:w="16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Co Sulfate premium</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7"/>
        </w:trPr>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over Co metal (ex-</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2"/>
        </w:trPr>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China) (/t)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64,250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49,035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46,933</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51,014</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62,784</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62,162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60,351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58,594</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56,920</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Production schedule</w:t>
      </w:r>
    </w:p>
    <w:p>
      <w:pPr>
        <w:spacing w:after="0" w:line="216" w:lineRule="exact"/>
        <w:rPr>
          <w:sz w:val="20"/>
          <w:szCs w:val="20"/>
          <w:color w:val="auto"/>
        </w:rPr>
      </w:pPr>
    </w:p>
    <w:p>
      <w:pPr>
        <w:jc w:val="both"/>
        <w:ind w:right="20" w:firstLine="311"/>
        <w:spacing w:after="0" w:line="265" w:lineRule="auto"/>
        <w:rPr>
          <w:sz w:val="20"/>
          <w:szCs w:val="20"/>
          <w:color w:val="auto"/>
        </w:rPr>
      </w:pPr>
      <w:r>
        <w:rPr>
          <w:rFonts w:ascii="Times New Roman" w:cs="Times New Roman" w:eastAsia="Times New Roman" w:hAnsi="Times New Roman"/>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7" w:right="1300" w:bottom="1440" w:gutter="0" w:footer="0" w:header="0"/>
        </w:sectPr>
      </w:pPr>
    </w:p>
    <w:bookmarkStart w:id="93" w:name="page94"/>
    <w:bookmarkEnd w:id="93"/>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84" name="Shape 4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4" o:spid="_x0000_s15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85" name="Shape 4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5" o:spid="_x0000_s15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87" name="Shape 4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87" o:spid="_x0000_s15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The production schedule assumes staged operation initially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then Drill Ship 2 and finally Collector Vessel 1, as outlined in Section 16.1 of the NORI Technical Report Summary.</w:t>
      </w:r>
    </w:p>
    <w:p>
      <w:pPr>
        <w:spacing w:after="0" w:line="137" w:lineRule="exact"/>
        <w:rPr>
          <w:sz w:val="20"/>
          <w:szCs w:val="20"/>
          <w:color w:val="auto"/>
        </w:rPr>
      </w:pPr>
    </w:p>
    <w:p>
      <w:pPr>
        <w:jc w:val="both"/>
        <w:ind w:right="20" w:firstLine="311"/>
        <w:spacing w:after="0" w:line="269" w:lineRule="auto"/>
        <w:rPr>
          <w:sz w:val="20"/>
          <w:szCs w:val="20"/>
          <w:color w:val="auto"/>
        </w:rPr>
      </w:pPr>
      <w:r>
        <w:rPr>
          <w:rFonts w:ascii="Times New Roman" w:cs="Times New Roman" w:eastAsia="Times New Roman" w:hAnsi="Times New Roman"/>
          <w:sz w:val="17"/>
          <w:szCs w:val="17"/>
          <w:color w:val="auto"/>
        </w:rPr>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IA mine plan to Mineral Resource for NORI Area 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Mineral</w:t>
            </w:r>
          </w:p>
        </w:tc>
        <w:tc>
          <w:tcPr>
            <w:tcW w:w="1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Seafloor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63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Resource in</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143"/>
        </w:trPr>
        <w:tc>
          <w:tcPr>
            <w:tcW w:w="63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NORI Area D</w:t>
            </w:r>
          </w:p>
        </w:tc>
        <w:tc>
          <w:tcPr>
            <w:tcW w:w="18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production</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3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 categories)</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w:t>
            </w:r>
          </w:p>
        </w:tc>
        <w:tc>
          <w:tcPr>
            <w:tcW w:w="1120" w:type="dxa"/>
            <w:vAlign w:val="bottom"/>
            <w:gridSpan w:val="2"/>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34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Tonnage (Mt wet)</w:t>
            </w:r>
          </w:p>
        </w:tc>
        <w:tc>
          <w:tcPr>
            <w:tcW w:w="9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80" w:type="dxa"/>
            <w:vAlign w:val="bottom"/>
            <w:tcBorders>
              <w:top w:val="single" w:sz="8" w:color="CBEBF4"/>
            </w:tcBorders>
            <w:shd w:val="clear" w:color="auto" w:fill="CBEBF4"/>
          </w:tcPr>
          <w:p>
            <w:pPr>
              <w:spacing w:after="0"/>
              <w:rPr>
                <w:sz w:val="17"/>
                <w:szCs w:val="17"/>
                <w:color w:val="auto"/>
              </w:rPr>
            </w:pPr>
          </w:p>
        </w:tc>
        <w:tc>
          <w:tcPr>
            <w:tcW w:w="9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00" w:type="dxa"/>
            <w:vAlign w:val="bottom"/>
            <w:tcBorders>
              <w:top w:val="single" w:sz="8" w:color="CBEBF4"/>
            </w:tcBorders>
            <w:shd w:val="clear" w:color="auto" w:fill="CBEBF4"/>
          </w:tcPr>
          <w:p>
            <w:pPr>
              <w:spacing w:after="0"/>
              <w:rPr>
                <w:sz w:val="17"/>
                <w:szCs w:val="17"/>
                <w:color w:val="auto"/>
              </w:rPr>
            </w:pPr>
          </w:p>
        </w:tc>
        <w:tc>
          <w:tcPr>
            <w:tcW w:w="9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80" w:type="dxa"/>
            <w:vAlign w:val="bottom"/>
            <w:tcBorders>
              <w:top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7"/>
        </w:trPr>
        <w:tc>
          <w:tcPr>
            <w:tcW w:w="6340" w:type="dxa"/>
            <w:vAlign w:val="bottom"/>
          </w:tcPr>
          <w:p>
            <w:pPr>
              <w:spacing w:after="0" w:line="207"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0" w:type="dxa"/>
            <w:vAlign w:val="bottom"/>
          </w:tcPr>
          <w:p>
            <w:pPr>
              <w:spacing w:after="0"/>
              <w:rPr>
                <w:sz w:val="1"/>
                <w:szCs w:val="1"/>
                <w:color w:val="auto"/>
              </w:rPr>
            </w:pPr>
          </w:p>
        </w:tc>
      </w:tr>
      <w:tr>
        <w:trPr>
          <w:trHeight w:val="207"/>
        </w:trPr>
        <w:tc>
          <w:tcPr>
            <w:tcW w:w="63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Ni grade (%)</w:t>
            </w:r>
          </w:p>
        </w:tc>
        <w:tc>
          <w:tcPr>
            <w:tcW w:w="9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30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7"/>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Mn grade (%)</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0" w:type="dxa"/>
            <w:vAlign w:val="bottom"/>
          </w:tcPr>
          <w:p>
            <w:pPr>
              <w:spacing w:after="0"/>
              <w:rPr>
                <w:sz w:val="1"/>
                <w:szCs w:val="1"/>
                <w:color w:val="auto"/>
              </w:rPr>
            </w:pPr>
          </w:p>
        </w:tc>
      </w:tr>
      <w:tr>
        <w:trPr>
          <w:trHeight w:val="207"/>
        </w:trPr>
        <w:tc>
          <w:tcPr>
            <w:tcW w:w="63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Cu grade (%)</w:t>
            </w:r>
          </w:p>
        </w:tc>
        <w:tc>
          <w:tcPr>
            <w:tcW w:w="9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30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32"/>
        </w:trPr>
        <w:tc>
          <w:tcPr>
            <w:tcW w:w="6340" w:type="dxa"/>
            <w:vAlign w:val="bottom"/>
          </w:tcPr>
          <w:p>
            <w:pPr>
              <w:spacing w:after="0"/>
              <w:rPr>
                <w:sz w:val="20"/>
                <w:szCs w:val="20"/>
                <w:color w:val="auto"/>
              </w:rPr>
            </w:pPr>
            <w:r>
              <w:rPr>
                <w:rFonts w:ascii="Times New Roman" w:cs="Times New Roman" w:eastAsia="Times New Roman" w:hAnsi="Times New Roman"/>
                <w:sz w:val="17"/>
                <w:szCs w:val="17"/>
                <w:color w:val="auto"/>
              </w:rPr>
              <w:t>Co grade (%)</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production ramp-up discussed in Section 17 of the NORI Technical Report Summary was adopted for the production schedule.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considered the assumptions underpinning the initial assessment and economic analysis to be reasonable.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and operating costs</w:t>
      </w:r>
    </w:p>
    <w:p>
      <w:pPr>
        <w:spacing w:after="0" w:line="216" w:lineRule="exact"/>
        <w:rPr>
          <w:sz w:val="20"/>
          <w:szCs w:val="20"/>
          <w:color w:val="auto"/>
        </w:rPr>
      </w:pPr>
    </w:p>
    <w:p>
      <w:pPr>
        <w:jc w:val="both"/>
        <w:ind w:right="20" w:firstLine="311"/>
        <w:spacing w:after="0" w:line="265" w:lineRule="auto"/>
        <w:rPr>
          <w:sz w:val="20"/>
          <w:szCs w:val="20"/>
          <w:color w:val="auto"/>
        </w:rPr>
      </w:pPr>
      <w:r>
        <w:rPr>
          <w:rFonts w:ascii="Times New Roman" w:cs="Times New Roman" w:eastAsia="Times New Roman" w:hAnsi="Times New Roman"/>
          <w:sz w:val="17"/>
          <w:szCs w:val="17"/>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Cost estimate</w:t>
            </w:r>
          </w:p>
        </w:tc>
        <w:tc>
          <w:tcPr>
            <w:tcW w:w="0" w:type="dxa"/>
            <w:vAlign w:val="bottom"/>
          </w:tcPr>
          <w:p>
            <w:pPr>
              <w:spacing w:after="0"/>
              <w:rPr>
                <w:sz w:val="1"/>
                <w:szCs w:val="1"/>
                <w:color w:val="auto"/>
              </w:rPr>
            </w:pPr>
          </w:p>
        </w:tc>
      </w:tr>
      <w:tr>
        <w:trPr>
          <w:trHeight w:val="168"/>
        </w:trPr>
        <w:tc>
          <w:tcPr>
            <w:tcW w:w="8560" w:type="dxa"/>
            <w:vAlign w:val="bottom"/>
            <w:gridSpan w:val="2"/>
            <w:vMerge w:val="continue"/>
          </w:tcPr>
          <w:p>
            <w:pPr>
              <w:spacing w:after="0"/>
              <w:rPr>
                <w:sz w:val="14"/>
                <w:szCs w:val="14"/>
                <w:color w:val="auto"/>
              </w:rPr>
            </w:pPr>
          </w:p>
        </w:tc>
        <w:tc>
          <w:tcPr>
            <w:tcW w:w="10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0" w:type="dxa"/>
            <w:vAlign w:val="bottom"/>
          </w:tcPr>
          <w:p>
            <w:pPr>
              <w:spacing w:after="0"/>
              <w:rPr>
                <w:sz w:val="1"/>
                <w:szCs w:val="1"/>
                <w:color w:val="auto"/>
              </w:rPr>
            </w:pPr>
          </w:p>
        </w:tc>
      </w:tr>
      <w:tr>
        <w:trPr>
          <w:trHeight w:val="200"/>
        </w:trPr>
        <w:tc>
          <w:tcPr>
            <w:tcW w:w="830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Pre-project costs</w:t>
            </w:r>
          </w:p>
        </w:tc>
        <w:tc>
          <w:tcPr>
            <w:tcW w:w="260" w:type="dxa"/>
            <w:vAlign w:val="bottom"/>
            <w:tcBorders>
              <w:top w:val="single" w:sz="8" w:color="CBEBF4"/>
            </w:tcBorders>
            <w:shd w:val="clear" w:color="auto" w:fill="CBEBF4"/>
          </w:tcPr>
          <w:p>
            <w:pPr>
              <w:spacing w:after="0"/>
              <w:rPr>
                <w:sz w:val="17"/>
                <w:szCs w:val="17"/>
                <w:color w:val="auto"/>
              </w:rPr>
            </w:pPr>
          </w:p>
        </w:tc>
        <w:tc>
          <w:tcPr>
            <w:tcW w:w="10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7"/>
        </w:trPr>
        <w:tc>
          <w:tcPr>
            <w:tcW w:w="8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Project costs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Offshore project costs</w:t>
            </w:r>
          </w:p>
        </w:tc>
        <w:tc>
          <w:tcPr>
            <w:tcW w:w="10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Project Zero</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Project One</w:t>
            </w:r>
          </w:p>
        </w:tc>
        <w:tc>
          <w:tcPr>
            <w:tcW w:w="10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0" w:type="dxa"/>
            <w:vAlign w:val="bottom"/>
          </w:tcPr>
          <w:p>
            <w:pPr>
              <w:spacing w:after="0"/>
              <w:rPr>
                <w:sz w:val="1"/>
                <w:szCs w:val="1"/>
                <w:color w:val="auto"/>
              </w:rPr>
            </w:pPr>
          </w:p>
        </w:tc>
      </w:tr>
      <w:tr>
        <w:trPr>
          <w:trHeight w:val="207"/>
        </w:trPr>
        <w:tc>
          <w:tcPr>
            <w:tcW w:w="8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Onshore project costs</w:t>
            </w:r>
          </w:p>
        </w:tc>
        <w:tc>
          <w:tcPr>
            <w:tcW w:w="10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Project One</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0" w:type="dxa"/>
            <w:vAlign w:val="bottom"/>
          </w:tcPr>
          <w:p>
            <w:pPr>
              <w:spacing w:after="0"/>
              <w:rPr>
                <w:sz w:val="1"/>
                <w:szCs w:val="1"/>
                <w:color w:val="auto"/>
              </w:rPr>
            </w:pPr>
          </w:p>
        </w:tc>
      </w:tr>
      <w:tr>
        <w:trPr>
          <w:trHeight w:val="207"/>
        </w:trPr>
        <w:tc>
          <w:tcPr>
            <w:tcW w:w="8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project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0" w:type="dxa"/>
            <w:vAlign w:val="bottom"/>
          </w:tcPr>
          <w:p>
            <w:pPr>
              <w:spacing w:after="0"/>
              <w:rPr>
                <w:sz w:val="1"/>
                <w:szCs w:val="1"/>
                <w:color w:val="auto"/>
              </w:rPr>
            </w:pPr>
          </w:p>
        </w:tc>
      </w:tr>
      <w:tr>
        <w:trPr>
          <w:trHeight w:val="207"/>
        </w:trPr>
        <w:tc>
          <w:tcPr>
            <w:tcW w:w="85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Sustaining capital costs (onshore and offshore)</w:t>
            </w:r>
          </w:p>
        </w:tc>
        <w:tc>
          <w:tcPr>
            <w:tcW w:w="10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2,637</w:t>
            </w:r>
          </w:p>
        </w:tc>
        <w:tc>
          <w:tcPr>
            <w:tcW w:w="0" w:type="dxa"/>
            <w:vAlign w:val="bottom"/>
          </w:tcPr>
          <w:p>
            <w:pPr>
              <w:spacing w:after="0"/>
              <w:rPr>
                <w:sz w:val="1"/>
                <w:szCs w:val="1"/>
                <w:color w:val="auto"/>
              </w:rPr>
            </w:pPr>
          </w:p>
        </w:tc>
      </w:tr>
      <w:tr>
        <w:trPr>
          <w:trHeight w:val="207"/>
        </w:trPr>
        <w:tc>
          <w:tcPr>
            <w:tcW w:w="856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color w:val="auto"/>
              </w:rPr>
              <w:t>Closure costs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0"/>
        </w:trPr>
        <w:tc>
          <w:tcPr>
            <w:tcW w:w="8560" w:type="dxa"/>
            <w:vAlign w:val="bottom"/>
            <w:tcBorders>
              <w:bottom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10,608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right="20" w:firstLine="311"/>
        <w:spacing w:after="0" w:line="299" w:lineRule="auto"/>
        <w:rPr>
          <w:sz w:val="20"/>
          <w:szCs w:val="20"/>
          <w:color w:val="auto"/>
        </w:rPr>
      </w:pPr>
      <w:r>
        <w:rPr>
          <w:rFonts w:ascii="Times New Roman" w:cs="Times New Roman" w:eastAsia="Times New Roman" w:hAnsi="Times New Roman"/>
          <w:sz w:val="17"/>
          <w:szCs w:val="17"/>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88" name="Shape 4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88" o:spid="_x0000_s15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7" w:right="130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90" name="Shape 4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90" o:spid="_x0000_s15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91" name="Shape 4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91" o:spid="_x0000_s15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Average operating cost estimates during steady state operation (from 2030 onwards)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Average Unit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7"/>
              </w:rPr>
              <w:t>Average Unit</w:t>
            </w:r>
          </w:p>
        </w:tc>
        <w:tc>
          <w:tcPr>
            <w:tcW w:w="0" w:type="dxa"/>
            <w:vAlign w:val="bottom"/>
          </w:tcPr>
          <w:p>
            <w:pPr>
              <w:spacing w:after="0"/>
              <w:rPr>
                <w:sz w:val="1"/>
                <w:szCs w:val="1"/>
                <w:color w:val="auto"/>
              </w:rPr>
            </w:pPr>
          </w:p>
        </w:tc>
      </w:tr>
      <w:tr>
        <w:trPr>
          <w:trHeight w:val="143"/>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Operating Cost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over Life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Cost (/t – wet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Cost (/t – dry</w:t>
            </w:r>
          </w:p>
        </w:tc>
        <w:tc>
          <w:tcPr>
            <w:tcW w:w="0" w:type="dxa"/>
            <w:vAlign w:val="bottom"/>
          </w:tcPr>
          <w:p>
            <w:pPr>
              <w:spacing w:after="0"/>
              <w:rPr>
                <w:sz w:val="1"/>
                <w:szCs w:val="1"/>
                <w:color w:val="auto"/>
              </w:rPr>
            </w:pPr>
          </w:p>
        </w:tc>
      </w:tr>
      <w:tr>
        <w:trPr>
          <w:trHeight w:val="143"/>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Mine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1"/>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tonne nodules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61"/>
              <w:spacing w:after="0" w:line="143" w:lineRule="exact"/>
              <w:rPr>
                <w:sz w:val="20"/>
                <w:szCs w:val="20"/>
                <w:color w:val="auto"/>
              </w:rPr>
            </w:pPr>
            <w:r>
              <w:rPr>
                <w:rFonts w:ascii="Times New Roman" w:cs="Times New Roman" w:eastAsia="Times New Roman" w:hAnsi="Times New Roman"/>
                <w:sz w:val="14"/>
                <w:szCs w:val="14"/>
                <w:b w:val="1"/>
                <w:bCs w:val="1"/>
                <w:color w:val="auto"/>
              </w:rPr>
              <w:t>tonne</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million pa)</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recovered)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8"/>
              </w:rPr>
              <w:t>processed)</w:t>
            </w:r>
          </w:p>
        </w:tc>
        <w:tc>
          <w:tcPr>
            <w:tcW w:w="0" w:type="dxa"/>
            <w:vAlign w:val="bottom"/>
          </w:tcPr>
          <w:p>
            <w:pPr>
              <w:spacing w:after="0"/>
              <w:rPr>
                <w:sz w:val="1"/>
                <w:szCs w:val="1"/>
                <w:color w:val="auto"/>
              </w:rPr>
            </w:pPr>
          </w:p>
        </w:tc>
      </w:tr>
      <w:tr>
        <w:trPr>
          <w:trHeight w:val="200"/>
        </w:trPr>
        <w:tc>
          <w:tcPr>
            <w:tcW w:w="542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Offshore</w:t>
            </w:r>
          </w:p>
        </w:tc>
        <w:tc>
          <w:tcPr>
            <w:tcW w:w="220" w:type="dxa"/>
            <w:vAlign w:val="bottom"/>
            <w:tcBorders>
              <w:top w:val="single" w:sz="8" w:color="CBEBF4"/>
            </w:tcBorders>
            <w:shd w:val="clear" w:color="auto" w:fill="CBEBF4"/>
          </w:tcPr>
          <w:p>
            <w:pPr>
              <w:spacing w:after="0"/>
              <w:rPr>
                <w:sz w:val="17"/>
                <w:szCs w:val="17"/>
                <w:color w:val="auto"/>
              </w:rPr>
            </w:pPr>
          </w:p>
        </w:tc>
        <w:tc>
          <w:tcPr>
            <w:tcW w:w="300" w:type="dxa"/>
            <w:vAlign w:val="bottom"/>
            <w:tcBorders>
              <w:top w:val="single" w:sz="8" w:color="auto"/>
            </w:tcBorders>
            <w:shd w:val="clear" w:color="auto" w:fill="CBEBF4"/>
          </w:tcPr>
          <w:p>
            <w:pPr>
              <w:jc w:val="right"/>
              <w:ind w:right="14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240.74</w:t>
            </w:r>
          </w:p>
        </w:tc>
        <w:tc>
          <w:tcPr>
            <w:tcW w:w="220" w:type="dxa"/>
            <w:vAlign w:val="bottom"/>
            <w:tcBorders>
              <w:top w:val="single" w:sz="8" w:color="CBEBF4"/>
            </w:tcBorders>
            <w:shd w:val="clear" w:color="auto" w:fill="CBEBF4"/>
          </w:tcPr>
          <w:p>
            <w:pPr>
              <w:spacing w:after="0"/>
              <w:rPr>
                <w:sz w:val="17"/>
                <w:szCs w:val="17"/>
                <w:color w:val="auto"/>
              </w:rPr>
            </w:pPr>
          </w:p>
        </w:tc>
        <w:tc>
          <w:tcPr>
            <w:tcW w:w="1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220" w:type="dxa"/>
            <w:vAlign w:val="bottom"/>
            <w:tcBorders>
              <w:top w:val="single" w:sz="8" w:color="CBEBF4"/>
            </w:tcBorders>
            <w:shd w:val="clear" w:color="auto" w:fill="CBEBF4"/>
          </w:tcPr>
          <w:p>
            <w:pPr>
              <w:spacing w:after="0"/>
              <w:rPr>
                <w:sz w:val="17"/>
                <w:szCs w:val="17"/>
                <w:color w:val="auto"/>
              </w:rPr>
            </w:pPr>
          </w:p>
        </w:tc>
        <w:tc>
          <w:tcPr>
            <w:tcW w:w="1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Shipping</w:t>
            </w:r>
          </w:p>
        </w:tc>
        <w:tc>
          <w:tcPr>
            <w:tcW w:w="52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0" w:type="dxa"/>
            <w:vAlign w:val="bottom"/>
          </w:tcPr>
          <w:p>
            <w:pPr>
              <w:spacing w:after="0"/>
              <w:rPr>
                <w:sz w:val="1"/>
                <w:szCs w:val="1"/>
                <w:color w:val="auto"/>
              </w:rPr>
            </w:pPr>
          </w:p>
        </w:tc>
      </w:tr>
      <w:tr>
        <w:trPr>
          <w:trHeight w:val="207"/>
        </w:trPr>
        <w:tc>
          <w:tcPr>
            <w:tcW w:w="54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Onshore</w:t>
            </w:r>
          </w:p>
        </w:tc>
        <w:tc>
          <w:tcPr>
            <w:tcW w:w="520" w:type="dxa"/>
            <w:vAlign w:val="bottom"/>
            <w:gridSpan w:val="2"/>
            <w:shd w:val="clear" w:color="auto" w:fill="CBEBF4"/>
          </w:tcPr>
          <w:p>
            <w:pPr>
              <w:jc w:val="right"/>
              <w:ind w:right="1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1,286.19</w:t>
            </w:r>
          </w:p>
        </w:tc>
        <w:tc>
          <w:tcPr>
            <w:tcW w:w="3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103.14</w:t>
            </w:r>
          </w:p>
        </w:tc>
        <w:tc>
          <w:tcPr>
            <w:tcW w:w="3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135.71</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520" w:type="dxa"/>
            <w:vAlign w:val="bottom"/>
            <w:gridSpan w:val="2"/>
          </w:tcPr>
          <w:p>
            <w:pPr>
              <w:jc w:val="right"/>
              <w:ind w:right="1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7"/>
        </w:trPr>
        <w:tc>
          <w:tcPr>
            <w:tcW w:w="54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gridSpan w:val="2"/>
            <w:shd w:val="clear" w:color="auto" w:fill="CBEBF4"/>
          </w:tcPr>
          <w:p>
            <w:pPr>
              <w:jc w:val="right"/>
              <w:ind w:right="1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1,806.30</w:t>
            </w:r>
          </w:p>
        </w:tc>
        <w:tc>
          <w:tcPr>
            <w:tcW w:w="3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144.85</w:t>
            </w:r>
          </w:p>
        </w:tc>
        <w:tc>
          <w:tcPr>
            <w:tcW w:w="3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190.59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760" w:firstLine="311"/>
        <w:spacing w:after="0" w:line="509" w:lineRule="auto"/>
        <w:rPr>
          <w:sz w:val="20"/>
          <w:szCs w:val="20"/>
          <w:color w:val="auto"/>
        </w:rPr>
      </w:pPr>
      <w:r>
        <w:rPr>
          <w:rFonts w:ascii="Times New Roman" w:cs="Times New Roman" w:eastAsia="Times New Roman" w:hAnsi="Times New Roman"/>
          <w:sz w:val="17"/>
          <w:szCs w:val="17"/>
          <w:color w:val="auto"/>
        </w:rPr>
        <w:t xml:space="preserve">For more information on capital and operating costs, see Section 18 of the NORI Technical Report Summary. </w:t>
      </w:r>
      <w:r>
        <w:rPr>
          <w:rFonts w:ascii="Times New Roman" w:cs="Times New Roman" w:eastAsia="Times New Roman" w:hAnsi="Times New Roman"/>
          <w:sz w:val="17"/>
          <w:szCs w:val="17"/>
          <w:i w:val="1"/>
          <w:iCs w:val="1"/>
          <w:color w:val="auto"/>
        </w:rPr>
        <w:t>Cash flows analysis</w:t>
      </w:r>
    </w:p>
    <w:p>
      <w:pPr>
        <w:spacing w:after="0" w:line="1" w:lineRule="exact"/>
        <w:rPr>
          <w:sz w:val="20"/>
          <w:szCs w:val="20"/>
          <w:color w:val="auto"/>
        </w:rPr>
      </w:pPr>
    </w:p>
    <w:p>
      <w:pPr>
        <w:jc w:val="both"/>
        <w:ind w:right="20" w:firstLine="311"/>
        <w:spacing w:after="0" w:line="259" w:lineRule="auto"/>
        <w:rPr>
          <w:sz w:val="20"/>
          <w:szCs w:val="20"/>
          <w:color w:val="auto"/>
        </w:rPr>
      </w:pPr>
      <w:r>
        <w:rPr>
          <w:rFonts w:ascii="Times New Roman" w:cs="Times New Roman" w:eastAsia="Times New Roman" w:hAnsi="Times New Roman"/>
          <w:sz w:val="17"/>
          <w:szCs w:val="17"/>
          <w:color w:val="auto"/>
        </w:rPr>
        <w:t>The economic analysis set forth in Section 19 of the NORI Technical Report Summary presents a post-tax, real (uninflated) cash flows analysis. The valuation date is January 1,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total cash flows are summarized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68"/>
        </w:trPr>
        <w:tc>
          <w:tcPr>
            <w:tcW w:w="5140" w:type="dxa"/>
            <w:vAlign w:val="bottom"/>
          </w:tcPr>
          <w:p>
            <w:pPr>
              <w:spacing w:after="0"/>
              <w:rPr>
                <w:sz w:val="14"/>
                <w:szCs w:val="14"/>
                <w:color w:val="auto"/>
              </w:rPr>
            </w:pPr>
          </w:p>
        </w:tc>
        <w:tc>
          <w:tcPr>
            <w:tcW w:w="3600" w:type="dxa"/>
            <w:vAlign w:val="bottom"/>
            <w:gridSpan w:val="2"/>
            <w:vMerge w:val="continue"/>
          </w:tcPr>
          <w:p>
            <w:pPr>
              <w:spacing w:after="0"/>
              <w:rPr>
                <w:sz w:val="14"/>
                <w:szCs w:val="14"/>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200"/>
        </w:trPr>
        <w:tc>
          <w:tcPr>
            <w:tcW w:w="514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Cash flow item</w:t>
            </w:r>
          </w:p>
        </w:tc>
        <w:tc>
          <w:tcPr>
            <w:tcW w:w="3120" w:type="dxa"/>
            <w:vAlign w:val="bottom"/>
            <w:tcBorders>
              <w:top w:val="single" w:sz="8" w:color="CBEBF4"/>
            </w:tcBorders>
            <w:shd w:val="clear" w:color="auto" w:fill="CBEBF4"/>
          </w:tcPr>
          <w:p>
            <w:pPr>
              <w:spacing w:after="0"/>
              <w:rPr>
                <w:sz w:val="17"/>
                <w:szCs w:val="17"/>
                <w:color w:val="auto"/>
              </w:rPr>
            </w:pPr>
          </w:p>
        </w:tc>
        <w:tc>
          <w:tcPr>
            <w:tcW w:w="480" w:type="dxa"/>
            <w:vAlign w:val="bottom"/>
            <w:tcBorders>
              <w:top w:val="single" w:sz="8" w:color="auto"/>
            </w:tcBorders>
            <w:shd w:val="clear" w:color="auto" w:fill="CBEBF4"/>
          </w:tcPr>
          <w:p>
            <w:pPr>
              <w:spacing w:after="0"/>
              <w:rPr>
                <w:sz w:val="17"/>
                <w:szCs w:val="17"/>
                <w:color w:val="auto"/>
              </w:rPr>
            </w:pPr>
          </w:p>
        </w:tc>
        <w:tc>
          <w:tcPr>
            <w:tcW w:w="88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Ni revenue</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44,106</w:t>
            </w:r>
          </w:p>
        </w:tc>
        <w:tc>
          <w:tcPr>
            <w:tcW w:w="0" w:type="dxa"/>
            <w:vAlign w:val="bottom"/>
          </w:tcPr>
          <w:p>
            <w:pPr>
              <w:spacing w:after="0"/>
              <w:rPr>
                <w:sz w:val="1"/>
                <w:szCs w:val="1"/>
                <w:color w:val="auto"/>
              </w:rPr>
            </w:pPr>
          </w:p>
        </w:tc>
      </w:tr>
      <w:tr>
        <w:trPr>
          <w:trHeight w:val="20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Mn revenue</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26,785</w:t>
            </w: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 revenue</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0" w:type="dxa"/>
            <w:vAlign w:val="bottom"/>
          </w:tcPr>
          <w:p>
            <w:pPr>
              <w:spacing w:after="0"/>
              <w:rPr>
                <w:sz w:val="1"/>
                <w:szCs w:val="1"/>
                <w:color w:val="auto"/>
              </w:rPr>
            </w:pPr>
          </w:p>
        </w:tc>
      </w:tr>
      <w:tr>
        <w:trPr>
          <w:trHeight w:val="20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Co revenue</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11,075</w:t>
            </w: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Ammonium sulfate revenue</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0" w:type="dxa"/>
            <w:vAlign w:val="bottom"/>
          </w:tcPr>
          <w:p>
            <w:pPr>
              <w:spacing w:after="0"/>
              <w:rPr>
                <w:sz w:val="1"/>
                <w:szCs w:val="1"/>
                <w:color w:val="auto"/>
              </w:rPr>
            </w:pPr>
          </w:p>
        </w:tc>
      </w:tr>
      <w:tr>
        <w:trPr>
          <w:trHeight w:val="220"/>
        </w:trPr>
        <w:tc>
          <w:tcPr>
            <w:tcW w:w="5140" w:type="dxa"/>
            <w:vAlign w:val="bottom"/>
            <w:tcBorders>
              <w:top w:val="single" w:sz="8" w:color="CBEBF4"/>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120" w:type="dxa"/>
            <w:vAlign w:val="bottom"/>
            <w:tcBorders>
              <w:top w:val="single" w:sz="8" w:color="CBEBF4"/>
              <w:bottom w:val="single" w:sz="8" w:color="CBEBF4"/>
            </w:tcBorders>
            <w:shd w:val="clear" w:color="auto" w:fill="CBEBF4"/>
          </w:tcPr>
          <w:p>
            <w:pPr>
              <w:spacing w:after="0"/>
              <w:rPr>
                <w:sz w:val="19"/>
                <w:szCs w:val="19"/>
                <w:color w:val="auto"/>
              </w:rPr>
            </w:pPr>
          </w:p>
        </w:tc>
        <w:tc>
          <w:tcPr>
            <w:tcW w:w="480" w:type="dxa"/>
            <w:vAlign w:val="bottom"/>
            <w:tcBorders>
              <w:top w:val="single" w:sz="8" w:color="auto"/>
              <w:bottom w:val="single" w:sz="8" w:color="auto"/>
            </w:tcBorders>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95,090</w:t>
            </w:r>
          </w:p>
        </w:tc>
        <w:tc>
          <w:tcPr>
            <w:tcW w:w="0" w:type="dxa"/>
            <w:vAlign w:val="bottom"/>
          </w:tcPr>
          <w:p>
            <w:pPr>
              <w:spacing w:after="0"/>
              <w:rPr>
                <w:sz w:val="1"/>
                <w:szCs w:val="1"/>
                <w:color w:val="auto"/>
              </w:rPr>
            </w:pPr>
          </w:p>
        </w:tc>
      </w:tr>
      <w:tr>
        <w:trPr>
          <w:trHeight w:val="180"/>
        </w:trPr>
        <w:tc>
          <w:tcPr>
            <w:tcW w:w="514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Pre-project capital</w:t>
            </w:r>
          </w:p>
        </w:tc>
        <w:tc>
          <w:tcPr>
            <w:tcW w:w="3120" w:type="dxa"/>
            <w:vAlign w:val="bottom"/>
          </w:tcPr>
          <w:p>
            <w:pPr>
              <w:spacing w:after="0"/>
              <w:rPr>
                <w:sz w:val="15"/>
                <w:szCs w:val="15"/>
                <w:color w:val="auto"/>
              </w:rPr>
            </w:pPr>
          </w:p>
        </w:tc>
        <w:tc>
          <w:tcPr>
            <w:tcW w:w="480" w:type="dxa"/>
            <w:vAlign w:val="bottom"/>
          </w:tcPr>
          <w:p>
            <w:pPr>
              <w:jc w:val="right"/>
              <w:ind w:right="31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Offshore construction</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Onshore construction</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0" w:type="dxa"/>
            <w:vAlign w:val="bottom"/>
          </w:tcPr>
          <w:p>
            <w:pPr>
              <w:spacing w:after="0"/>
              <w:rPr>
                <w:sz w:val="1"/>
                <w:szCs w:val="1"/>
                <w:color w:val="auto"/>
              </w:rPr>
            </w:pPr>
          </w:p>
        </w:tc>
      </w:tr>
      <w:tr>
        <w:trPr>
          <w:trHeight w:val="20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Offshore sustaining capital</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Onshore sustaining capital</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0" w:type="dxa"/>
            <w:vAlign w:val="bottom"/>
          </w:tcPr>
          <w:p>
            <w:pPr>
              <w:spacing w:after="0"/>
              <w:rPr>
                <w:sz w:val="1"/>
                <w:szCs w:val="1"/>
                <w:color w:val="auto"/>
              </w:rPr>
            </w:pPr>
          </w:p>
        </w:tc>
      </w:tr>
      <w:tr>
        <w:trPr>
          <w:trHeight w:val="22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Closure costs</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180"/>
        </w:trPr>
        <w:tc>
          <w:tcPr>
            <w:tcW w:w="5140" w:type="dxa"/>
            <w:vAlign w:val="bottom"/>
            <w:tcBorders>
              <w:top w:val="single" w:sz="8" w:color="CBEBF4"/>
              <w:bottom w:val="single" w:sz="8" w:color="CBEBF4"/>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Total capital</w:t>
            </w:r>
          </w:p>
        </w:tc>
        <w:tc>
          <w:tcPr>
            <w:tcW w:w="3120" w:type="dxa"/>
            <w:vAlign w:val="bottom"/>
            <w:tcBorders>
              <w:top w:val="single" w:sz="8" w:color="CBEBF4"/>
              <w:bottom w:val="single" w:sz="8" w:color="CBEBF4"/>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314"/>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10,608</w:t>
            </w:r>
          </w:p>
        </w:tc>
        <w:tc>
          <w:tcPr>
            <w:tcW w:w="0" w:type="dxa"/>
            <w:vAlign w:val="bottom"/>
          </w:tcPr>
          <w:p>
            <w:pPr>
              <w:spacing w:after="0"/>
              <w:rPr>
                <w:sz w:val="1"/>
                <w:szCs w:val="1"/>
                <w:color w:val="auto"/>
              </w:rPr>
            </w:pPr>
          </w:p>
        </w:tc>
      </w:tr>
      <w:tr>
        <w:trPr>
          <w:trHeight w:val="200"/>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Offshore operating costs</w:t>
            </w:r>
          </w:p>
        </w:tc>
        <w:tc>
          <w:tcPr>
            <w:tcW w:w="3120" w:type="dxa"/>
            <w:vAlign w:val="bottom"/>
            <w:shd w:val="clear" w:color="auto" w:fill="CBEBF4"/>
          </w:tcPr>
          <w:p>
            <w:pPr>
              <w:spacing w:after="0"/>
              <w:rPr>
                <w:sz w:val="17"/>
                <w:szCs w:val="17"/>
                <w:color w:val="auto"/>
              </w:rPr>
            </w:pPr>
          </w:p>
        </w:tc>
        <w:tc>
          <w:tcPr>
            <w:tcW w:w="480" w:type="dxa"/>
            <w:vAlign w:val="bottom"/>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5,154</w:t>
            </w: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Shipping costs</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w:t>
            </w:r>
          </w:p>
        </w:tc>
        <w:tc>
          <w:tcPr>
            <w:tcW w:w="0" w:type="dxa"/>
            <w:vAlign w:val="bottom"/>
          </w:tcPr>
          <w:p>
            <w:pPr>
              <w:spacing w:after="0"/>
              <w:rPr>
                <w:sz w:val="1"/>
                <w:szCs w:val="1"/>
                <w:color w:val="auto"/>
              </w:rPr>
            </w:pPr>
          </w:p>
        </w:tc>
      </w:tr>
      <w:tr>
        <w:trPr>
          <w:trHeight w:val="20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Onshore operating costs</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26,544</w:t>
            </w:r>
          </w:p>
        </w:tc>
        <w:tc>
          <w:tcPr>
            <w:tcW w:w="0" w:type="dxa"/>
            <w:vAlign w:val="bottom"/>
          </w:tcPr>
          <w:p>
            <w:pPr>
              <w:spacing w:after="0"/>
              <w:rPr>
                <w:sz w:val="1"/>
                <w:szCs w:val="1"/>
                <w:color w:val="auto"/>
              </w:rPr>
            </w:pPr>
          </w:p>
        </w:tc>
      </w:tr>
      <w:tr>
        <w:trPr>
          <w:trHeight w:val="207"/>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Corporate costs</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00"/>
        </w:trPr>
        <w:tc>
          <w:tcPr>
            <w:tcW w:w="514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Total operating costs</w:t>
            </w:r>
          </w:p>
        </w:tc>
        <w:tc>
          <w:tcPr>
            <w:tcW w:w="3120" w:type="dxa"/>
            <w:vAlign w:val="bottom"/>
            <w:tcBorders>
              <w:top w:val="single" w:sz="8" w:color="CBEBF4"/>
            </w:tcBorders>
            <w:shd w:val="clear" w:color="auto" w:fill="CBEBF4"/>
          </w:tcPr>
          <w:p>
            <w:pPr>
              <w:spacing w:after="0"/>
              <w:rPr>
                <w:sz w:val="17"/>
                <w:szCs w:val="17"/>
                <w:color w:val="auto"/>
              </w:rPr>
            </w:pPr>
          </w:p>
        </w:tc>
        <w:tc>
          <w:tcPr>
            <w:tcW w:w="480" w:type="dxa"/>
            <w:vAlign w:val="bottom"/>
            <w:tcBorders>
              <w:top w:val="single" w:sz="8" w:color="auto"/>
              <w:bottom w:val="single" w:sz="8" w:color="auto"/>
            </w:tcBorders>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37,524</w:t>
            </w:r>
          </w:p>
        </w:tc>
        <w:tc>
          <w:tcPr>
            <w:tcW w:w="0" w:type="dxa"/>
            <w:vAlign w:val="bottom"/>
          </w:tcPr>
          <w:p>
            <w:pPr>
              <w:spacing w:after="0"/>
              <w:rPr>
                <w:sz w:val="1"/>
                <w:szCs w:val="1"/>
                <w:color w:val="auto"/>
              </w:rPr>
            </w:pPr>
          </w:p>
        </w:tc>
      </w:tr>
      <w:tr>
        <w:trPr>
          <w:trHeight w:val="200"/>
        </w:trPr>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Royalties</w:t>
            </w:r>
          </w:p>
        </w:tc>
        <w:tc>
          <w:tcPr>
            <w:tcW w:w="3120" w:type="dxa"/>
            <w:vAlign w:val="bottom"/>
          </w:tcPr>
          <w:p>
            <w:pPr>
              <w:spacing w:after="0"/>
              <w:rPr>
                <w:sz w:val="17"/>
                <w:szCs w:val="17"/>
                <w:color w:val="auto"/>
              </w:rPr>
            </w:pPr>
          </w:p>
        </w:tc>
        <w:tc>
          <w:tcPr>
            <w:tcW w:w="48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7,195</w:t>
            </w:r>
          </w:p>
        </w:tc>
        <w:tc>
          <w:tcPr>
            <w:tcW w:w="0" w:type="dxa"/>
            <w:vAlign w:val="bottom"/>
          </w:tcPr>
          <w:p>
            <w:pPr>
              <w:spacing w:after="0"/>
              <w:rPr>
                <w:sz w:val="1"/>
                <w:szCs w:val="1"/>
                <w:color w:val="auto"/>
              </w:rPr>
            </w:pPr>
          </w:p>
        </w:tc>
      </w:tr>
      <w:tr>
        <w:trPr>
          <w:trHeight w:val="207"/>
        </w:trPr>
        <w:tc>
          <w:tcPr>
            <w:tcW w:w="51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Onshore tax</w:t>
            </w:r>
          </w:p>
        </w:tc>
        <w:tc>
          <w:tcPr>
            <w:tcW w:w="3600" w:type="dxa"/>
            <w:vAlign w:val="bottom"/>
            <w:gridSpan w:val="2"/>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0" w:type="dxa"/>
            <w:vAlign w:val="bottom"/>
          </w:tcPr>
          <w:p>
            <w:pPr>
              <w:spacing w:after="0"/>
              <w:rPr>
                <w:sz w:val="1"/>
                <w:szCs w:val="1"/>
                <w:color w:val="auto"/>
              </w:rPr>
            </w:pPr>
          </w:p>
        </w:tc>
      </w:tr>
      <w:tr>
        <w:trPr>
          <w:trHeight w:val="200"/>
        </w:trPr>
        <w:tc>
          <w:tcPr>
            <w:tcW w:w="514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b w:val="1"/>
                <w:bCs w:val="1"/>
                <w:color w:val="auto"/>
              </w:rPr>
              <w:t>Taxes and royalties</w:t>
            </w:r>
          </w:p>
        </w:tc>
        <w:tc>
          <w:tcPr>
            <w:tcW w:w="3120" w:type="dxa"/>
            <w:vAlign w:val="bottom"/>
            <w:tcBorders>
              <w:bottom w:val="single" w:sz="8" w:color="CBEBF4"/>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16,318</w:t>
            </w:r>
          </w:p>
        </w:tc>
        <w:tc>
          <w:tcPr>
            <w:tcW w:w="0" w:type="dxa"/>
            <w:vAlign w:val="bottom"/>
          </w:tcPr>
          <w:p>
            <w:pPr>
              <w:spacing w:after="0"/>
              <w:rPr>
                <w:sz w:val="1"/>
                <w:szCs w:val="1"/>
                <w:color w:val="auto"/>
              </w:rPr>
            </w:pPr>
          </w:p>
        </w:tc>
      </w:tr>
      <w:tr>
        <w:trPr>
          <w:trHeight w:val="200"/>
        </w:trPr>
        <w:tc>
          <w:tcPr>
            <w:tcW w:w="514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Net undiscounted cash flow</w:t>
            </w:r>
          </w:p>
        </w:tc>
        <w:tc>
          <w:tcPr>
            <w:tcW w:w="3120" w:type="dxa"/>
            <w:vAlign w:val="bottom"/>
            <w:tcBorders>
              <w:bottom w:val="single" w:sz="8" w:color="CBEBF4"/>
            </w:tcBorders>
            <w:shd w:val="clear" w:color="auto" w:fill="CBEBF4"/>
          </w:tcPr>
          <w:p>
            <w:pPr>
              <w:spacing w:after="0"/>
              <w:rPr>
                <w:sz w:val="17"/>
                <w:szCs w:val="17"/>
                <w:color w:val="auto"/>
              </w:rPr>
            </w:pPr>
          </w:p>
        </w:tc>
        <w:tc>
          <w:tcPr>
            <w:tcW w:w="480" w:type="dxa"/>
            <w:vAlign w:val="bottom"/>
            <w:tcBorders>
              <w:bottom w:val="single" w:sz="8" w:color="auto"/>
            </w:tcBorders>
            <w:shd w:val="clear" w:color="auto" w:fill="CBEBF4"/>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30,640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620"/>
          </w:cols>
          <w:pgMar w:left="1320" w:top="1324" w:right="1300" w:bottom="1440" w:gutter="0" w:footer="0" w:header="0"/>
        </w:sectPr>
      </w:pP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371475</wp:posOffset>
                </wp:positionV>
                <wp:extent cx="6109970" cy="0"/>
                <wp:wrapNone/>
                <wp:docPr id="493" name="Shape 4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493" o:spid="_x0000_s15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9.25pt" to="480.55pt,29.25pt" o:allowincell="f" strokecolor="#000000" strokeweight="1.9434pt"/>
            </w:pict>
          </mc:Fallback>
        </mc:AlternateContent>
      </w:r>
    </w:p>
    <w:p>
      <w:pPr>
        <w:sectPr>
          <w:pgSz w:w="12240" w:h="15840" w:orient="portrait"/>
          <w:cols w:equalWidth="0" w:num="1">
            <w:col w:w="9620"/>
          </w:cols>
          <w:pgMar w:left="1320" w:top="1324" w:right="1300" w:bottom="1440" w:gutter="0" w:footer="0" w:header="0"/>
          <w:type w:val="continuous"/>
        </w:sectPr>
      </w:pPr>
    </w:p>
    <w:bookmarkStart w:id="95" w:name="page96"/>
    <w:bookmarkEnd w:id="95"/>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494" name="Shape 4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94" o:spid="_x0000_s15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496" name="Shape 4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496" o:spid="_x0000_s15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154305</wp:posOffset>
            </wp:positionV>
            <wp:extent cx="5058410" cy="22225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36">
                      <a:extLst>
                        <a:ext uri="{28A0092B-C50C-407E-A947-70E740481C1C}"/>
                      </a:extLst>
                    </a:blip>
                    <a:srcRect/>
                    <a:stretch>
                      <a:fillRect/>
                    </a:stretch>
                  </pic:blipFill>
                  <pic:spPr bwMode="auto">
                    <a:xfrm>
                      <a:off x="0" y="0"/>
                      <a:ext cx="5058410" cy="2222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The date of the investment decision, as outlined in the initial assessment contained in the NORI Technical Report Summary was expected to be on or around June 30, 2023. The analysis assumes NORI spending of $237 million on pre-project activities between 2021 (which were progressed in 2021) and 2024. The future value of the project on June 30, 2023 (after the pre-project expenditure is sunk and time has elapsed) is expected to be $8.6 billion and the initial rate of return from that point is expected to be 29%.</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96" w:name="page97"/>
    <w:bookmarkEnd w:id="96"/>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117475</wp:posOffset>
            </wp:positionV>
            <wp:extent cx="4778375" cy="276542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37">
                      <a:extLst>
                        <a:ext uri="{28A0092B-C50C-407E-A947-70E740481C1C}"/>
                      </a:extLst>
                    </a:blip>
                    <a:srcRect/>
                    <a:stretch>
                      <a:fillRect/>
                    </a:stretch>
                  </pic:blipFill>
                  <pic:spPr bwMode="auto">
                    <a:xfrm>
                      <a:off x="0" y="0"/>
                      <a:ext cx="4778375" cy="276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Tornado diagram of NPV sensitivity to variables</w:t>
      </w:r>
    </w:p>
    <w:p>
      <w:pPr>
        <w:spacing w:after="0" w:line="219"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 controls and data verification</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165"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363855</wp:posOffset>
                </wp:positionV>
                <wp:extent cx="6109970"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65pt" to="480.55pt,28.65pt" o:allowincell="f" strokecolor="#000000" strokeweight="1.9434pt"/>
            </w:pict>
          </mc:Fallback>
        </mc:AlternateContent>
      </w:r>
    </w:p>
    <w:p>
      <w:pPr>
        <w:sectPr>
          <w:pgSz w:w="12240" w:h="15840" w:orient="portrait"/>
          <w:cols w:equalWidth="0" w:num="1">
            <w:col w:w="9600"/>
          </w:cols>
          <w:pgMar w:left="1320" w:top="1327" w:right="1320" w:bottom="1440" w:gutter="0" w:footer="0" w:header="0"/>
        </w:sectPr>
      </w:pPr>
    </w:p>
    <w:bookmarkStart w:id="97" w:name="page98"/>
    <w:bookmarkEnd w:id="97"/>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370"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about quality control/quality assurance and data verification, see Section 8 and Section 9 of the NORI Technical Report Summary.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TOML Contract Area</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incorporated by reference as exhibit 96.2 to this Annual Report.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11" name="Shape 5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11" o:spid="_x0000_s15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12" name="Shape 5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12" o:spid="_x0000_s15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14" name="Shape 5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14" o:spid="_x0000_s15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Location of the TOML Contract Area and access</w:t>
      </w:r>
    </w:p>
    <w:p>
      <w:pPr>
        <w:spacing w:after="0" w:line="218" w:lineRule="exact"/>
        <w:rPr>
          <w:sz w:val="20"/>
          <w:szCs w:val="20"/>
          <w:color w:val="auto"/>
        </w:rPr>
      </w:pPr>
    </w:p>
    <w:p>
      <w:pPr>
        <w:jc w:val="both"/>
        <w:ind w:left="20" w:firstLine="312"/>
        <w:spacing w:after="0" w:line="263" w:lineRule="auto"/>
        <w:rPr>
          <w:sz w:val="20"/>
          <w:szCs w:val="20"/>
          <w:color w:val="auto"/>
        </w:rPr>
      </w:pPr>
      <w:r>
        <w:rPr>
          <w:rFonts w:ascii="Times New Roman" w:cs="Times New Roman" w:eastAsia="Times New Roman" w:hAnsi="Times New Roman"/>
          <w:sz w:val="17"/>
          <w:szCs w:val="17"/>
          <w:color w:val="auto"/>
        </w:rPr>
        <w:t>The TOML Area is located within the CCZ of the northeast Pacific Ocean. The CCZ is located in international waters between Hawaii and Mexico. The western-end of the CCZ is approximately 1,000 kilometers south of the Hawaiian island group. From here, the CCZ extends over 4,500 kilometers east-northeast, in an approximately 600 kilomeers wide trend, with the eastern limits approximately 2,000 kilometers west of southern Mexico. The region is well-located to ship nodules to the American continent or across the Pacific to Asian markets. The TOML Contract Area comprises six separate blocks (A through F) in the CCZ with a combined area of 74,713 square kilometers.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687705</wp:posOffset>
            </wp:positionH>
            <wp:positionV relativeFrom="paragraph">
              <wp:posOffset>120650</wp:posOffset>
            </wp:positionV>
            <wp:extent cx="4745355" cy="36791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38">
                      <a:extLst>
                        <a:ext uri="{28A0092B-C50C-407E-A947-70E740481C1C}"/>
                      </a:extLst>
                    </a:blip>
                    <a:srcRect/>
                    <a:stretch>
                      <a:fillRect/>
                    </a:stretch>
                  </pic:blipFill>
                  <pic:spPr bwMode="auto">
                    <a:xfrm>
                      <a:off x="0" y="0"/>
                      <a:ext cx="4745355" cy="367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TOML Contract Area extents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UTM</w:t>
            </w:r>
          </w:p>
        </w:tc>
        <w:tc>
          <w:tcPr>
            <w:tcW w:w="0" w:type="dxa"/>
            <w:vAlign w:val="bottom"/>
          </w:tcPr>
          <w:p>
            <w:pPr>
              <w:spacing w:after="0"/>
              <w:rPr>
                <w:sz w:val="1"/>
                <w:szCs w:val="1"/>
                <w:color w:val="auto"/>
              </w:rPr>
            </w:pPr>
          </w:p>
        </w:tc>
      </w:tr>
      <w:tr>
        <w:trPr>
          <w:trHeight w:val="143"/>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Area</w:t>
            </w:r>
          </w:p>
        </w:tc>
        <w:tc>
          <w:tcPr>
            <w:tcW w:w="140" w:type="dxa"/>
            <w:vAlign w:val="bottom"/>
          </w:tcPr>
          <w:p>
            <w:pPr>
              <w:spacing w:after="0"/>
              <w:rPr>
                <w:sz w:val="12"/>
                <w:szCs w:val="12"/>
                <w:color w:val="auto"/>
              </w:rPr>
            </w:pPr>
          </w:p>
        </w:tc>
        <w:tc>
          <w:tcPr>
            <w:tcW w:w="86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Latitude</w:t>
            </w:r>
          </w:p>
        </w:tc>
        <w:tc>
          <w:tcPr>
            <w:tcW w:w="8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Longitude</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Longitude</w:t>
            </w:r>
          </w:p>
        </w:tc>
        <w:tc>
          <w:tcPr>
            <w:tcW w:w="7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7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8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8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(DD)</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14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(DD)</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Zone</w:t>
            </w:r>
          </w:p>
        </w:tc>
        <w:tc>
          <w:tcPr>
            <w:tcW w:w="0" w:type="dxa"/>
            <w:vAlign w:val="bottom"/>
          </w:tcPr>
          <w:p>
            <w:pPr>
              <w:spacing w:after="0"/>
              <w:rPr>
                <w:sz w:val="1"/>
                <w:szCs w:val="1"/>
                <w:color w:val="auto"/>
              </w:rPr>
            </w:pPr>
          </w:p>
        </w:tc>
      </w:tr>
      <w:tr>
        <w:trPr>
          <w:trHeight w:val="200"/>
        </w:trPr>
        <w:tc>
          <w:tcPr>
            <w:tcW w:w="2260" w:type="dxa"/>
            <w:vAlign w:val="bottom"/>
            <w:tcBorders>
              <w:top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A</w:t>
            </w:r>
          </w:p>
        </w:tc>
        <w:tc>
          <w:tcPr>
            <w:tcW w:w="14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7.167 N</w:t>
            </w:r>
          </w:p>
        </w:tc>
        <w:tc>
          <w:tcPr>
            <w:tcW w:w="140" w:type="dxa"/>
            <w:vAlign w:val="bottom"/>
            <w:tcBorders>
              <w:top w:val="single" w:sz="8" w:color="CBEBF4"/>
            </w:tcBorders>
            <w:shd w:val="clear" w:color="auto" w:fill="CBEBF4"/>
          </w:tcPr>
          <w:p>
            <w:pPr>
              <w:spacing w:after="0"/>
              <w:rPr>
                <w:sz w:val="17"/>
                <w:szCs w:val="17"/>
                <w:color w:val="auto"/>
              </w:rPr>
            </w:pPr>
          </w:p>
        </w:tc>
        <w:tc>
          <w:tcPr>
            <w:tcW w:w="720" w:type="dxa"/>
            <w:vAlign w:val="bottom"/>
            <w:tcBorders>
              <w:top w:val="single" w:sz="8" w:color="auto"/>
            </w:tcBorders>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8.167 N</w:t>
            </w:r>
          </w:p>
        </w:tc>
        <w:tc>
          <w:tcPr>
            <w:tcW w:w="14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151.667 W</w:t>
            </w:r>
          </w:p>
        </w:tc>
        <w:tc>
          <w:tcPr>
            <w:tcW w:w="14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152.510 W</w:t>
            </w:r>
          </w:p>
        </w:tc>
        <w:tc>
          <w:tcPr>
            <w:tcW w:w="140" w:type="dxa"/>
            <w:vAlign w:val="bottom"/>
            <w:tcBorders>
              <w:top w:val="single" w:sz="8" w:color="CBEBF4"/>
            </w:tcBorders>
            <w:shd w:val="clear" w:color="auto" w:fill="CBEBF4"/>
          </w:tcPr>
          <w:p>
            <w:pPr>
              <w:spacing w:after="0"/>
              <w:rPr>
                <w:sz w:val="17"/>
                <w:szCs w:val="17"/>
                <w:color w:val="auto"/>
              </w:rPr>
            </w:pPr>
          </w:p>
        </w:tc>
        <w:tc>
          <w:tcPr>
            <w:tcW w:w="62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553972</w:t>
            </w:r>
          </w:p>
        </w:tc>
        <w:tc>
          <w:tcPr>
            <w:tcW w:w="140" w:type="dxa"/>
            <w:vAlign w:val="bottom"/>
            <w:tcBorders>
              <w:top w:val="single" w:sz="8" w:color="CBEBF4"/>
            </w:tcBorders>
            <w:shd w:val="clear" w:color="auto" w:fill="CBEBF4"/>
          </w:tcPr>
          <w:p>
            <w:pPr>
              <w:spacing w:after="0"/>
              <w:rPr>
                <w:sz w:val="17"/>
                <w:szCs w:val="17"/>
                <w:color w:val="auto"/>
              </w:rPr>
            </w:pPr>
          </w:p>
        </w:tc>
        <w:tc>
          <w:tcPr>
            <w:tcW w:w="62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7"/>
              </w:rPr>
              <w:t>647187</w:t>
            </w:r>
          </w:p>
        </w:tc>
        <w:tc>
          <w:tcPr>
            <w:tcW w:w="140" w:type="dxa"/>
            <w:vAlign w:val="bottom"/>
            <w:tcBorders>
              <w:top w:val="single" w:sz="8" w:color="CBEBF4"/>
            </w:tcBorders>
            <w:shd w:val="clear" w:color="auto" w:fill="CBEBF4"/>
          </w:tcPr>
          <w:p>
            <w:pPr>
              <w:spacing w:after="0"/>
              <w:rPr>
                <w:sz w:val="17"/>
                <w:szCs w:val="17"/>
                <w:color w:val="auto"/>
              </w:rPr>
            </w:pPr>
          </w:p>
        </w:tc>
        <w:tc>
          <w:tcPr>
            <w:tcW w:w="6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792205</w:t>
            </w:r>
          </w:p>
        </w:tc>
        <w:tc>
          <w:tcPr>
            <w:tcW w:w="140" w:type="dxa"/>
            <w:vAlign w:val="bottom"/>
            <w:tcBorders>
              <w:top w:val="single" w:sz="8" w:color="CBEBF4"/>
            </w:tcBorders>
            <w:shd w:val="clear" w:color="auto" w:fill="CBEBF4"/>
          </w:tcPr>
          <w:p>
            <w:pPr>
              <w:spacing w:after="0"/>
              <w:rPr>
                <w:sz w:val="17"/>
                <w:szCs w:val="17"/>
                <w:color w:val="auto"/>
              </w:rPr>
            </w:pPr>
          </w:p>
        </w:tc>
        <w:tc>
          <w:tcPr>
            <w:tcW w:w="7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902968</w:t>
            </w:r>
          </w:p>
        </w:tc>
        <w:tc>
          <w:tcPr>
            <w:tcW w:w="140" w:type="dxa"/>
            <w:vAlign w:val="bottom"/>
            <w:tcBorders>
              <w:top w:val="single" w:sz="8" w:color="CBEBF4"/>
            </w:tcBorders>
            <w:shd w:val="clear" w:color="auto" w:fill="CBEBF4"/>
          </w:tcPr>
          <w:p>
            <w:pPr>
              <w:spacing w:after="0"/>
              <w:rPr>
                <w:sz w:val="17"/>
                <w:szCs w:val="17"/>
                <w:color w:val="auto"/>
              </w:rPr>
            </w:pPr>
          </w:p>
        </w:tc>
        <w:tc>
          <w:tcPr>
            <w:tcW w:w="3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05N</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13.580 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14.667 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132.000 W</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133.200 W</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694518</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824685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1502009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1623605</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08P</w:t>
            </w:r>
          </w:p>
        </w:tc>
        <w:tc>
          <w:tcPr>
            <w:tcW w:w="0" w:type="dxa"/>
            <w:vAlign w:val="bottom"/>
          </w:tcPr>
          <w:p>
            <w:pPr>
              <w:spacing w:after="0"/>
              <w:rPr>
                <w:sz w:val="1"/>
                <w:szCs w:val="1"/>
                <w:color w:val="auto"/>
              </w:rPr>
            </w:pPr>
          </w:p>
        </w:tc>
      </w:tr>
      <w:tr>
        <w:trPr>
          <w:trHeight w:val="207"/>
        </w:trPr>
        <w:tc>
          <w:tcPr>
            <w:tcW w:w="226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C</w:t>
            </w:r>
          </w:p>
        </w:tc>
        <w:tc>
          <w:tcPr>
            <w:tcW w:w="140" w:type="dxa"/>
            <w:vAlign w:val="bottom"/>
            <w:shd w:val="clear" w:color="auto" w:fill="CBEBF4"/>
          </w:tcPr>
          <w:p>
            <w:pPr>
              <w:spacing w:after="0"/>
              <w:rPr>
                <w:sz w:val="18"/>
                <w:szCs w:val="18"/>
                <w:color w:val="auto"/>
              </w:rPr>
            </w:pPr>
          </w:p>
        </w:tc>
        <w:tc>
          <w:tcPr>
            <w:tcW w:w="86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7"/>
                <w:szCs w:val="17"/>
                <w:color w:val="auto"/>
              </w:rPr>
              <w:t>15.000 N</w:t>
            </w:r>
          </w:p>
        </w:tc>
        <w:tc>
          <w:tcPr>
            <w:tcW w:w="860" w:type="dxa"/>
            <w:vAlign w:val="bottom"/>
            <w:gridSpan w:val="2"/>
            <w:shd w:val="clear" w:color="auto" w:fill="CBEBF4"/>
          </w:tcPr>
          <w:p>
            <w:pPr>
              <w:jc w:val="center"/>
              <w:ind w:right="180"/>
              <w:spacing w:after="0"/>
              <w:rPr>
                <w:sz w:val="20"/>
                <w:szCs w:val="20"/>
                <w:color w:val="auto"/>
              </w:rPr>
            </w:pPr>
            <w:r>
              <w:rPr>
                <w:rFonts w:ascii="Times New Roman" w:cs="Times New Roman" w:eastAsia="Times New Roman" w:hAnsi="Times New Roman"/>
                <w:sz w:val="17"/>
                <w:szCs w:val="17"/>
                <w:color w:val="auto"/>
              </w:rPr>
              <w:t>15.800 N</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128.583 W</w:t>
            </w:r>
          </w:p>
        </w:tc>
        <w:tc>
          <w:tcPr>
            <w:tcW w:w="140" w:type="dxa"/>
            <w:vAlign w:val="bottom"/>
            <w:shd w:val="clear" w:color="auto" w:fill="CBEBF4"/>
          </w:tcPr>
          <w:p>
            <w:pPr>
              <w:spacing w:after="0"/>
              <w:rPr>
                <w:sz w:val="18"/>
                <w:szCs w:val="18"/>
                <w:color w:val="auto"/>
              </w:rPr>
            </w:pPr>
          </w:p>
        </w:tc>
        <w:tc>
          <w:tcPr>
            <w:tcW w:w="980" w:type="dxa"/>
            <w:vAlign w:val="bottom"/>
            <w:gridSpan w:val="2"/>
            <w:shd w:val="clear" w:color="auto" w:fill="CBEBF4"/>
          </w:tcPr>
          <w:p>
            <w:pPr>
              <w:jc w:val="center"/>
              <w:ind w:right="160"/>
              <w:spacing w:after="0"/>
              <w:rPr>
                <w:sz w:val="20"/>
                <w:szCs w:val="20"/>
                <w:color w:val="auto"/>
              </w:rPr>
            </w:pPr>
            <w:r>
              <w:rPr>
                <w:rFonts w:ascii="Times New Roman" w:cs="Times New Roman" w:eastAsia="Times New Roman" w:hAnsi="Times New Roman"/>
                <w:sz w:val="17"/>
                <w:szCs w:val="17"/>
                <w:color w:val="auto"/>
              </w:rPr>
              <w:t>131.000 W</w:t>
            </w:r>
          </w:p>
        </w:tc>
        <w:tc>
          <w:tcPr>
            <w:tcW w:w="6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284947</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7"/>
              </w:rPr>
              <w:t>544791</w:t>
            </w:r>
          </w:p>
        </w:tc>
        <w:tc>
          <w:tcPr>
            <w:tcW w:w="140" w:type="dxa"/>
            <w:vAlign w:val="bottom"/>
            <w:shd w:val="clear" w:color="auto" w:fill="CBEBF4"/>
          </w:tcPr>
          <w:p>
            <w:pPr>
              <w:spacing w:after="0"/>
              <w:rPr>
                <w:sz w:val="18"/>
                <w:szCs w:val="18"/>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1658371</w:t>
            </w:r>
          </w:p>
        </w:tc>
        <w:tc>
          <w:tcPr>
            <w:tcW w:w="140" w:type="dxa"/>
            <w:vAlign w:val="bottom"/>
            <w:shd w:val="clear" w:color="auto" w:fill="CBEBF4"/>
          </w:tcPr>
          <w:p>
            <w:pPr>
              <w:spacing w:after="0"/>
              <w:rPr>
                <w:sz w:val="18"/>
                <w:szCs w:val="18"/>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1747847</w:t>
            </w:r>
          </w:p>
        </w:tc>
        <w:tc>
          <w:tcPr>
            <w:tcW w:w="140" w:type="dxa"/>
            <w:vAlign w:val="bottom"/>
            <w:shd w:val="clear" w:color="auto" w:fill="CBEBF4"/>
          </w:tcPr>
          <w:p>
            <w:pPr>
              <w:spacing w:after="0"/>
              <w:rPr>
                <w:sz w:val="18"/>
                <w:szCs w:val="18"/>
                <w:color w:val="auto"/>
              </w:rPr>
            </w:pPr>
          </w:p>
        </w:tc>
        <w:tc>
          <w:tcPr>
            <w:tcW w:w="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09P</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13.125 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14.083 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123.583 W</w:t>
            </w: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125.333 W</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247293</w:t>
            </w:r>
          </w:p>
        </w:tc>
        <w:tc>
          <w:tcPr>
            <w:tcW w:w="1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437022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1451031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1557860</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10P</w:t>
            </w:r>
          </w:p>
        </w:tc>
        <w:tc>
          <w:tcPr>
            <w:tcW w:w="0" w:type="dxa"/>
            <w:vAlign w:val="bottom"/>
          </w:tcPr>
          <w:p>
            <w:pPr>
              <w:spacing w:after="0"/>
              <w:rPr>
                <w:sz w:val="1"/>
                <w:szCs w:val="1"/>
                <w:color w:val="auto"/>
              </w:rPr>
            </w:pPr>
          </w:p>
        </w:tc>
      </w:tr>
      <w:tr>
        <w:trPr>
          <w:trHeight w:val="207"/>
        </w:trPr>
        <w:tc>
          <w:tcPr>
            <w:tcW w:w="226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E</w:t>
            </w:r>
          </w:p>
        </w:tc>
        <w:tc>
          <w:tcPr>
            <w:tcW w:w="140" w:type="dxa"/>
            <w:vAlign w:val="bottom"/>
            <w:shd w:val="clear" w:color="auto" w:fill="CBEBF4"/>
          </w:tcPr>
          <w:p>
            <w:pPr>
              <w:spacing w:after="0"/>
              <w:rPr>
                <w:sz w:val="18"/>
                <w:szCs w:val="18"/>
                <w:color w:val="auto"/>
              </w:rPr>
            </w:pPr>
          </w:p>
        </w:tc>
        <w:tc>
          <w:tcPr>
            <w:tcW w:w="86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7"/>
                <w:szCs w:val="17"/>
                <w:color w:val="auto"/>
              </w:rPr>
              <w:t>12.750 N</w:t>
            </w:r>
          </w:p>
        </w:tc>
        <w:tc>
          <w:tcPr>
            <w:tcW w:w="860" w:type="dxa"/>
            <w:vAlign w:val="bottom"/>
            <w:gridSpan w:val="2"/>
            <w:shd w:val="clear" w:color="auto" w:fill="CBEBF4"/>
          </w:tcPr>
          <w:p>
            <w:pPr>
              <w:jc w:val="center"/>
              <w:ind w:right="180"/>
              <w:spacing w:after="0"/>
              <w:rPr>
                <w:sz w:val="20"/>
                <w:szCs w:val="20"/>
                <w:color w:val="auto"/>
              </w:rPr>
            </w:pPr>
            <w:r>
              <w:rPr>
                <w:rFonts w:ascii="Times New Roman" w:cs="Times New Roman" w:eastAsia="Times New Roman" w:hAnsi="Times New Roman"/>
                <w:sz w:val="17"/>
                <w:szCs w:val="17"/>
                <w:color w:val="auto"/>
              </w:rPr>
              <w:t>13.083 N</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123.583 W</w:t>
            </w:r>
          </w:p>
        </w:tc>
        <w:tc>
          <w:tcPr>
            <w:tcW w:w="140" w:type="dxa"/>
            <w:vAlign w:val="bottom"/>
            <w:shd w:val="clear" w:color="auto" w:fill="CBEBF4"/>
          </w:tcPr>
          <w:p>
            <w:pPr>
              <w:spacing w:after="0"/>
              <w:rPr>
                <w:sz w:val="18"/>
                <w:szCs w:val="18"/>
                <w:color w:val="auto"/>
              </w:rPr>
            </w:pPr>
          </w:p>
        </w:tc>
        <w:tc>
          <w:tcPr>
            <w:tcW w:w="980" w:type="dxa"/>
            <w:vAlign w:val="bottom"/>
            <w:gridSpan w:val="2"/>
            <w:shd w:val="clear" w:color="auto" w:fill="CBEBF4"/>
          </w:tcPr>
          <w:p>
            <w:pPr>
              <w:jc w:val="center"/>
              <w:ind w:right="160"/>
              <w:spacing w:after="0"/>
              <w:rPr>
                <w:sz w:val="20"/>
                <w:szCs w:val="20"/>
                <w:color w:val="auto"/>
              </w:rPr>
            </w:pPr>
            <w:r>
              <w:rPr>
                <w:rFonts w:ascii="Times New Roman" w:cs="Times New Roman" w:eastAsia="Times New Roman" w:hAnsi="Times New Roman"/>
                <w:sz w:val="17"/>
                <w:szCs w:val="17"/>
                <w:color w:val="auto"/>
              </w:rPr>
              <w:t>125.333 W</w:t>
            </w:r>
          </w:p>
        </w:tc>
        <w:tc>
          <w:tcPr>
            <w:tcW w:w="6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246693</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436796</w:t>
            </w:r>
          </w:p>
        </w:tc>
        <w:tc>
          <w:tcPr>
            <w:tcW w:w="140" w:type="dxa"/>
            <w:vAlign w:val="bottom"/>
            <w:shd w:val="clear" w:color="auto" w:fill="CBEBF4"/>
          </w:tcPr>
          <w:p>
            <w:pPr>
              <w:spacing w:after="0"/>
              <w:rPr>
                <w:sz w:val="18"/>
                <w:szCs w:val="18"/>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1409563</w:t>
            </w:r>
          </w:p>
        </w:tc>
        <w:tc>
          <w:tcPr>
            <w:tcW w:w="140" w:type="dxa"/>
            <w:vAlign w:val="bottom"/>
            <w:shd w:val="clear" w:color="auto" w:fill="CBEBF4"/>
          </w:tcPr>
          <w:p>
            <w:pPr>
              <w:spacing w:after="0"/>
              <w:rPr>
                <w:sz w:val="18"/>
                <w:szCs w:val="18"/>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1447513</w:t>
            </w:r>
          </w:p>
        </w:tc>
        <w:tc>
          <w:tcPr>
            <w:tcW w:w="140" w:type="dxa"/>
            <w:vAlign w:val="bottom"/>
            <w:shd w:val="clear" w:color="auto" w:fill="CBEBF4"/>
          </w:tcPr>
          <w:p>
            <w:pPr>
              <w:spacing w:after="0"/>
              <w:rPr>
                <w:sz w:val="18"/>
                <w:szCs w:val="18"/>
                <w:color w:val="auto"/>
              </w:rPr>
            </w:pPr>
          </w:p>
        </w:tc>
        <w:tc>
          <w:tcPr>
            <w:tcW w:w="3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10P</w:t>
            </w:r>
          </w:p>
        </w:tc>
        <w:tc>
          <w:tcPr>
            <w:tcW w:w="0" w:type="dxa"/>
            <w:vAlign w:val="bottom"/>
          </w:tcPr>
          <w:p>
            <w:pPr>
              <w:spacing w:after="0"/>
              <w:rPr>
                <w:sz w:val="1"/>
                <w:szCs w:val="1"/>
                <w:color w:val="auto"/>
              </w:rPr>
            </w:pPr>
          </w:p>
        </w:tc>
      </w:tr>
      <w:tr>
        <w:trPr>
          <w:trHeight w:val="232"/>
        </w:trPr>
        <w:tc>
          <w:tcPr>
            <w:tcW w:w="2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9.895 N</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11.083 N</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117.817 W</w:t>
            </w:r>
          </w:p>
        </w:tc>
        <w:tc>
          <w:tcPr>
            <w:tcW w:w="14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118.917 W</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289835</w:t>
            </w:r>
          </w:p>
        </w:tc>
        <w:tc>
          <w:tcPr>
            <w:tcW w:w="1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410804</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1093917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1225828</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11P</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740" w:right="3980" w:hanging="4726"/>
        <w:spacing w:after="0" w:line="808" w:lineRule="auto"/>
        <w:tabs>
          <w:tab w:leader="none" w:pos="31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Decimal degrees, UTM — Universal Transverse Mercator map projection 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43180</wp:posOffset>
                </wp:positionV>
                <wp:extent cx="6110605"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3.4pt" to="481.55pt,3.4pt" o:allowincell="f" strokecolor="#000000" strokeweight="1.2956pt"/>
            </w:pict>
          </mc:Fallback>
        </mc:AlternateContent>
      </w:r>
    </w:p>
    <w:p>
      <w:pPr>
        <w:sectPr>
          <w:pgSz w:w="12240" w:h="15840" w:orient="portrait"/>
          <w:cols w:equalWidth="0" w:num="1">
            <w:col w:w="9620"/>
          </w:cols>
          <w:pgMar w:left="1300" w:top="1328" w:right="1320" w:bottom="1440" w:gutter="0" w:footer="0" w:header="0"/>
        </w:sectPr>
      </w:pPr>
    </w:p>
    <w:bookmarkStart w:id="99" w:name="page100"/>
    <w:bookmarkEnd w:id="99"/>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18" name="Shape 5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18" o:spid="_x0000_s15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20" name="Shape 5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20" o:spid="_x0000_s15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CCZ lies between Hawaii and Mexico and is accessible by ship from various ports in the U.S.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55" w:lineRule="exact"/>
        <w:rPr>
          <w:sz w:val="20"/>
          <w:szCs w:val="20"/>
          <w:color w:val="auto"/>
        </w:rPr>
      </w:pPr>
    </w:p>
    <w:p>
      <w:pPr>
        <w:ind w:right="180" w:firstLine="310"/>
        <w:spacing w:after="0" w:line="509" w:lineRule="auto"/>
        <w:rPr>
          <w:sz w:val="20"/>
          <w:szCs w:val="20"/>
          <w:color w:val="auto"/>
        </w:rPr>
      </w:pPr>
      <w:r>
        <w:rPr>
          <w:rFonts w:ascii="Times New Roman" w:cs="Times New Roman" w:eastAsia="Times New Roman" w:hAnsi="Times New Roman"/>
          <w:sz w:val="17"/>
          <w:szCs w:val="17"/>
          <w:color w:val="auto"/>
        </w:rPr>
        <w:t xml:space="preserve">See Section 3 of the TOML Technical Report Summary for further specific information of the location of the TOML Contract Area. </w:t>
      </w:r>
      <w:r>
        <w:rPr>
          <w:rFonts w:ascii="Times New Roman" w:cs="Times New Roman" w:eastAsia="Times New Roman" w:hAnsi="Times New Roman"/>
          <w:sz w:val="17"/>
          <w:szCs w:val="17"/>
          <w:b w:val="1"/>
          <w:bCs w:val="1"/>
          <w:i w:val="1"/>
          <w:iCs w:val="1"/>
          <w:color w:val="auto"/>
        </w:rPr>
        <w:t>Tenements and permits</w:t>
      </w: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Regulations-The TOML Exploration Contract, Business Regulations-The TOML Sponsorship Agreement and Business Regulations- International Seabed Authority above for information related to tenements and permits in the TOML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TOML obligations and sponsorship</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Regulations-The TOML Exploration Contract, Business Regulations-The TOML Sponsorship Agreement above for information related to this agreement in the TOML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Royalties and taxes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Regulations-Royalties and taxes above for information with respect to our obligations for royalties and taxes in the TOML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History of previous exploration activities in the TOML Area</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6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6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66"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Section 5 of the TOML Technical Report Summary for further specific information of the history of previous exploration of the TOML Contract Area.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21" name="Shape 5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521" o:spid="_x0000_s15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23" name="Shape 5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23" o:spid="_x0000_s15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24" name="Shape 5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24" o:spid="_x0000_s15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Geology and sampling</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kilometers in length and up to 600 kilometers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7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5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3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6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5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65"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65" w:lineRule="exact"/>
        <w:rPr>
          <w:sz w:val="20"/>
          <w:szCs w:val="20"/>
          <w:color w:val="auto"/>
        </w:rPr>
      </w:pPr>
    </w:p>
    <w:p>
      <w:pPr>
        <w:jc w:val="both"/>
        <w:ind w:firstLine="311"/>
        <w:spacing w:after="0" w:line="228" w:lineRule="auto"/>
        <w:rPr>
          <w:sz w:val="20"/>
          <w:szCs w:val="20"/>
          <w:color w:val="auto"/>
        </w:rPr>
      </w:pPr>
      <w:r>
        <w:rPr>
          <w:rFonts w:ascii="Times New Roman" w:cs="Times New Roman" w:eastAsia="Times New Roman" w:hAnsi="Times New Roman"/>
          <w:sz w:val="17"/>
          <w:szCs w:val="17"/>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ectPr>
          <w:pgSz w:w="12240" w:h="15840" w:orient="portrait"/>
          <w:cols w:equalWidth="0" w:num="1">
            <w:col w:w="9600"/>
          </w:cols>
          <w:pgMar w:left="1320" w:top="1328" w:right="132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526" name="Shape 5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526" o:spid="_x0000_s15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8" w:right="1320" w:bottom="1440" w:gutter="0" w:footer="0" w:header="0"/>
          <w:type w:val="continuous"/>
        </w:sectPr>
      </w:pPr>
    </w:p>
    <w:bookmarkStart w:id="101" w:name="page102"/>
    <w:bookmarkEnd w:id="101"/>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27" name="Shape 5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27" o:spid="_x0000_s15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29" name="Shape 5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29" o:spid="_x0000_s15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30" name="Shape 5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30" o:spid="_x0000_s15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61"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For more information about the TOML exploration campaigns in 2013 and 2015, see Section 7 of the TOML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resource estimate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kilometers). Only sample data within the TOML Contract Area was used to inform the estimates.</w:t>
      </w:r>
    </w:p>
    <w:p>
      <w:pPr>
        <w:spacing w:after="0" w:line="160"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Six block models were constructed using the geostatistical modelling programs Gstat 1.1-3 and R 3.2.5, one for each TOML Exploration Area (A to F), in three passes. The first pass used a parent block dimension of 1.75 kilometers by 1.75 kilometers and filled the areas defined as measured mineral resource. The second pass for indicated mineral resource used a parent block size of 3.5 kilometers by 3.5 kilometers while the third pass for inferred mineral resource used a parent block size of 7.0 kilometers by 7.0 kilometers.</w:t>
      </w:r>
    </w:p>
    <w:p>
      <w:pPr>
        <w:spacing w:after="0" w:line="160"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6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Inferred mineral resource classification was based on sampling by pioneer contractors on a nominal spacing of 20 kilometers, the variation and uncertainty in the sample quality, and the likely presence of short-range variation to nodule abundance.</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Indicated mineral resource classification was based on box core sampling by TOML on a nominal spacing of approximately 7 kilometers by 7 kilometers (including photo profiling in some cases at 7 kilometers by 3 kilometers), supplemented by sampling by pioneer contractors.</w:t>
      </w:r>
    </w:p>
    <w:p>
      <w:pPr>
        <w:spacing w:after="0" w:line="15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Measured mineral resource was based on box core sampling by TOML on a nominal spacing of approximately 7 km by 7 kilometers plus photo-profiling on a nominal spacing of 3.5 kilometers by 3.0 kilometers, supplemented by sampling by pioneer contractors.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mineral resource estimate for the TOML Contract Area, and at a 4 kilogram/square meters abundance cut-off is set forth below. The estimated mineral resources were determined in 2021, as of December 31, 2020, and also reflect the estimated mineral resources as of December 31, 2023, as none of the mineral resources in these areas were depleted by mining or any other activities.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02" w:name="page103"/>
    <w:bookmarkEnd w:id="102"/>
    <w:p>
      <w:pPr>
        <w:ind w:left="20" w:right="640"/>
        <w:spacing w:after="0" w:line="224" w:lineRule="auto"/>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32" name="Shape 5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32" o:spid="_x0000_s15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33" name="Shape 5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33" o:spid="_x0000_s15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35" name="Shape 5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35" o:spid="_x0000_s15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Mineral Resource Estimate December 31, 2023, In-Situ, for the TOML Contract Area within the CCZ at a 4 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nodule abundance cut-off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Mineral Resource Classification</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Tonnes</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Ni</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Cu</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w:t>
            </w: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68"/>
        </w:trPr>
        <w:tc>
          <w:tcPr>
            <w:tcW w:w="420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line="168" w:lineRule="exact"/>
              <w:rPr>
                <w:sz w:val="20"/>
                <w:szCs w:val="20"/>
                <w:color w:val="auto"/>
              </w:rPr>
            </w:pPr>
            <w:r>
              <w:rPr>
                <w:rFonts w:ascii="Times New Roman" w:cs="Times New Roman" w:eastAsia="Times New Roman" w:hAnsi="Times New Roman"/>
                <w:sz w:val="13"/>
                <w:szCs w:val="13"/>
                <w:b w:val="1"/>
                <w:bCs w:val="1"/>
                <w:color w:val="auto"/>
              </w:rPr>
              <w:t>(x10</w:t>
            </w:r>
            <w:r>
              <w:rPr>
                <w:rFonts w:ascii="Times New Roman" w:cs="Times New Roman" w:eastAsia="Times New Roman" w:hAnsi="Times New Roman"/>
                <w:sz w:val="19"/>
                <w:szCs w:val="19"/>
                <w:b w:val="1"/>
                <w:bCs w:val="1"/>
                <w:color w:val="auto"/>
                <w:vertAlign w:val="superscript"/>
              </w:rPr>
              <w:t>6</w:t>
            </w:r>
            <w:r>
              <w:rPr>
                <w:rFonts w:ascii="Times New Roman" w:cs="Times New Roman" w:eastAsia="Times New Roman" w:hAnsi="Times New Roman"/>
                <w:sz w:val="13"/>
                <w:szCs w:val="13"/>
                <w:b w:val="1"/>
                <w:bCs w:val="1"/>
                <w:color w:val="auto"/>
              </w:rPr>
              <w:t xml:space="preserve"> wet t)*</w:t>
            </w:r>
          </w:p>
        </w:tc>
        <w:tc>
          <w:tcPr>
            <w:tcW w:w="92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3"/>
                <w:szCs w:val="13"/>
                <w:b w:val="1"/>
                <w:bCs w:val="1"/>
                <w:color w:val="auto"/>
              </w:rPr>
              <w:t>(wet kg/m</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3"/>
                <w:szCs w:val="13"/>
                <w:b w:val="1"/>
                <w:bCs w:val="1"/>
                <w:color w:val="auto"/>
              </w:rPr>
              <w:t>)</w:t>
            </w:r>
          </w:p>
        </w:tc>
        <w:tc>
          <w:tcPr>
            <w:tcW w:w="7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4040" w:type="dxa"/>
            <w:vAlign w:val="bottom"/>
            <w:tcBorders>
              <w:top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Measured</w:t>
            </w:r>
          </w:p>
        </w:tc>
        <w:tc>
          <w:tcPr>
            <w:tcW w:w="160" w:type="dxa"/>
            <w:vAlign w:val="bottom"/>
            <w:tcBorders>
              <w:top w:val="single" w:sz="8" w:color="CBEBF4"/>
            </w:tcBorders>
            <w:shd w:val="clear" w:color="auto" w:fill="CBEBF4"/>
          </w:tcPr>
          <w:p>
            <w:pPr>
              <w:spacing w:after="0"/>
              <w:rPr>
                <w:sz w:val="17"/>
                <w:szCs w:val="17"/>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top w:val="single" w:sz="8" w:color="CBEBF4"/>
            </w:tcBorders>
            <w:shd w:val="clear" w:color="auto" w:fill="CBEBF4"/>
          </w:tcPr>
          <w:p>
            <w:pPr>
              <w:spacing w:after="0"/>
              <w:rPr>
                <w:sz w:val="17"/>
                <w:szCs w:val="17"/>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Borders>
              <w:top w:val="single" w:sz="8" w:color="CBEBF4"/>
            </w:tcBorders>
            <w:shd w:val="clear" w:color="auto" w:fill="CBEBF4"/>
          </w:tcPr>
          <w:p>
            <w:pPr>
              <w:spacing w:after="0"/>
              <w:rPr>
                <w:sz w:val="17"/>
                <w:szCs w:val="17"/>
                <w:color w:val="auto"/>
              </w:rPr>
            </w:pPr>
          </w:p>
        </w:tc>
        <w:tc>
          <w:tcPr>
            <w:tcW w:w="7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tcBorders>
              <w:top w:val="single" w:sz="8" w:color="CBEBF4"/>
            </w:tcBorders>
            <w:shd w:val="clear" w:color="auto" w:fill="CBEBF4"/>
          </w:tcPr>
          <w:p>
            <w:pPr>
              <w:spacing w:after="0"/>
              <w:rPr>
                <w:sz w:val="17"/>
                <w:szCs w:val="17"/>
                <w:color w:val="auto"/>
              </w:rPr>
            </w:pPr>
          </w:p>
        </w:tc>
        <w:tc>
          <w:tcPr>
            <w:tcW w:w="7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Borders>
              <w:top w:val="single" w:sz="8" w:color="CBEBF4"/>
            </w:tcBorders>
            <w:shd w:val="clear" w:color="auto" w:fill="CBEBF4"/>
          </w:tcPr>
          <w:p>
            <w:pPr>
              <w:spacing w:after="0"/>
              <w:rPr>
                <w:sz w:val="17"/>
                <w:szCs w:val="17"/>
                <w:color w:val="auto"/>
              </w:rPr>
            </w:pPr>
          </w:p>
        </w:tc>
        <w:tc>
          <w:tcPr>
            <w:tcW w:w="7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60" w:type="dxa"/>
            <w:vAlign w:val="bottom"/>
            <w:tcBorders>
              <w:top w:val="single" w:sz="8" w:color="CBEBF4"/>
            </w:tcBorders>
            <w:shd w:val="clear" w:color="auto" w:fill="CBEBF4"/>
          </w:tcPr>
          <w:p>
            <w:pPr>
              <w:spacing w:after="0"/>
              <w:rPr>
                <w:sz w:val="17"/>
                <w:szCs w:val="17"/>
                <w:color w:val="auto"/>
              </w:rPr>
            </w:pPr>
          </w:p>
        </w:tc>
        <w:tc>
          <w:tcPr>
            <w:tcW w:w="7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7"/>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Indicated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BEBF4"/>
          </w:tcPr>
          <w:p>
            <w:pPr>
              <w:ind w:left="20"/>
              <w:spacing w:after="0"/>
              <w:rPr>
                <w:sz w:val="20"/>
                <w:szCs w:val="20"/>
                <w:color w:val="auto"/>
              </w:rPr>
            </w:pPr>
            <w:r>
              <w:rPr>
                <w:rFonts w:ascii="Times New Roman" w:cs="Times New Roman" w:eastAsia="Times New Roman" w:hAnsi="Times New Roman"/>
                <w:sz w:val="17"/>
                <w:szCs w:val="17"/>
                <w:color w:val="auto"/>
              </w:rPr>
              <w:t>Measured + Indicated</w:t>
            </w: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60" w:type="dxa"/>
            <w:vAlign w:val="bottom"/>
            <w:shd w:val="clear" w:color="auto" w:fill="CBEBF4"/>
          </w:tcPr>
          <w:p>
            <w:pPr>
              <w:spacing w:after="0"/>
              <w:rPr>
                <w:sz w:val="18"/>
                <w:szCs w:val="18"/>
                <w:color w:val="auto"/>
              </w:rPr>
            </w:pP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shd w:val="clear" w:color="auto" w:fill="CBEBF4"/>
          </w:tcPr>
          <w:p>
            <w:pPr>
              <w:spacing w:after="0"/>
              <w:rPr>
                <w:sz w:val="18"/>
                <w:szCs w:val="18"/>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shd w:val="clear" w:color="auto" w:fill="CBEBF4"/>
          </w:tcPr>
          <w:p>
            <w:pPr>
              <w:spacing w:after="0"/>
              <w:rPr>
                <w:sz w:val="18"/>
                <w:szCs w:val="18"/>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shd w:val="clear" w:color="auto" w:fill="CBEBF4"/>
          </w:tcPr>
          <w:p>
            <w:pPr>
              <w:spacing w:after="0"/>
              <w:rPr>
                <w:sz w:val="18"/>
                <w:szCs w:val="18"/>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shd w:val="clear" w:color="auto" w:fill="CBEBF4"/>
          </w:tcPr>
          <w:p>
            <w:pPr>
              <w:spacing w:after="0"/>
              <w:rPr>
                <w:sz w:val="18"/>
                <w:szCs w:val="18"/>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0" w:type="dxa"/>
            <w:vAlign w:val="bottom"/>
          </w:tcPr>
          <w:p>
            <w:pPr>
              <w:spacing w:after="0"/>
              <w:rPr>
                <w:sz w:val="1"/>
                <w:szCs w:val="1"/>
                <w:color w:val="auto"/>
              </w:rPr>
            </w:pPr>
          </w:p>
        </w:tc>
      </w:tr>
      <w:tr>
        <w:trPr>
          <w:trHeight w:val="232"/>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Inferred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53975</wp:posOffset>
                </wp:positionV>
                <wp:extent cx="1529715" cy="0"/>
                <wp:wrapNone/>
                <wp:docPr id="536" name="Shape 5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38">
                          <a:solidFill>
                            <a:srgbClr val="000000"/>
                          </a:solidFill>
                          <a:miter lim="800000"/>
                          <a:headEnd/>
                          <a:tailEnd/>
                        </a:ln>
                      </wps:spPr>
                      <wps:bodyPr/>
                    </wps:wsp>
                  </a:graphicData>
                </a:graphic>
              </wp:anchor>
            </w:drawing>
          </mc:Choice>
          <mc:Fallback>
            <w:pict>
              <v:line id="Shape 536" o:spid="_x0000_s15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4.25pt" to="120.85pt,4.25pt" o:allowincell="f" strokecolor="#000000" strokeweight="0.6487pt"/>
            </w:pict>
          </mc:Fallback>
        </mc:AlternateContent>
      </w:r>
    </w:p>
    <w:p>
      <w:pPr>
        <w:spacing w:after="0" w:line="139"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37" w:lineRule="exact"/>
        <w:rPr>
          <w:sz w:val="20"/>
          <w:szCs w:val="20"/>
          <w:color w:val="auto"/>
        </w:rPr>
      </w:pPr>
    </w:p>
    <w:p>
      <w:pPr>
        <w:ind w:left="440" w:hanging="426"/>
        <w:spacing w:after="0"/>
        <w:tabs>
          <w:tab w:leader="none" w:pos="4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totals are due to rounding of individual values. Mn, Ni, Cu and Co assays on samples dried at 105</w:t>
      </w:r>
      <w:r>
        <w:rPr>
          <w:rFonts w:ascii="Arial" w:cs="Arial" w:eastAsia="Arial" w:hAnsi="Arial"/>
          <w:sz w:val="17"/>
          <w:szCs w:val="17"/>
          <w:color w:val="auto"/>
        </w:rPr>
        <w:t>˚</w:t>
      </w:r>
      <w:r>
        <w:rPr>
          <w:rFonts w:ascii="Times New Roman" w:cs="Times New Roman" w:eastAsia="Times New Roman" w:hAnsi="Times New Roman"/>
          <w:sz w:val="17"/>
          <w:szCs w:val="17"/>
          <w:color w:val="auto"/>
        </w:rPr>
        <w:t>C</w:t>
      </w:r>
    </w:p>
    <w:p>
      <w:pPr>
        <w:spacing w:after="0" w:line="219" w:lineRule="exact"/>
        <w:rPr>
          <w:sz w:val="20"/>
          <w:szCs w:val="20"/>
          <w:color w:val="auto"/>
        </w:rPr>
      </w:pPr>
    </w:p>
    <w:p>
      <w:pPr>
        <w:jc w:val="both"/>
        <w:ind w:left="20" w:firstLine="311"/>
        <w:spacing w:after="0" w:line="276" w:lineRule="auto"/>
        <w:rPr>
          <w:sz w:val="20"/>
          <w:szCs w:val="20"/>
          <w:color w:val="auto"/>
        </w:rPr>
      </w:pPr>
      <w:r>
        <w:rPr>
          <w:rFonts w:ascii="Times New Roman" w:cs="Times New Roman" w:eastAsia="Times New Roman" w:hAnsi="Times New Roman"/>
          <w:sz w:val="17"/>
          <w:szCs w:val="17"/>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55" w:lineRule="exact"/>
        <w:rPr>
          <w:sz w:val="20"/>
          <w:szCs w:val="20"/>
          <w:color w:val="auto"/>
        </w:rPr>
      </w:pPr>
    </w:p>
    <w:p>
      <w:pPr>
        <w:jc w:val="both"/>
        <w:ind w:left="20" w:firstLine="311"/>
        <w:spacing w:after="0" w:line="298" w:lineRule="auto"/>
        <w:rPr>
          <w:sz w:val="20"/>
          <w:szCs w:val="20"/>
          <w:color w:val="auto"/>
        </w:rPr>
      </w:pPr>
      <w:r>
        <w:rPr>
          <w:rFonts w:ascii="Times New Roman" w:cs="Times New Roman" w:eastAsia="Times New Roman" w:hAnsi="Times New Roman"/>
          <w:sz w:val="17"/>
          <w:szCs w:val="17"/>
          <w:color w:val="auto"/>
        </w:rPr>
        <w:t>The above mineral resource estimate (measured, indicated and inferred mineral resources), which was informed by data collected by TOML in 2013 and 2015, is presented in Table 11.9 of the TOML Technical Report Summary.</w:t>
      </w:r>
    </w:p>
    <w:p>
      <w:pPr>
        <w:spacing w:after="0" w:line="137" w:lineRule="exact"/>
        <w:rPr>
          <w:sz w:val="20"/>
          <w:szCs w:val="20"/>
          <w:color w:val="auto"/>
        </w:rPr>
      </w:pPr>
    </w:p>
    <w:p>
      <w:pPr>
        <w:jc w:val="both"/>
        <w:ind w:left="20" w:firstLine="311"/>
        <w:spacing w:after="0" w:line="248" w:lineRule="auto"/>
        <w:rPr>
          <w:sz w:val="20"/>
          <w:szCs w:val="20"/>
          <w:color w:val="auto"/>
        </w:rPr>
      </w:pPr>
      <w:r>
        <w:rPr>
          <w:rFonts w:ascii="Times New Roman" w:cs="Times New Roman" w:eastAsia="Times New Roman" w:hAnsi="Times New Roman"/>
          <w:sz w:val="17"/>
          <w:szCs w:val="17"/>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million/square kilometers for offshore operating costs; 1,036 square kilometers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copper metal $6,872/t; cobalt metal $46,333/t;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177" w:lineRule="exact"/>
        <w:rPr>
          <w:sz w:val="20"/>
          <w:szCs w:val="20"/>
          <w:color w:val="auto"/>
        </w:rPr>
      </w:pPr>
    </w:p>
    <w:p>
      <w:pPr>
        <w:jc w:val="both"/>
        <w:ind w:left="20" w:firstLine="310"/>
        <w:spacing w:after="0" w:line="298" w:lineRule="auto"/>
        <w:rPr>
          <w:sz w:val="20"/>
          <w:szCs w:val="20"/>
          <w:color w:val="auto"/>
        </w:rPr>
      </w:pPr>
      <w:r>
        <w:rPr>
          <w:rFonts w:ascii="Times New Roman" w:cs="Times New Roman" w:eastAsia="Times New Roman" w:hAnsi="Times New Roman"/>
          <w:sz w:val="17"/>
          <w:szCs w:val="17"/>
          <w:color w:val="auto"/>
        </w:rPr>
        <w:t>The initial inferred mineral resource for the TOML Contract Area was reported on March 20, 2013 by Golder Associates. The changes in the above mineral resource estimate from 2013 for the TOML Contract Area are due to:</w:t>
      </w:r>
    </w:p>
    <w:p>
      <w:pPr>
        <w:spacing w:after="0" w:line="137" w:lineRule="exact"/>
        <w:rPr>
          <w:sz w:val="20"/>
          <w:szCs w:val="20"/>
          <w:color w:val="auto"/>
        </w:rPr>
      </w:pPr>
    </w:p>
    <w:p>
      <w:pPr>
        <w:ind w:left="660" w:hanging="309"/>
        <w:spacing w:after="0"/>
        <w:tabs>
          <w:tab w:leader="none" w:pos="6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the inclusion of Areas E and F for the first time, and high abundances and grades in Area F;</w:t>
      </w:r>
    </w:p>
    <w:p>
      <w:pPr>
        <w:spacing w:after="0" w:line="218" w:lineRule="exact"/>
        <w:rPr>
          <w:rFonts w:ascii="Arial" w:cs="Arial" w:eastAsia="Arial" w:hAnsi="Arial"/>
          <w:sz w:val="17"/>
          <w:szCs w:val="17"/>
          <w:color w:val="auto"/>
        </w:rPr>
      </w:pPr>
    </w:p>
    <w:p>
      <w:pPr>
        <w:ind w:left="660" w:hanging="309"/>
        <w:spacing w:after="0"/>
        <w:tabs>
          <w:tab w:leader="none" w:pos="6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additional nodule abundance sample information (from box core and photo profile) collected during the 2015 campaign;</w:t>
      </w:r>
    </w:p>
    <w:p>
      <w:pPr>
        <w:spacing w:after="0" w:line="218" w:lineRule="exact"/>
        <w:rPr>
          <w:rFonts w:ascii="Arial" w:cs="Arial" w:eastAsia="Arial" w:hAnsi="Arial"/>
          <w:sz w:val="17"/>
          <w:szCs w:val="17"/>
          <w:color w:val="auto"/>
        </w:rPr>
      </w:pPr>
    </w:p>
    <w:p>
      <w:pPr>
        <w:ind w:left="660" w:hanging="309"/>
        <w:spacing w:after="0"/>
        <w:tabs>
          <w:tab w:leader="none" w:pos="6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setting the abundance estimates within the no nodule domain to zero in areas covered by MBES (TOML Areas B, C, D, E, F);</w:t>
      </w:r>
    </w:p>
    <w:p>
      <w:pPr>
        <w:spacing w:after="0" w:line="218" w:lineRule="exact"/>
        <w:rPr>
          <w:rFonts w:ascii="Arial" w:cs="Arial" w:eastAsia="Arial" w:hAnsi="Arial"/>
          <w:sz w:val="17"/>
          <w:szCs w:val="17"/>
          <w:color w:val="auto"/>
        </w:rPr>
      </w:pPr>
    </w:p>
    <w:p>
      <w:pPr>
        <w:ind w:left="660" w:hanging="309"/>
        <w:spacing w:after="0" w:line="268" w:lineRule="auto"/>
        <w:tabs>
          <w:tab w:leader="none" w:pos="6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the use of ordinary kriging (rather than inverse distance weighting) supported by short-range variogram to estimate abundance; and</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left="660" w:hanging="310"/>
        <w:spacing w:after="0"/>
        <w:tabs>
          <w:tab w:leader="none" w:pos="660" w:val="left"/>
        </w:tabs>
        <w:numPr>
          <w:ilvl w:val="0"/>
          <w:numId w:val="44"/>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block model parent cell size related to improved sample spacing.</w:t>
      </w:r>
    </w:p>
    <w:p>
      <w:pPr>
        <w:spacing w:after="0" w:line="218" w:lineRule="exact"/>
        <w:rPr>
          <w:sz w:val="20"/>
          <w:szCs w:val="20"/>
          <w:color w:val="auto"/>
        </w:rPr>
      </w:pPr>
    </w:p>
    <w:p>
      <w:pPr>
        <w:jc w:val="both"/>
        <w:ind w:left="20" w:firstLine="311"/>
        <w:spacing w:after="0" w:line="269" w:lineRule="auto"/>
        <w:rPr>
          <w:sz w:val="20"/>
          <w:szCs w:val="20"/>
          <w:color w:val="auto"/>
        </w:rPr>
      </w:pPr>
      <w:r>
        <w:rPr>
          <w:rFonts w:ascii="Times New Roman" w:cs="Times New Roman" w:eastAsia="Times New Roman" w:hAnsi="Times New Roman"/>
          <w:sz w:val="17"/>
          <w:szCs w:val="17"/>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ectPr>
          <w:pgSz w:w="12240" w:h="15840" w:orient="portrait"/>
          <w:cols w:equalWidth="0" w:num="1">
            <w:col w:w="9620"/>
          </w:cols>
          <w:pgMar w:left="1300" w:top="1318" w:right="132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367030</wp:posOffset>
                </wp:positionV>
                <wp:extent cx="6110605"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542">
                          <a:solidFill>
                            <a:srgbClr val="00000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9pt" to="481.55pt,28.9pt" o:allowincell="f" strokecolor="#000000" strokeweight="1.3025pt"/>
            </w:pict>
          </mc:Fallback>
        </mc:AlternateContent>
      </w:r>
    </w:p>
    <w:p>
      <w:pPr>
        <w:sectPr>
          <w:pgSz w:w="12240" w:h="15840" w:orient="portrait"/>
          <w:cols w:equalWidth="0" w:num="1">
            <w:col w:w="9620"/>
          </w:cols>
          <w:pgMar w:left="1300" w:top="1318" w:right="1320" w:bottom="1440" w:gutter="0" w:footer="0" w:header="0"/>
          <w:type w:val="continuous"/>
        </w:sectPr>
      </w:pPr>
    </w:p>
    <w:bookmarkStart w:id="103" w:name="page104"/>
    <w:bookmarkEnd w:id="103"/>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38" name="Shape 5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38" o:spid="_x0000_s15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39" name="Shape 5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39" o:spid="_x0000_s15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41" name="Shape 5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1" o:spid="_x0000_s15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Information concerning our mineral properties in the TOML Technical Report Summary and in this Annual Report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7"/>
          <w:szCs w:val="17"/>
          <w:b w:val="1"/>
          <w:bCs w:val="1"/>
          <w:color w:val="auto"/>
        </w:rPr>
        <w:t>You are specifically cautioned not to assume that any part or all of the mineral deposits in these categories will ever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converted into mineral reserves, as defined by the SEC.</w:t>
      </w:r>
    </w:p>
    <w:p>
      <w:pPr>
        <w:spacing w:after="0" w:line="16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7"/>
          <w:szCs w:val="17"/>
          <w:b w:val="1"/>
          <w:bCs w:val="1"/>
          <w:color w:val="auto"/>
        </w:rPr>
        <w:t>Therefore, you are cautioned not to assume that all or any part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Reasonable prospects for economic extraction</w:t>
      </w:r>
    </w:p>
    <w:p>
      <w:pPr>
        <w:spacing w:after="0" w:line="218"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5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65"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37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methods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main items of offshore infrastructure are the nodule collector vehicles, the riser, and three production support vessels (PSV).</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42" name="Shape 5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42" o:spid="_x0000_s15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04" w:name="page105"/>
    <w:bookmarkEnd w:id="104"/>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44" name="Shape 5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4" o:spid="_x0000_s15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45" name="Shape 5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45" o:spid="_x0000_s15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66"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37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6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processing and metallurgical testing</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61"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6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ectPr>
          <w:pgSz w:w="12240" w:h="15840" w:orient="portrait"/>
          <w:cols w:equalWidth="0" w:num="1">
            <w:col w:w="9600"/>
          </w:cols>
          <w:pgMar w:left="1320" w:top="1327" w:right="132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547" name="Shape 5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547" o:spid="_x0000_s15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7" w:right="1320" w:bottom="1440" w:gutter="0" w:footer="0" w:header="0"/>
          <w:type w:val="continuous"/>
        </w:sectPr>
      </w:pPr>
    </w:p>
    <w:bookmarkStart w:id="105" w:name="page106"/>
    <w:bookmarkEnd w:id="105"/>
    <w:p>
      <w:pPr>
        <w:ind w:left="300"/>
        <w:spacing w:after="0"/>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48" name="Shape 5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48" o:spid="_x0000_s15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50" name="Shape 5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50" o:spid="_x0000_s15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51" name="Shape 5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51" o:spid="_x0000_s15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pyrometallurgical process is expected to form two byproducts as well as the matte for the hydrometallurgical refinery:</w:t>
      </w:r>
    </w:p>
    <w:p>
      <w:pPr>
        <w:spacing w:after="0" w:line="219" w:lineRule="exact"/>
        <w:rPr>
          <w:sz w:val="20"/>
          <w:szCs w:val="20"/>
          <w:color w:val="auto"/>
        </w:rPr>
      </w:pPr>
    </w:p>
    <w:p>
      <w:pPr>
        <w:ind w:left="640" w:hanging="309"/>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auto"/>
        </w:rPr>
        <w:t>an electric furnace slag containing silica and 53% MnO that is intended to be sold as feed to the Si-Mn industry; and</w:t>
      </w:r>
    </w:p>
    <w:p>
      <w:pPr>
        <w:spacing w:after="0" w:line="218" w:lineRule="exact"/>
        <w:rPr>
          <w:rFonts w:ascii="Arial" w:cs="Arial" w:eastAsia="Arial" w:hAnsi="Arial"/>
          <w:sz w:val="17"/>
          <w:szCs w:val="17"/>
          <w:color w:val="auto"/>
        </w:rPr>
      </w:pPr>
    </w:p>
    <w:p>
      <w:pPr>
        <w:ind w:left="640" w:hanging="309"/>
        <w:spacing w:after="0"/>
        <w:tabs>
          <w:tab w:leader="none" w:pos="640" w:val="left"/>
        </w:tabs>
        <w:numPr>
          <w:ilvl w:val="0"/>
          <w:numId w:val="45"/>
        </w:numPr>
        <w:rPr>
          <w:rFonts w:ascii="Arial" w:cs="Arial" w:eastAsia="Arial" w:hAnsi="Arial"/>
          <w:sz w:val="17"/>
          <w:szCs w:val="17"/>
          <w:color w:val="auto"/>
        </w:rPr>
      </w:pPr>
      <w:r>
        <w:rPr>
          <w:rFonts w:ascii="Times New Roman" w:cs="Times New Roman" w:eastAsia="Times New Roman" w:hAnsi="Times New Roman"/>
          <w:sz w:val="17"/>
          <w:szCs w:val="17"/>
          <w:color w:val="auto"/>
        </w:rPr>
        <w:t>a converter aisle slag that could be used for aggregate in road construction or other applications.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37" w:lineRule="exact"/>
        <w:rPr>
          <w:sz w:val="20"/>
          <w:szCs w:val="20"/>
          <w:color w:val="auto"/>
        </w:rPr>
      </w:pPr>
    </w:p>
    <w:p>
      <w:pPr>
        <w:jc w:val="both"/>
        <w:ind w:firstLine="311"/>
        <w:spacing w:after="0" w:line="237" w:lineRule="auto"/>
        <w:rPr>
          <w:sz w:val="20"/>
          <w:szCs w:val="20"/>
          <w:color w:val="auto"/>
        </w:rPr>
      </w:pPr>
      <w:r>
        <w:rPr>
          <w:rFonts w:ascii="Times New Roman" w:cs="Times New Roman" w:eastAsia="Times New Roman" w:hAnsi="Times New Roman"/>
          <w:sz w:val="17"/>
          <w:szCs w:val="17"/>
          <w:color w:val="auto"/>
        </w:rPr>
        <w:t>Selection of ammonia as a principal reagent in the hydrometallurgical refinery means that an additional by-product — ammonium sulfate — may be generated. This could be sold into the fertilizer industry.</w:t>
      </w:r>
    </w:p>
    <w:p>
      <w:pPr>
        <w:spacing w:after="0" w:line="1" w:lineRule="exact"/>
        <w:rPr>
          <w:sz w:val="20"/>
          <w:szCs w:val="20"/>
          <w:color w:val="auto"/>
        </w:rPr>
      </w:pPr>
    </w:p>
    <w:p>
      <w:pPr>
        <w:jc w:val="both"/>
        <w:ind w:firstLine="311"/>
        <w:spacing w:after="0" w:line="420" w:lineRule="auto"/>
        <w:rPr>
          <w:sz w:val="20"/>
          <w:szCs w:val="20"/>
          <w:color w:val="auto"/>
        </w:rPr>
      </w:pPr>
      <w:r>
        <w:rPr>
          <w:rFonts w:ascii="Times New Roman" w:cs="Times New Roman" w:eastAsia="Times New Roman" w:hAnsi="Times New Roman"/>
          <w:sz w:val="17"/>
          <w:szCs w:val="17"/>
          <w:color w:val="auto"/>
        </w:rPr>
        <w:t xml:space="preserve">The copper cathode quality from direct electrowinning, without a solvent extraction step, is expected to be </w:t>
      </w:r>
      <w:r>
        <w:rPr>
          <w:rFonts w:ascii="Arial" w:cs="Arial" w:eastAsia="Arial" w:hAnsi="Arial"/>
          <w:sz w:val="17"/>
          <w:szCs w:val="17"/>
          <w:color w:val="auto"/>
        </w:rPr>
        <w:t>≥</w:t>
      </w:r>
      <w:r>
        <w:rPr>
          <w:rFonts w:ascii="Times New Roman" w:cs="Times New Roman" w:eastAsia="Times New Roman" w:hAnsi="Times New Roman"/>
          <w:sz w:val="17"/>
          <w:szCs w:val="17"/>
          <w:color w:val="auto"/>
        </w:rPr>
        <w:t>99.9% Cu. Quality of the matte produced in the pyrometallurgical plant will have an impact on this, including the potential carryover of impurities beyond values assumed for the purpose of the IA.</w:t>
      </w:r>
    </w:p>
    <w:p>
      <w:pPr>
        <w:spacing w:after="0" w:line="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production of battery-grade nickel and cobalt sulfates is targeted instead of nickel or cobalt cathodes or other intermediate products.</w:t>
      </w: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 summary:</w:t>
      </w:r>
    </w:p>
    <w:p>
      <w:pPr>
        <w:spacing w:after="0" w:line="219" w:lineRule="exact"/>
        <w:rPr>
          <w:sz w:val="20"/>
          <w:szCs w:val="20"/>
          <w:color w:val="auto"/>
        </w:rPr>
      </w:pPr>
    </w:p>
    <w:p>
      <w:pPr>
        <w:ind w:left="640" w:hanging="309"/>
        <w:spacing w:after="0" w:line="298" w:lineRule="auto"/>
        <w:tabs>
          <w:tab w:leader="none" w:pos="639"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All parts of the proposed process have commercial precedents in similar or analogous industries, however not as a whole continuous flowsheet.</w:t>
      </w:r>
    </w:p>
    <w:p>
      <w:pPr>
        <w:spacing w:after="0" w:line="135" w:lineRule="exact"/>
        <w:rPr>
          <w:rFonts w:ascii="Arial" w:cs="Arial" w:eastAsia="Arial" w:hAnsi="Arial"/>
          <w:sz w:val="17"/>
          <w:szCs w:val="17"/>
          <w:color w:val="auto"/>
        </w:rPr>
      </w:pPr>
    </w:p>
    <w:p>
      <w:pPr>
        <w:ind w:left="640" w:hanging="308"/>
        <w:spacing w:after="0"/>
        <w:tabs>
          <w:tab w:leader="none" w:pos="640" w:val="left"/>
        </w:tabs>
        <w:numPr>
          <w:ilvl w:val="0"/>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Pay-metals are recovered in the following forms:</w:t>
      </w:r>
    </w:p>
    <w:p>
      <w:pPr>
        <w:spacing w:after="0" w:line="35" w:lineRule="exact"/>
        <w:rPr>
          <w:rFonts w:ascii="Arial" w:cs="Arial" w:eastAsia="Arial" w:hAnsi="Arial"/>
          <w:sz w:val="17"/>
          <w:szCs w:val="17"/>
          <w:color w:val="auto"/>
        </w:rPr>
      </w:pPr>
    </w:p>
    <w:p>
      <w:pPr>
        <w:ind w:left="960" w:hanging="318"/>
        <w:spacing w:after="0"/>
        <w:tabs>
          <w:tab w:leader="none" w:pos="960" w:val="left"/>
        </w:tabs>
        <w:numPr>
          <w:ilvl w:val="1"/>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Copper cathodes with an expected quality of </w:t>
      </w:r>
      <w:r>
        <w:rPr>
          <w:rFonts w:ascii="Arial" w:cs="Arial" w:eastAsia="Arial" w:hAnsi="Arial"/>
          <w:sz w:val="17"/>
          <w:szCs w:val="17"/>
          <w:color w:val="auto"/>
        </w:rPr>
        <w:t>≥</w:t>
      </w:r>
      <w:r>
        <w:rPr>
          <w:rFonts w:ascii="Times New Roman" w:cs="Times New Roman" w:eastAsia="Times New Roman" w:hAnsi="Times New Roman"/>
          <w:sz w:val="17"/>
          <w:szCs w:val="17"/>
          <w:color w:val="auto"/>
        </w:rPr>
        <w:t>99.9% Cu.</w:t>
      </w: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ind w:left="960" w:hanging="318"/>
        <w:spacing w:after="0"/>
        <w:tabs>
          <w:tab w:leader="none" w:pos="960" w:val="left"/>
        </w:tabs>
        <w:numPr>
          <w:ilvl w:val="1"/>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Battery-grade nickel sulfate.</w:t>
      </w:r>
    </w:p>
    <w:p>
      <w:pPr>
        <w:spacing w:after="0" w:line="218" w:lineRule="exact"/>
        <w:rPr>
          <w:rFonts w:ascii="Arial" w:cs="Arial" w:eastAsia="Arial" w:hAnsi="Arial"/>
          <w:sz w:val="17"/>
          <w:szCs w:val="17"/>
          <w:color w:val="auto"/>
        </w:rPr>
      </w:pPr>
    </w:p>
    <w:p>
      <w:pPr>
        <w:ind w:left="960" w:hanging="318"/>
        <w:spacing w:after="0"/>
        <w:tabs>
          <w:tab w:leader="none" w:pos="960" w:val="left"/>
        </w:tabs>
        <w:numPr>
          <w:ilvl w:val="1"/>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Battery-grade cobalt sulfate.</w:t>
      </w:r>
    </w:p>
    <w:p>
      <w:pPr>
        <w:spacing w:after="0" w:line="218" w:lineRule="exact"/>
        <w:rPr>
          <w:rFonts w:ascii="Arial" w:cs="Arial" w:eastAsia="Arial" w:hAnsi="Arial"/>
          <w:sz w:val="17"/>
          <w:szCs w:val="17"/>
          <w:color w:val="auto"/>
        </w:rPr>
      </w:pPr>
    </w:p>
    <w:p>
      <w:pPr>
        <w:ind w:left="960" w:hanging="318"/>
        <w:spacing w:after="0" w:line="298" w:lineRule="auto"/>
        <w:tabs>
          <w:tab w:leader="none" w:pos="961" w:val="left"/>
        </w:tabs>
        <w:numPr>
          <w:ilvl w:val="1"/>
          <w:numId w:val="46"/>
        </w:numPr>
        <w:rPr>
          <w:rFonts w:ascii="Arial" w:cs="Arial" w:eastAsia="Arial" w:hAnsi="Arial"/>
          <w:sz w:val="17"/>
          <w:szCs w:val="17"/>
          <w:color w:val="auto"/>
        </w:rPr>
      </w:pPr>
      <w:r>
        <w:rPr>
          <w:rFonts w:ascii="Times New Roman" w:cs="Times New Roman" w:eastAsia="Times New Roman" w:hAnsi="Times New Roman"/>
          <w:sz w:val="17"/>
          <w:szCs w:val="17"/>
          <w:color w:val="auto"/>
        </w:rPr>
        <w:t>Rather than generating large waste streams, the process is expected to produce by-products including high manganese content furnace slag and ammonium sulfate.</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process assumptions used in this TOML Technical Report Summary will need to be verified as the project proceeds.</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For more information on mineral processing and metallurgical testing, see Section 10 of the TOML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studies, permitting, community, or social impact</w:t>
      </w:r>
    </w:p>
    <w:p>
      <w:pPr>
        <w:spacing w:after="0" w:line="218"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359"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ectPr>
          <w:pgSz w:w="12240" w:h="15840" w:orient="portrait"/>
          <w:cols w:equalWidth="0" w:num="1">
            <w:col w:w="9600"/>
          </w:cols>
          <w:pgMar w:left="1320" w:top="1327" w:right="132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7" w:right="1320" w:bottom="1440" w:gutter="0" w:footer="0" w:header="0"/>
          <w:type w:val="continuous"/>
        </w:sectPr>
      </w:pPr>
    </w:p>
    <w:bookmarkStart w:id="106" w:name="page107"/>
    <w:bookmarkEnd w:id="106"/>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53" name="Shape 5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53" o:spid="_x0000_s15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54" name="Shape 5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54" o:spid="_x0000_s15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56" name="Shape 5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56" o:spid="_x0000_s15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on environmental studies, permitting and social or community impact, see Section 17 of the TOML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 controls and data verification</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60"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65"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The sample data are supported by independent third-party data, have been reviewed by the ISA LTC during the process of granting licenses to the Pioneer Contractors, and are maintained by the independent ISA.</w:t>
      </w:r>
    </w:p>
    <w:p>
      <w:pPr>
        <w:spacing w:after="0" w:line="13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55" w:lineRule="exact"/>
        <w:rPr>
          <w:sz w:val="20"/>
          <w:szCs w:val="20"/>
          <w:color w:val="auto"/>
        </w:rPr>
      </w:pPr>
    </w:p>
    <w:p>
      <w:pPr>
        <w:jc w:val="both"/>
        <w:ind w:left="640" w:hanging="310"/>
        <w:spacing w:after="0" w:line="276" w:lineRule="auto"/>
        <w:tabs>
          <w:tab w:leader="none" w:pos="640"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7"/>
          <w:szCs w:val="17"/>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54"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7"/>
          <w:szCs w:val="17"/>
          <w:color w:val="auto"/>
        </w:rPr>
        <w:t>Comparison of the six independent data sets from the CCZ shows a high level of consistency in abundance and grade and, conversely, provides no evidence of bias or systematic error in the TOML data.</w:t>
      </w:r>
    </w:p>
    <w:p>
      <w:pPr>
        <w:spacing w:after="0" w:line="135"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47"/>
        </w:numPr>
        <w:rPr>
          <w:rFonts w:ascii="Arial" w:cs="Arial" w:eastAsia="Arial" w:hAnsi="Arial"/>
          <w:sz w:val="17"/>
          <w:szCs w:val="17"/>
          <w:color w:val="auto"/>
        </w:rPr>
      </w:pPr>
      <w:r>
        <w:rPr>
          <w:rFonts w:ascii="Times New Roman" w:cs="Times New Roman" w:eastAsia="Times New Roman" w:hAnsi="Times New Roman"/>
          <w:sz w:val="17"/>
          <w:szCs w:val="17"/>
          <w:color w:val="auto"/>
        </w:rPr>
        <w:t>Recent TOML nodule sampling confirms the existence, and abundance and grade continuity of the polymetallic nodules within the TOML Exploration Areas.</w:t>
      </w:r>
    </w:p>
    <w:p>
      <w:pPr>
        <w:spacing w:after="0" w:line="13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57" name="Shape 5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57" o:spid="_x0000_s15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07" w:name="page108"/>
    <w:bookmarkEnd w:id="107"/>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60" name="Shape 5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60" o:spid="_x0000_s15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61" name="Shape 5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1" o:spid="_x0000_s15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74"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Qualified Person considered the abundance estimates derived from photographs to date from TOML Areas B and C, to be suitable for estimating nodule abundance for the mineral resource.</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about quality control/quality assurance and data verification, see Section 8 and Section 9 of the TOML Technical Report Summary.</w:t>
      </w:r>
    </w:p>
    <w:p>
      <w:pPr>
        <w:spacing w:after="0" w:line="1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Except as set forth below, we are not currently a party to any material legal proceedings.</w:t>
      </w:r>
    </w:p>
    <w:p>
      <w:pPr>
        <w:spacing w:after="0" w:line="21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September 20, 2021, we commenced litigation in the New York Supreme Court, New York County against two investors who failed to fund their investment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spacing w:after="0" w:line="379"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08" w:name="page109"/>
    <w:bookmarkEnd w:id="108"/>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64" name="Shape 5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4" o:spid="_x0000_s15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65" name="Shape 5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65" o:spid="_x0000_s15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spacing w:after="0" w:line="160"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67" name="Shape 5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67" o:spid="_x0000_s15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68" name="Shape 5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68" o:spid="_x0000_s15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70" name="Shape 5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70" o:spid="_x0000_s15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71" name="Shape 5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71" o:spid="_x0000_s15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PART II</w:t>
      </w:r>
    </w:p>
    <w:p>
      <w:pPr>
        <w:spacing w:after="0" w:line="21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Our Common Shares and Public Warrants trade on The Nasdaq Global Select Market under the symbols “TMC” and “TMCWW,”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and Holders of Public Warrants</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of March 22, 2024, there were approximately 318,249,878 Common Shares issued and outstanding held of record by 106 holders, approximately 15,000,000 Public Warrants held of record by one holder exercisable for one Common Share at a price of $11.50 per share.</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Such numbers do not include beneficial owners holding our securities through nominee names.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Securities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did not repurchase any of our equity securities during the quarter ended December 31, 2023.</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of the financial condition and results of our operations should be read in conjunction with the financial statements and the notes to those statements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read the risk factors set forth in Item 1A of this Annual Report for a discussion of important factors that could cause actual results to differ materially from the results described in or implied by the forward-looking statements contained in the following discussion and analysis.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are a deep-sea minerals exploration company focused on the collection, processing and refining of polymetallic nodules found on the seafloor in international waters of the CCZ, about 1,500 miles south-west of San Diego, California.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110" w:name="page111"/>
    <w:bookmarkEnd w:id="110"/>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73" name="Shape 5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73" o:spid="_x0000_s15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74" name="Shape 5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74" o:spid="_x0000_s15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76" name="Shape 5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76" o:spid="_x0000_s16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The CCZ is a geological submarine fracture zone of abyssal plains and other formations in the Eastern Pacific Ocean, with a length of around 7,240 kilometers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or nickel-copper-cobalt alloy) for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74"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Exploration and exploitation of seafloor minerals in international waters is regulated by the ISA, an intergovernmental organization established pursuant to the 1994 Agreement Relating to the Implementation of the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two based on ISA exploration contracts through our subsidiaries NORI and TOML, sponsored by Nauru and Tonga, respectively, and exclusive commercial rights through our subsidiary, DGE, and its arrangement with Marawa, a company owned and sponsored by Kiribati.</w:t>
      </w:r>
    </w:p>
    <w:p>
      <w:pPr>
        <w:spacing w:after="0" w:line="168" w:lineRule="exact"/>
        <w:rPr>
          <w:sz w:val="20"/>
          <w:szCs w:val="20"/>
          <w:color w:val="auto"/>
        </w:rPr>
      </w:pPr>
    </w:p>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t>We have key strategic alliances with (i) Allseas, a leading global offshore contractor, which developed and tested a pilot collection system, which is expected to be modified into an initial smaller scale commercial production system and serve as the basis for the design of a full-scale commercial production system and (ii) Glencore which holds offtake rights to 50% of the NORI nickel and copper production. In addition, we have worked with an engineering firm Hatch and consultants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After several months of pre-feasibility work in 2022 on the possibility of building a processing facility in India for Project Zero, we decided to adopt a capital-light approach and focus on sourcing an existing processing facility requiring lower capital expenditures and which we believe may offer a lower risk solution to get Project Zero into production. In November 2022, we entered into a non-binding MoU with Pacific Metals Co Ltd (PAMCO) of Japan. In November 2023, we entered into a binding MoU with PAMCO whereby they must complete a feasibility study (expected to be completed during the third quarter of 2024) to toll treat 1.3 million tonnes of wet polymetallic nodules per year at its Hachinohe, Japan smelting facility expected to start in the second quarter of 2026, if we timely obtain an exploitation contract from the ISA. The toll treatment is intended to take place on a dedicated RKEF processing line and produce two products: nickel-copper-cobalt alloy, an intermediate product used as feedstock to produce Li-ion battery cathodes, and a manganese silicate product used to make silico-manganese alloy, a critical input into steel manufacturing. We expect this partnership to progress to a strategic alliance before the end of 2024, subject to successful evaluation study outcomes and agreement to mutually acceptable commercial terms. There can be no assurance that we will enter into such definitive strategic alliance in a particular time period, or at all, or on terms similar to those set forth in the binding MoU, or that if such definitive strategic alliance is entered into by us or that the existing facility will be able to successfully process nodules in a particular time period, or at all.</w:t>
      </w:r>
    </w:p>
    <w:p>
      <w:pPr>
        <w:spacing w:after="0" w:line="18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We are currently focused on preparing to submit our application to the ISA for our first exploitation for the NORI Area D contract area following the July 2024 meeting of the ISA.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77" name="Shape 5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577" o:spid="_x0000_s16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111" w:name="page112"/>
    <w:bookmarkEnd w:id="111"/>
    <w:p>
      <w:pPr>
        <w:ind w:firstLine="311"/>
        <w:spacing w:after="0" w:line="298"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79" name="Shape 5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79" o:spid="_x0000_s16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80" name="Shape 5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80" o:spid="_x0000_s16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1" o:spid="_x0000_s16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We now expect to commence production offshore at the end of the first quarter of 2026, assuming an ISA review process of approximately one year on our application for an exploitation contract. This new estimated timeline to first production is based on:</w:t>
      </w:r>
    </w:p>
    <w:p>
      <w:pPr>
        <w:spacing w:after="0" w:line="137" w:lineRule="exact"/>
        <w:rPr>
          <w:sz w:val="20"/>
          <w:szCs w:val="20"/>
          <w:color w:val="auto"/>
        </w:rPr>
      </w:pPr>
    </w:p>
    <w:p>
      <w:pPr>
        <w:jc w:val="both"/>
        <w:ind w:left="640" w:hanging="309"/>
        <w:spacing w:after="0" w:line="265" w:lineRule="auto"/>
        <w:tabs>
          <w:tab w:leader="none" w:pos="641" w:val="left"/>
        </w:tabs>
        <w:numPr>
          <w:ilvl w:val="0"/>
          <w:numId w:val="48"/>
        </w:numPr>
        <w:rPr>
          <w:rFonts w:ascii="Arial" w:cs="Arial" w:eastAsia="Arial" w:hAnsi="Arial"/>
          <w:sz w:val="17"/>
          <w:szCs w:val="17"/>
          <w:color w:val="auto"/>
        </w:rPr>
      </w:pPr>
      <w:r>
        <w:rPr>
          <w:rFonts w:ascii="Times New Roman" w:cs="Times New Roman" w:eastAsia="Times New Roman" w:hAnsi="Times New Roman"/>
          <w:sz w:val="17"/>
          <w:szCs w:val="17"/>
          <w:color w:val="auto"/>
        </w:rPr>
        <w:t xml:space="preserve">Refined assumptions following discussions with our strategic partner Allseas with respect to planned upgrades to the </w:t>
      </w:r>
      <w:r>
        <w:rPr>
          <w:rFonts w:ascii="Times New Roman" w:cs="Times New Roman" w:eastAsia="Times New Roman" w:hAnsi="Times New Roman"/>
          <w:sz w:val="17"/>
          <w:szCs w:val="17"/>
          <w:i w:val="1"/>
          <w:iCs w:val="1"/>
          <w:color w:val="auto"/>
        </w:rPr>
        <w:t>Hidden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Gem </w:t>
      </w:r>
      <w:r>
        <w:rPr>
          <w:rFonts w:ascii="Times New Roman" w:cs="Times New Roman" w:eastAsia="Times New Roman" w:hAnsi="Times New Roman"/>
          <w:sz w:val="17"/>
          <w:szCs w:val="17"/>
          <w:color w:val="auto"/>
        </w:rPr>
        <w:t>(including an additional nodule collector vehicle and associated equipment) to increase maximum production capacity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1.3mtpa to 3.0mtpa of wet nodules, to align with production ramp-up strategy based on precautionary principles. Upgrades to the </w:t>
      </w:r>
      <w:r>
        <w:rPr>
          <w:rFonts w:ascii="Times New Roman" w:cs="Times New Roman" w:eastAsia="Times New Roman" w:hAnsi="Times New Roman"/>
          <w:sz w:val="17"/>
          <w:szCs w:val="17"/>
          <w:i w:val="1"/>
          <w:iCs w:val="1"/>
          <w:color w:val="auto"/>
        </w:rPr>
        <w:t xml:space="preserve">Hidden Gem’s </w:t>
      </w:r>
      <w:r>
        <w:rPr>
          <w:rFonts w:ascii="Times New Roman" w:cs="Times New Roman" w:eastAsia="Times New Roman" w:hAnsi="Times New Roman"/>
          <w:sz w:val="17"/>
          <w:szCs w:val="17"/>
          <w:color w:val="auto"/>
        </w:rPr>
        <w:t>capacity prior to mobilization to the CCZ and start of production can avoid a situation in which the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ramp-up might otherwise lead to temporary production shutdowns.</w:t>
      </w:r>
    </w:p>
    <w:p>
      <w:pPr>
        <w:spacing w:after="0" w:line="164" w:lineRule="exact"/>
        <w:rPr>
          <w:rFonts w:ascii="Arial" w:cs="Arial" w:eastAsia="Arial" w:hAnsi="Arial"/>
          <w:sz w:val="17"/>
          <w:szCs w:val="17"/>
          <w:color w:val="auto"/>
        </w:rPr>
      </w:pPr>
    </w:p>
    <w:p>
      <w:pPr>
        <w:jc w:val="both"/>
        <w:ind w:left="640" w:hanging="309"/>
        <w:spacing w:after="0" w:line="276" w:lineRule="auto"/>
        <w:tabs>
          <w:tab w:leader="none" w:pos="640" w:val="left"/>
        </w:tabs>
        <w:numPr>
          <w:ilvl w:val="0"/>
          <w:numId w:val="48"/>
        </w:numPr>
        <w:rPr>
          <w:rFonts w:ascii="Arial" w:cs="Arial" w:eastAsia="Arial" w:hAnsi="Arial"/>
          <w:sz w:val="17"/>
          <w:szCs w:val="17"/>
          <w:color w:val="auto"/>
        </w:rPr>
      </w:pPr>
      <w:r>
        <w:rPr>
          <w:rFonts w:ascii="Times New Roman" w:cs="Times New Roman" w:eastAsia="Times New Roman" w:hAnsi="Times New Roman"/>
          <w:sz w:val="17"/>
          <w:szCs w:val="17"/>
          <w:color w:val="auto"/>
        </w:rPr>
        <w:t>The latest ISA draft text of the rules, regulations and procedures (“RRPs” or the “Mining Code”) issued on February 16, 2024, describe an estimated review process on an application for an exploitation contract of 344 days, compared to previous versions which described a review process of 315 days.</w:t>
      </w:r>
    </w:p>
    <w:p>
      <w:pPr>
        <w:spacing w:after="0" w:line="154"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w:t>
      </w:r>
    </w:p>
    <w:p>
      <w:pPr>
        <w:spacing w:after="0" w:line="16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2023 Highlights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Below are a few of the developments that occurred in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NORI Area D Project Advancements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Update on Application Timeline and Costs, Increased Production Capacity</w:t>
      </w:r>
    </w:p>
    <w:p>
      <w:pPr>
        <w:spacing w:after="0" w:line="21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 xml:space="preserve">In August 2023, we provided a corporate update on our expected project development timeline, production capacity and application costs for our NORI Area D Nodule Project following the recent ISA Council decisions on a roadmap to deliver final rules, regulations and procedures, also known as the Mining Code. Our wholly-owned subsidiary NORI intends to submit an application to the ISA for an exploitation contract for NORI Area D following the July 2024 meeting of the ISA. Assuming an approximate one-year review process, NORI expected to be in commercial production at the end of 2025 (now estimated for the end of the first quarter of 2026) if the application is approved. NORI and strategic partner Allseas plan for an increased production capacity for the Project Zero Offshore Nodule Collection System, using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vessel, from an estimated 1.3 million wet tonnes to up to an estimated 3.0 million wet tonnes per annum, a potential increase of 130%.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Extensive Deep-sea Environmental Data Submission to the ISA</w:t>
      </w:r>
    </w:p>
    <w:p>
      <w:pPr>
        <w:spacing w:after="0" w:line="218"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In March 2023, we announced that NORI had begun the process of submitting data collected during 17 offshore resource definition and environmental baseline campaigns in NORI Area D to the DeepData platform, an open database of contractor data managed by the ISA. Collected using a suite of high-tech equipment, the dataset submitted to the ISA includes over 1,400 biological samples from extensive boxcore and multicore sampling, and over 8,000 images analysed for benthic megafauna captured by remotely operated vehicles from two offshore campaigns. This first submission of benthic data, which includes over 270,000 occurrences, will provide a significant expansion to the biological holdings contained within the DeepData platform.</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82" name="Shape 5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582" o:spid="_x0000_s16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83" name="Shape 5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83" o:spid="_x0000_s16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85" name="Shape 5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85" o:spid="_x0000_s16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86" name="Shape 5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6" o:spid="_x0000_s16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Publication of NORI Area D data to Ocean Biodiversity Information System</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July 2023, we announced that data from two offshore environmental research campaigns conducted by NORI had been published by the ISA to the Ocean Biodiversity Information System (OBIS), the world’s largest scientific knowledge base on the diversity, distribution and abundance of marine organisms. NORI is now the single largest contributor of biological occurrence data to the OBIS ISA-node, providing approximately 60% of all records. With much more data to be submitted, we expect NORI Area D will be one of the most highly characterized deep-sea areas in the region that hosts approximately 90% of all nodule exploration.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Benchmark LCA of NORI Area D Project</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March 2023, we announced that leading lithium-ion battery supply chain research firm, Benchmark Mineral Intelligence (“Benchmark”), had completed an independent third-party lifecycle assessment (“LCA”) of the environmental impacts of our NORI Area D project, comparing the production of key energy transition metals (nickel, cobalt and copper) from the NORI Area D project to key land-based production routes for the same metals. Benchmark’s LCA shows the NORI Area D project model performed better in almost every impact category analysed than all the land-based routes chosen by Benchmark for comparison.</w:t>
      </w:r>
    </w:p>
    <w:p>
      <w:pPr>
        <w:spacing w:after="0" w:line="165"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Forest ecosystems play a critical role in the carbon cycle, yet mining’s impacts on their carbon sequestration services often goes unaccounted for in studies. In 2023, we commissioned Benchmark to address some of these gaps in information in a follow-up study by looking at mining in the top nickel and cobalt producing regions of Sulawesi, Indonesia and Katanga, DRC. When accounting for forest removal, the lifecycle global warming potential (GWP) per kilogram of nickel mined in Indonesia; Benchmark’s earlier LCA would increase by between 7-49% per kilogram of Indonesian nickel (depending on production routes) and by 35% per kilogram of cobalt mined in DRC.</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Publication of 2022 Impact Report</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October 2023, we published our second annual Impact Report which provides an update on key milestones achieved in our assessment of the environmental and social impacts of seafloor nodule collection and those impacts relative to land-based alternatives, and the efforts we are undertaking to eliminate or reduce such impacts. As part of the Impact Report, we also introduced our Sustainability Approach highlighting our thought processes about how we intend to fully align our activities to environmental, social and governance (ESG)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NORI Area D Testing and Monitoring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NORI Shares Preliminary Findings on Environmental Impacts of Test Mining Campaign</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November 2023, our subsidiary NORI began sharing emerging data on the impacts of seafloor sediment plumes which show that the plume forms a gravity-driven turbidity current that hugs the contours of the seafloor and does not loft up into the water column where it could possibly be transported longer distances by ocean currents. A key component to understanding our environmental impacts, the data builds upon earlier laboratory predictions and in-field verifications from prior collector tests.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Conclusion of Key Offshore Research Campaign</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December 2023, we announced the conclusion of our latest offshore scientific research campaign to assess seafloor impacts and recovery rates twelve months after the pilot nodule collection system test conducted by our NORI subsidiary. NORI’s latest offshore scientific research campaign successfully gathered crucial environmental data on ecosystem recovery and functioning to further support our application for a commercial exploitation contract. The preliminary qualitative assessments are encouraging, and we look forward to sharing the data and results in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42">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3025pt"/>
            </w:pict>
          </mc:Fallback>
        </mc:AlternateContent>
      </w:r>
    </w:p>
    <w:p>
      <w:pPr>
        <w:sectPr>
          <w:pgSz w:w="12240" w:h="15840" w:orient="portrait"/>
          <w:cols w:equalWidth="0" w:num="1">
            <w:col w:w="9600"/>
          </w:cols>
          <w:pgMar w:left="1320" w:top="1329" w:right="132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Next Phase of Adaptive Management System Development Announced</w:t>
      </w:r>
    </w:p>
    <w:p>
      <w:pPr>
        <w:spacing w:after="0" w:line="218"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7"/>
          <w:szCs w:val="17"/>
          <w:color w:val="auto"/>
        </w:rPr>
        <w:t>Following the delivery of a prototype Digital Twin from Kongsberg Digital in 2022 and its deployment during the collector tests in 2022, we announced in September 2023 that we had entered into the next phase of our relationship with Kongsberg Digital to further develop the Digital Twin which will integrate multiple data streams from our future production system and is designed to enable 3D visualization of our deep-sea operating environment, providing ‘eyes and ears’ to the regulator and stakeholders. The Digital Twin is a core component of our broader Adaptive Management System (AMS) which is designed to utilise AI and hybrid machine learning capabilities of the Digital Twin with expert analysis to ensure operations remain within environmental impact thresholds, a system with potential applications for resource operations at sea and on land.</w:t>
      </w:r>
    </w:p>
    <w:p>
      <w:pPr>
        <w:spacing w:after="0"/>
        <w:rPr>
          <w:sz w:val="20"/>
          <w:szCs w:val="20"/>
          <w:color w:val="auto"/>
        </w:rPr>
      </w:pPr>
      <w:r>
        <w:rPr>
          <w:rFonts w:ascii="Times New Roman" w:cs="Times New Roman" w:eastAsia="Times New Roman" w:hAnsi="Times New Roman"/>
          <w:sz w:val="17"/>
          <w:szCs w:val="17"/>
          <w:b w:val="1"/>
          <w:bCs w:val="1"/>
          <w:color w:val="auto"/>
        </w:rPr>
        <w:t>New Partnerships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MoUs with PAMCO to Evaluate Nodule Processing at Existing Facility</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 March 2023, we announced that we had entered into a non-binding MoU with PAMCO of Japan, to evaluate the toll treatment and conversion of polymetallic nodules into battery metal feedstock at PAMCO’s Hachinohe, Japan smelting facility.</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This announcement was followed with the signing of a binding MoU with PAMCO in November 2023 for a feasibility study to process 1.3 million tonnes of wet polymetallic nodules per year at their existing smelting facility in Hachinohe, Japan. The agreement underscores our stated capital-light strategy to get into initial commercial production swiftly and with lower upfront capital by re-using existing onshore production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Engagement with Bechtel Australia Pty Ltd. to Support NORI’s Commercial Contract Application</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March 2023, we announced that our wholly-owned subsidiary DeepGreen Engineering Pty. Ltd. had entered into an agreement with Bechtel Australia Pty Ltd. (“Bechtel”), a global leader in engineering, procurement and construction, to collect and compile the techno-economic studies prepared by various consultants required for NORI to lodge its application for an exploitation contract for its NORI Area D project with the ISA.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Low Carbon Royalties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In February 2023, we and our wholly-owned subsidiary, NORI, entered into a strategic partnership with Low Carbon Royalties Inc. (“LCR”),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We agreed with LCR to a purchase and sale agreement whereby LCR acquired a 2.0% gross overriding royalty on our NORI project area in the CCZ of the Pacific Ocean (“NORI Royalty”). In consideration for the NORI Royalty, we received $5,000,000 cash and an initial 35.0% equity interest in LCR. We retain the right to repurchase up to 75% of the NORI royalty at a capped return. If both repurchase transactions are executed, the NORI Royalty will be reduced to 0.5%.</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Developments with our Allseas Partnership</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the fourth quarter of 2022, we successfully tested the pilot nodule collection system in NORI Area D. As a result of lifting to the production vessel, Hidden Gem, of more than 3,000 tonnes of wet nodules during these tests, Allseas and NORI believe that they can upgrade the pilot nodule collection system, including the Hidden Gem, into the first production system, which we refer to as the Project Zero Offshore Nodule Collection System.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9" w:right="1320" w:bottom="1440" w:gutter="0" w:footer="0" w:header="0"/>
        </w:sectPr>
      </w:pPr>
    </w:p>
    <w:bookmarkStart w:id="114" w:name="page115"/>
    <w:bookmarkEnd w:id="114"/>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 August 2023, we announced that Allseas and NORI are now executing on a plan designed to increase the maximum production capacity of the Project Zero Offshore Nodule Collection System from the previous estimate of 1.3 million wet tonnes per annum to up to an estimated 3.0 million wet tonnes per annum in stepped increments based on Allseas’ estimates – a potential increase of 130%. The upgrades are expected to include the addition of a second 15-meter collector vehicle, the use of a wider diameter riser pipe from the seafloor to the surface, implementation of a larger compressor spread and improvements to the system designed to further mitigate its environmental impacts. Capacity is expected to be increased over time as production and experience milestones are met, which we believe will help manage operational risk, minimize up-front capital expenditure requirements and allow for staged increases in capacity as environmental review thresholds are met. Most of these capacity improvements are expected to occur after NORI’s application for an exploitation contract over NORI Area D is ready for submission to the ISA.</w:t>
      </w:r>
    </w:p>
    <w:p>
      <w:pPr>
        <w:spacing w:after="0" w:line="16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furtherance of our non-binding term sheet entered into in March 2022 with Allseas, we continue our discussions with Allseas regarding these upgrades and the development of the Project Zero Offshore Nodule Collection System and anticipate reaching a definitive agreement with Allseas before the end of 2024. The definitive agreement is expected to include further detail on pre-production system development and post-production costs. There can be no assurances, however, that we will enter into a definitive agreement(s) with Allseas in a particular time period, or at all, or on terms similar to those currently expected, or that if such definitive agreement(s) is entered into that the Project Zero Offshore Nodule Collection System will be successfully developed or operated.</w:t>
      </w:r>
    </w:p>
    <w:p>
      <w:pPr>
        <w:spacing w:after="0" w:line="16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 xml:space="preserve">In addition, on August 1, 2023, we entered into an Exclusive Vessel Use Agreement with Allseas pursuant to which Allseas will give exclusive use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us in support of the development of the Project Zero Offshore Nodule Collection System until the system is completed or December 31, 2026, whichever is earlier. In consideration of the exclusivity term, we will issue 4.15 million Common Shares to Allseas. We expect that the definitive agreement with Allseas discussed above will extend the exclusive use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Direct Offering</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August 14, 2023, we entered into a securities purchase agreement with certain investors, pursuant to which we agreed to sell and issue, in a registered direct offering (the “Registered Direct Offering”) 12,461,540 Common Shares and issue Class A Warrants to purchase 6,230,770 Common Shares for expected gross proceeds to us of $24.9 million and expected net proceeds to us of $23.6 million, after deducting underwriting discounts and commissions and other offering expenses payable by us. The Common Share and the accompanying Class A Warrant to purchase 0.5 of a Common Share were sold at a price of $2.00 per unit. The exercise price of the Class A Warrants is $3.00, subject to adjustment as provided in the warrant agreement. The Registered Direct Offering initially closed in August 2023, with the final receipt of gross proceeds received in January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Extension of Credit Facility with Allseas Affiliate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On July 31, 2023, the Company entered into the Amendment to the Unsecured Credit Facility with Argentum Credit Virtuti GCV (the “Lender”), the parent of Allseas Investments S.A. and an affiliate of Allseas, to extend the credit facility to November 30, 2024. The Credit Facility was then further amended in March 2024 as described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Developments Subsequent to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to Credit Facility with Allseas Affiliate</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On March 22, 2024, we entered into the Second Amendment to the Unsecured Credit Facility with the Lender, an affiliate of Allseas, to further extend the Credit Facility to August 31, 2025 and to provide that the underutilization fee thereunder shall cease to be payable after the date on which we or the Lender gives notice of termination of the agreement (as amended by this amendment and the July 2023 amendment, the “Credit Facility”). Under the Credit Facility, we may borrow from the Lender up to $25,000,000 in the aggregate through August 31, 2025.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 xml:space="preserve">Credit Facility with </w:t>
      </w:r>
      <w:r>
        <w:rPr>
          <w:rFonts w:ascii="Times New Roman" w:cs="Times New Roman" w:eastAsia="Times New Roman" w:hAnsi="Times New Roman"/>
          <w:sz w:val="17"/>
          <w:szCs w:val="17"/>
          <w:b w:val="1"/>
          <w:bCs w:val="1"/>
          <w:color w:val="auto"/>
        </w:rPr>
        <w:t>ERAS</w:t>
      </w:r>
      <w:r>
        <w:rPr>
          <w:rFonts w:ascii="Times New Roman" w:cs="Times New Roman" w:eastAsia="Times New Roman" w:hAnsi="Times New Roman"/>
          <w:sz w:val="17"/>
          <w:szCs w:val="17"/>
          <w:b w:val="1"/>
          <w:bCs w:val="1"/>
          <w:i w:val="1"/>
          <w:iCs w:val="1"/>
          <w:color w:val="auto"/>
        </w:rPr>
        <w:t xml:space="preserve"> Capital LLC and Gerard Barron</w:t>
      </w:r>
    </w:p>
    <w:p>
      <w:pPr>
        <w:spacing w:after="0" w:line="22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Exploration Contracts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55"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NORI. </w:t>
      </w:r>
      <w:r>
        <w:rPr>
          <w:rFonts w:ascii="Times New Roman" w:cs="Times New Roman" w:eastAsia="Times New Roman" w:hAnsi="Times New Roman"/>
          <w:sz w:val="17"/>
          <w:szCs w:val="17"/>
          <w:color w:val="auto"/>
        </w:rPr>
        <w:t>NORI our wholly-owned subsidiary, holds exploration rights to four blocks (NORI Area A, B, C, and D, the “NORI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TOML. </w:t>
      </w:r>
      <w:r>
        <w:rPr>
          <w:rFonts w:ascii="Times New Roman" w:cs="Times New Roman" w:eastAsia="Times New Roman" w:hAnsi="Times New Roman"/>
          <w:sz w:val="17"/>
          <w:szCs w:val="17"/>
          <w:color w:val="auto"/>
        </w:rPr>
        <w:t>TOML our wholly-owned subsidiary which we acquired in March 2020, holds exploration rights to an area covering 74,713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w:t>
      </w:r>
    </w:p>
    <w:p>
      <w:pPr>
        <w:spacing w:after="0" w:line="16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Marawa. </w:t>
      </w:r>
      <w:r>
        <w:rPr>
          <w:rFonts w:ascii="Times New Roman" w:cs="Times New Roman" w:eastAsia="Times New Roman" w:hAnsi="Times New Roman"/>
          <w:sz w:val="17"/>
          <w:szCs w:val="17"/>
          <w:color w:val="auto"/>
        </w:rPr>
        <w:t>DGE, our wholly-owned subsidiary, entered into agreements with Marawa and Kiribati which provide DGE with exclusive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Trends, Opportunities and Uncertainties</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are currently a pre-revenue company and we do not anticipate earning revenues until at least 2026 and only if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Item 7A entitled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and Item 1A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included in this Annual Report.</w:t>
      </w:r>
    </w:p>
    <w:p>
      <w:pPr>
        <w:sectPr>
          <w:pgSz w:w="12240" w:h="15840" w:orient="portrait"/>
          <w:cols w:equalWidth="0" w:num="1">
            <w:col w:w="9600"/>
          </w:cols>
          <w:pgMar w:left="1320" w:top="1324" w:right="132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4" w:right="1320"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03" name="Shape 6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03" o:spid="_x0000_s16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Impact of Climate Change</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of climate change on our operations.</w:t>
      </w:r>
    </w:p>
    <w:p>
      <w:pPr>
        <w:spacing w:after="0" w:line="165"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Our climate related transition risks and opportunities are likely to be driven by changes in regulation, public policy, and technology as well as risk of business disruptions due to climate related events.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risks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5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policy risks</w:t>
      </w:r>
    </w:p>
    <w:p>
      <w:pPr>
        <w:spacing w:after="0" w:line="218"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w:t>
      </w:r>
    </w:p>
    <w:p>
      <w:pPr>
        <w:spacing w:after="0" w:line="374"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To support the EV and battery storage value chain, we are seeking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risks</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Physical risks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1" o:spid="_x0000_s16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Impact of Global Inflation</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global inflation rate rose sharply in 2021 and 2022, and though inflation softened in 2023, marine fuel prices and vessel day rates remained high and have increased our exploration expenses beyond what was originally expected. Additionally, we are experiencing higher offshore labor costs through our contractors.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a pre-revenue company, persistent inflation may affect our ultimate cash requirements prior to our ability to begin commercial production.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an exploration-stage company with no revenue to date and a net loss of $73.8 million for the year ended December 31, 2023, compared to a net loss of $171 million in the prior year. We have an accumulated deficit of approximately $548.9 million from inception through December 31, 2023.</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To date, we have not generated any revenue. We do not expect to generate revenue until at least 2026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Exploration and Evaluation Expenses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General and administrative (“G&amp;A”) expenses consist primarily of compensation for employees, consultants and directors, including wages and salaries,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60"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13" o:spid="_x0000_s16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Interest Income/Expense</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Interest income consists primarily of interest income earned on our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Loss</w:t>
      </w:r>
    </w:p>
    <w:p>
      <w:pPr>
        <w:spacing w:after="0" w:line="218"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Warrants Liability</w:t>
      </w:r>
    </w:p>
    <w:p>
      <w:pPr>
        <w:spacing w:after="0" w:line="218" w:lineRule="exact"/>
        <w:rPr>
          <w:sz w:val="20"/>
          <w:szCs w:val="20"/>
          <w:color w:val="auto"/>
        </w:rPr>
      </w:pPr>
    </w:p>
    <w:p>
      <w:pPr>
        <w:jc w:val="both"/>
        <w:ind w:right="20" w:firstLine="311"/>
        <w:spacing w:after="0" w:line="269" w:lineRule="auto"/>
        <w:rPr>
          <w:sz w:val="20"/>
          <w:szCs w:val="20"/>
          <w:color w:val="auto"/>
        </w:rPr>
      </w:pPr>
      <w:r>
        <w:rPr>
          <w:rFonts w:ascii="Times New Roman" w:cs="Times New Roman" w:eastAsia="Times New Roman" w:hAnsi="Times New Roman"/>
          <w:sz w:val="17"/>
          <w:szCs w:val="17"/>
          <w:color w:val="auto"/>
        </w:rPr>
        <w:t>The change in fair value of warrants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 and we are required to re-measure the fair value of our Private Warrants at the end of each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periods ended December 31, 2023 and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760" w:type="dxa"/>
            <w:vAlign w:val="bottom"/>
          </w:tcPr>
          <w:p>
            <w:pPr>
              <w:spacing w:after="0"/>
              <w:rPr>
                <w:sz w:val="13"/>
                <w:szCs w:val="13"/>
                <w:color w:val="auto"/>
              </w:rPr>
            </w:pPr>
          </w:p>
        </w:tc>
        <w:tc>
          <w:tcPr>
            <w:tcW w:w="2080" w:type="dxa"/>
            <w:vAlign w:val="bottom"/>
            <w:gridSpan w:val="6"/>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gridSpan w:val="5"/>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60" w:type="dxa"/>
            <w:vAlign w:val="bottom"/>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except as noted)</w:t>
            </w:r>
          </w:p>
        </w:tc>
        <w:tc>
          <w:tcPr>
            <w:tcW w:w="760" w:type="dxa"/>
            <w:vAlign w:val="bottom"/>
          </w:tcPr>
          <w:p>
            <w:pPr>
              <w:spacing w:after="0"/>
              <w:rPr>
                <w:sz w:val="12"/>
                <w:szCs w:val="12"/>
                <w:color w:val="auto"/>
              </w:rPr>
            </w:pPr>
          </w:p>
        </w:tc>
        <w:tc>
          <w:tcPr>
            <w:tcW w:w="680" w:type="dxa"/>
            <w:vAlign w:val="bottom"/>
          </w:tcPr>
          <w:p>
            <w:pPr>
              <w:jc w:val="right"/>
              <w:ind w:right="122"/>
              <w:spacing w:after="0" w:line="143" w:lineRule="exact"/>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tcPr>
          <w:p>
            <w:pPr>
              <w:jc w:val="center"/>
              <w:ind w:left="99"/>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2"/>
                <w:szCs w:val="12"/>
                <w:color w:val="auto"/>
              </w:rPr>
            </w:pPr>
          </w:p>
        </w:tc>
        <w:tc>
          <w:tcPr>
            <w:tcW w:w="72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ind w:right="117"/>
              <w:spacing w:after="0" w:line="143" w:lineRule="exact"/>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gridSpan w:val="3"/>
          </w:tcPr>
          <w:p>
            <w:pPr>
              <w:jc w:val="center"/>
              <w:ind w:left="91"/>
              <w:spacing w:after="0" w:line="143"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4"/>
              </w:rPr>
              <w:t>% 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56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Exploration and evaluation expenses</w:t>
            </w:r>
          </w:p>
        </w:tc>
        <w:tc>
          <w:tcPr>
            <w:tcW w:w="760" w:type="dxa"/>
            <w:vAlign w:val="bottom"/>
            <w:tcBorders>
              <w:top w:val="single" w:sz="8" w:color="CBEBF4"/>
            </w:tcBorders>
            <w:shd w:val="clear" w:color="auto" w:fill="CBEBF4"/>
          </w:tcPr>
          <w:p>
            <w:pPr>
              <w:spacing w:after="0"/>
              <w:rPr>
                <w:sz w:val="17"/>
                <w:szCs w:val="17"/>
                <w:color w:val="auto"/>
              </w:rPr>
            </w:pPr>
          </w:p>
        </w:tc>
        <w:tc>
          <w:tcPr>
            <w:tcW w:w="6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$ 26,677</w:t>
            </w:r>
          </w:p>
        </w:tc>
        <w:tc>
          <w:tcPr>
            <w:tcW w:w="180" w:type="dxa"/>
            <w:vAlign w:val="bottom"/>
            <w:tcBorders>
              <w:top w:val="single" w:sz="8" w:color="CBEBF4"/>
            </w:tcBorders>
            <w:shd w:val="clear" w:color="auto" w:fill="CBEBF4"/>
          </w:tcPr>
          <w:p>
            <w:pPr>
              <w:spacing w:after="0"/>
              <w:rPr>
                <w:sz w:val="17"/>
                <w:szCs w:val="17"/>
                <w:color w:val="auto"/>
              </w:rPr>
            </w:pPr>
          </w:p>
        </w:tc>
        <w:tc>
          <w:tcPr>
            <w:tcW w:w="7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9"/>
              </w:rPr>
              <w:t>$ 104,259</w:t>
            </w:r>
          </w:p>
        </w:tc>
        <w:tc>
          <w:tcPr>
            <w:tcW w:w="100" w:type="dxa"/>
            <w:vAlign w:val="bottom"/>
            <w:tcBorders>
              <w:top w:val="single" w:sz="8" w:color="CBEBF4"/>
            </w:tcBorders>
            <w:shd w:val="clear" w:color="auto" w:fill="CBEBF4"/>
          </w:tcPr>
          <w:p>
            <w:pPr>
              <w:spacing w:after="0"/>
              <w:rPr>
                <w:sz w:val="17"/>
                <w:szCs w:val="17"/>
                <w:color w:val="auto"/>
              </w:rPr>
            </w:pPr>
          </w:p>
        </w:tc>
        <w:tc>
          <w:tcPr>
            <w:tcW w:w="80" w:type="dxa"/>
            <w:vAlign w:val="bottom"/>
            <w:tcBorders>
              <w:top w:val="single" w:sz="8" w:color="CBEBF4"/>
            </w:tcBorders>
            <w:shd w:val="clear" w:color="auto" w:fill="CBEBF4"/>
          </w:tcPr>
          <w:p>
            <w:pPr>
              <w:spacing w:after="0"/>
              <w:rPr>
                <w:sz w:val="17"/>
                <w:szCs w:val="17"/>
                <w:color w:val="auto"/>
              </w:rPr>
            </w:pPr>
          </w:p>
        </w:tc>
        <w:tc>
          <w:tcPr>
            <w:tcW w:w="280" w:type="dxa"/>
            <w:vAlign w:val="bottom"/>
            <w:tcBorders>
              <w:top w:val="single" w:sz="8" w:color="auto"/>
            </w:tcBorders>
            <w:shd w:val="clear" w:color="auto" w:fill="CBEBF4"/>
          </w:tcPr>
          <w:p>
            <w:pPr>
              <w:spacing w:after="0"/>
              <w:rPr>
                <w:sz w:val="17"/>
                <w:szCs w:val="17"/>
                <w:color w:val="auto"/>
              </w:rPr>
            </w:pPr>
          </w:p>
        </w:tc>
        <w:tc>
          <w:tcPr>
            <w:tcW w:w="3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Borders>
              <w:top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Borders>
              <w:top w:val="single" w:sz="8" w:color="CBEBF4"/>
            </w:tcBorders>
            <w:shd w:val="clear" w:color="auto" w:fill="CBEBF4"/>
          </w:tcPr>
          <w:p>
            <w:pPr>
              <w:spacing w:after="0"/>
              <w:rPr>
                <w:sz w:val="17"/>
                <w:szCs w:val="17"/>
                <w:color w:val="auto"/>
              </w:rPr>
            </w:pPr>
          </w:p>
        </w:tc>
        <w:tc>
          <w:tcPr>
            <w:tcW w:w="6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shd w:val="clear" w:color="auto" w:fill="CBEBF4"/>
              </w:rPr>
              <w:t>$ 49,849</w:t>
            </w:r>
          </w:p>
        </w:tc>
        <w:tc>
          <w:tcPr>
            <w:tcW w:w="200" w:type="dxa"/>
            <w:vAlign w:val="bottom"/>
            <w:tcBorders>
              <w:top w:val="single" w:sz="8" w:color="CBEBF4"/>
            </w:tcBorders>
            <w:shd w:val="clear" w:color="auto" w:fill="CBEBF4"/>
          </w:tcPr>
          <w:p>
            <w:pPr>
              <w:spacing w:after="0"/>
              <w:rPr>
                <w:sz w:val="17"/>
                <w:szCs w:val="17"/>
                <w:color w:val="auto"/>
              </w:rPr>
            </w:pPr>
          </w:p>
        </w:tc>
        <w:tc>
          <w:tcPr>
            <w:tcW w:w="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BEBF4"/>
              </w:rPr>
              <w:t>$</w:t>
            </w:r>
          </w:p>
        </w:tc>
        <w:tc>
          <w:tcPr>
            <w:tcW w:w="6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144,599</w:t>
            </w:r>
          </w:p>
        </w:tc>
        <w:tc>
          <w:tcPr>
            <w:tcW w:w="180" w:type="dxa"/>
            <w:vAlign w:val="bottom"/>
            <w:tcBorders>
              <w:top w:val="single" w:sz="8" w:color="CBEBF4"/>
            </w:tcBorders>
            <w:shd w:val="clear" w:color="auto" w:fill="CBEBF4"/>
          </w:tcPr>
          <w:p>
            <w:pPr>
              <w:spacing w:after="0"/>
              <w:rPr>
                <w:sz w:val="17"/>
                <w:szCs w:val="17"/>
                <w:color w:val="auto"/>
              </w:rPr>
            </w:pPr>
          </w:p>
        </w:tc>
        <w:tc>
          <w:tcPr>
            <w:tcW w:w="6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80" w:type="dxa"/>
            <w:vAlign w:val="bottom"/>
            <w:tcBorders>
              <w:top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29,518</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7"/>
        </w:trPr>
        <w:tc>
          <w:tcPr>
            <w:tcW w:w="35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Equity-accounted investment loss</w:t>
            </w:r>
          </w:p>
        </w:tc>
        <w:tc>
          <w:tcPr>
            <w:tcW w:w="14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shd w:val="clear" w:color="auto" w:fill="CBEBF4"/>
          </w:tcPr>
          <w:p>
            <w:pPr>
              <w:spacing w:after="0"/>
              <w:rPr>
                <w:sz w:val="18"/>
                <w:szCs w:val="18"/>
                <w:color w:val="auto"/>
              </w:rPr>
            </w:pPr>
          </w:p>
        </w:tc>
        <w:tc>
          <w:tcPr>
            <w:tcW w:w="86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540" w:type="dxa"/>
            <w:vAlign w:val="bottom"/>
            <w:gridSpan w:val="2"/>
            <w:shd w:val="clear" w:color="auto" w:fill="CBEBF4"/>
          </w:tcPr>
          <w:p>
            <w:pPr>
              <w:jc w:val="right"/>
              <w:ind w:right="154"/>
              <w:spacing w:after="0"/>
              <w:rPr>
                <w:sz w:val="20"/>
                <w:szCs w:val="20"/>
                <w:color w:val="auto"/>
              </w:rPr>
            </w:pPr>
            <w:r>
              <w:rPr>
                <w:rFonts w:ascii="Times New Roman" w:cs="Times New Roman" w:eastAsia="Times New Roman" w:hAnsi="Times New Roman"/>
                <w:sz w:val="17"/>
                <w:szCs w:val="17"/>
                <w:color w:val="auto"/>
                <w:w w:val="95"/>
              </w:rPr>
              <w:t>N/A</w:t>
            </w:r>
          </w:p>
        </w:tc>
        <w:tc>
          <w:tcPr>
            <w:tcW w:w="60" w:type="dxa"/>
            <w:vAlign w:val="bottom"/>
            <w:shd w:val="clear" w:color="auto" w:fill="CBEBF4"/>
          </w:tcPr>
          <w:p>
            <w:pPr>
              <w:spacing w:after="0"/>
              <w:rPr>
                <w:sz w:val="18"/>
                <w:szCs w:val="18"/>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200" w:type="dxa"/>
            <w:vAlign w:val="bottom"/>
            <w:shd w:val="clear" w:color="auto" w:fill="CBEBF4"/>
          </w:tcPr>
          <w:p>
            <w:pPr>
              <w:spacing w:after="0"/>
              <w:rPr>
                <w:sz w:val="18"/>
                <w:szCs w:val="18"/>
                <w:color w:val="auto"/>
              </w:rPr>
            </w:pPr>
          </w:p>
        </w:tc>
        <w:tc>
          <w:tcPr>
            <w:tcW w:w="80" w:type="dxa"/>
            <w:vAlign w:val="bottom"/>
            <w:shd w:val="clear" w:color="auto" w:fill="CBEBF4"/>
          </w:tcPr>
          <w:p>
            <w:pPr>
              <w:spacing w:after="0"/>
              <w:rPr>
                <w:sz w:val="18"/>
                <w:szCs w:val="18"/>
                <w:color w:val="auto"/>
              </w:rPr>
            </w:pPr>
          </w:p>
        </w:tc>
        <w:tc>
          <w:tcPr>
            <w:tcW w:w="860" w:type="dxa"/>
            <w:vAlign w:val="bottom"/>
            <w:gridSpan w:val="2"/>
            <w:shd w:val="clear" w:color="auto" w:fill="CBEBF4"/>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BEBF4"/>
          </w:tcPr>
          <w:p>
            <w:pPr>
              <w:jc w:val="right"/>
              <w:ind w:right="154"/>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 of warrants liability</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146 %</w:t>
            </w:r>
          </w:p>
        </w:tc>
        <w:tc>
          <w:tcPr>
            <w:tcW w:w="0" w:type="dxa"/>
            <w:vAlign w:val="bottom"/>
          </w:tcPr>
          <w:p>
            <w:pPr>
              <w:spacing w:after="0"/>
              <w:rPr>
                <w:sz w:val="1"/>
                <w:szCs w:val="1"/>
                <w:color w:val="auto"/>
              </w:rPr>
            </w:pPr>
          </w:p>
        </w:tc>
      </w:tr>
      <w:tr>
        <w:trPr>
          <w:trHeight w:val="207"/>
        </w:trPr>
        <w:tc>
          <w:tcPr>
            <w:tcW w:w="35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Foreign exchange loss</w:t>
            </w:r>
          </w:p>
        </w:tc>
        <w:tc>
          <w:tcPr>
            <w:tcW w:w="14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9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BEBF4"/>
          </w:tcPr>
          <w:p>
            <w:pPr>
              <w:spacing w:after="0"/>
              <w:rPr>
                <w:sz w:val="18"/>
                <w:szCs w:val="18"/>
                <w:color w:val="auto"/>
              </w:rPr>
            </w:pPr>
          </w:p>
        </w:tc>
        <w:tc>
          <w:tcPr>
            <w:tcW w:w="8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5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597 %</w:t>
            </w:r>
          </w:p>
        </w:tc>
        <w:tc>
          <w:tcPr>
            <w:tcW w:w="60" w:type="dxa"/>
            <w:vAlign w:val="bottom"/>
            <w:shd w:val="clear" w:color="auto" w:fill="CBEBF4"/>
          </w:tcPr>
          <w:p>
            <w:pPr>
              <w:spacing w:after="0"/>
              <w:rPr>
                <w:sz w:val="18"/>
                <w:szCs w:val="18"/>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00" w:type="dxa"/>
            <w:vAlign w:val="bottom"/>
            <w:shd w:val="clear" w:color="auto" w:fill="CBEBF4"/>
          </w:tcPr>
          <w:p>
            <w:pPr>
              <w:spacing w:after="0"/>
              <w:rPr>
                <w:sz w:val="18"/>
                <w:szCs w:val="18"/>
                <w:color w:val="auto"/>
              </w:rPr>
            </w:pPr>
          </w:p>
        </w:tc>
        <w:tc>
          <w:tcPr>
            <w:tcW w:w="80" w:type="dxa"/>
            <w:vAlign w:val="bottom"/>
            <w:shd w:val="clear" w:color="auto" w:fill="CBEBF4"/>
          </w:tcPr>
          <w:p>
            <w:pPr>
              <w:spacing w:after="0"/>
              <w:rPr>
                <w:sz w:val="18"/>
                <w:szCs w:val="18"/>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shd w:val="clear" w:color="auto" w:fill="CBEBF4"/>
          </w:tcPr>
          <w:p>
            <w:pPr>
              <w:spacing w:after="0"/>
              <w:rPr>
                <w:sz w:val="18"/>
                <w:szCs w:val="18"/>
                <w:color w:val="auto"/>
              </w:rPr>
            </w:pPr>
          </w:p>
        </w:tc>
        <w:tc>
          <w:tcPr>
            <w:tcW w:w="82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1,192 %</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07"/>
        </w:trPr>
        <w:tc>
          <w:tcPr>
            <w:tcW w:w="35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Fees and interest on credit facility</w:t>
            </w:r>
          </w:p>
        </w:tc>
        <w:tc>
          <w:tcPr>
            <w:tcW w:w="14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80" w:type="dxa"/>
            <w:vAlign w:val="bottom"/>
            <w:shd w:val="clear" w:color="auto" w:fill="CBEBF4"/>
          </w:tcPr>
          <w:p>
            <w:pPr>
              <w:spacing w:after="0"/>
              <w:rPr>
                <w:sz w:val="18"/>
                <w:szCs w:val="18"/>
                <w:color w:val="auto"/>
              </w:rPr>
            </w:pPr>
          </w:p>
        </w:tc>
        <w:tc>
          <w:tcPr>
            <w:tcW w:w="86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540" w:type="dxa"/>
            <w:vAlign w:val="bottom"/>
            <w:gridSpan w:val="2"/>
            <w:shd w:val="clear" w:color="auto" w:fill="CBEBF4"/>
          </w:tcPr>
          <w:p>
            <w:pPr>
              <w:jc w:val="right"/>
              <w:ind w:right="154"/>
              <w:spacing w:after="0"/>
              <w:rPr>
                <w:sz w:val="20"/>
                <w:szCs w:val="20"/>
                <w:color w:val="auto"/>
              </w:rPr>
            </w:pPr>
            <w:r>
              <w:rPr>
                <w:rFonts w:ascii="Times New Roman" w:cs="Times New Roman" w:eastAsia="Times New Roman" w:hAnsi="Times New Roman"/>
                <w:sz w:val="17"/>
                <w:szCs w:val="17"/>
                <w:color w:val="auto"/>
                <w:w w:val="95"/>
              </w:rPr>
              <w:t>N/A</w:t>
            </w:r>
          </w:p>
        </w:tc>
        <w:tc>
          <w:tcPr>
            <w:tcW w:w="60" w:type="dxa"/>
            <w:vAlign w:val="bottom"/>
            <w:shd w:val="clear" w:color="auto" w:fill="CBEBF4"/>
          </w:tcPr>
          <w:p>
            <w:pPr>
              <w:spacing w:after="0"/>
              <w:rPr>
                <w:sz w:val="18"/>
                <w:szCs w:val="18"/>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00" w:type="dxa"/>
            <w:vAlign w:val="bottom"/>
            <w:shd w:val="clear" w:color="auto" w:fill="CBEBF4"/>
          </w:tcPr>
          <w:p>
            <w:pPr>
              <w:spacing w:after="0"/>
              <w:rPr>
                <w:sz w:val="18"/>
                <w:szCs w:val="18"/>
                <w:color w:val="auto"/>
              </w:rPr>
            </w:pPr>
          </w:p>
        </w:tc>
        <w:tc>
          <w:tcPr>
            <w:tcW w:w="80" w:type="dxa"/>
            <w:vAlign w:val="bottom"/>
            <w:shd w:val="clear" w:color="auto" w:fill="CBEBF4"/>
          </w:tcPr>
          <w:p>
            <w:pPr>
              <w:spacing w:after="0"/>
              <w:rPr>
                <w:sz w:val="18"/>
                <w:szCs w:val="18"/>
                <w:color w:val="auto"/>
              </w:rPr>
            </w:pPr>
          </w:p>
        </w:tc>
        <w:tc>
          <w:tcPr>
            <w:tcW w:w="860" w:type="dxa"/>
            <w:vAlign w:val="bottom"/>
            <w:gridSpan w:val="2"/>
            <w:shd w:val="clear" w:color="auto" w:fill="CBEBF4"/>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BEBF4"/>
          </w:tcPr>
          <w:p>
            <w:pPr>
              <w:jc w:val="right"/>
              <w:ind w:right="154"/>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7"/>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Tax expense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00"/>
        </w:trPr>
        <w:tc>
          <w:tcPr>
            <w:tcW w:w="3560" w:type="dxa"/>
            <w:vAlign w:val="bottom"/>
            <w:tcBorders>
              <w:top w:val="single" w:sz="8" w:color="CBEBF4"/>
              <w:bottom w:val="single" w:sz="8" w:color="CBEBF4"/>
            </w:tcBorders>
            <w:shd w:val="clear" w:color="auto" w:fill="CBEBF4"/>
          </w:tcPr>
          <w:p>
            <w:pPr>
              <w:spacing w:after="0" w:line="200" w:lineRule="exact"/>
              <w:rPr>
                <w:sz w:val="20"/>
                <w:szCs w:val="20"/>
                <w:color w:val="auto"/>
              </w:rPr>
            </w:pPr>
            <w:r>
              <w:rPr>
                <w:rFonts w:ascii="Times New Roman" w:cs="Times New Roman" w:eastAsia="Times New Roman" w:hAnsi="Times New Roman"/>
                <w:sz w:val="19"/>
                <w:szCs w:val="19"/>
                <w:color w:val="auto"/>
              </w:rPr>
              <w:t>Loss for the period, after tax</w:t>
            </w:r>
          </w:p>
        </w:tc>
        <w:tc>
          <w:tcPr>
            <w:tcW w:w="760" w:type="dxa"/>
            <w:vAlign w:val="bottom"/>
            <w:tcBorders>
              <w:top w:val="single" w:sz="8" w:color="CBEBF4"/>
              <w:bottom w:val="single" w:sz="8" w:color="CBEBF4"/>
            </w:tcBorders>
            <w:shd w:val="clear" w:color="auto" w:fill="CBEBF4"/>
          </w:tcPr>
          <w:p>
            <w:pPr>
              <w:spacing w:after="0"/>
              <w:rPr>
                <w:sz w:val="17"/>
                <w:szCs w:val="17"/>
                <w:color w:val="auto"/>
              </w:rPr>
            </w:pPr>
          </w:p>
        </w:tc>
        <w:tc>
          <w:tcPr>
            <w:tcW w:w="6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$ 33,459</w:t>
            </w:r>
          </w:p>
        </w:tc>
        <w:tc>
          <w:tcPr>
            <w:tcW w:w="180" w:type="dxa"/>
            <w:vAlign w:val="bottom"/>
            <w:tcBorders>
              <w:top w:val="single" w:sz="8" w:color="CBEBF4"/>
              <w:bottom w:val="single" w:sz="8" w:color="CBEBF4"/>
            </w:tcBorders>
            <w:shd w:val="clear" w:color="auto" w:fill="CBEBF4"/>
          </w:tcPr>
          <w:p>
            <w:pPr>
              <w:spacing w:after="0"/>
              <w:rPr>
                <w:sz w:val="17"/>
                <w:szCs w:val="17"/>
                <w:color w:val="auto"/>
              </w:rPr>
            </w:pPr>
          </w:p>
        </w:tc>
        <w:tc>
          <w:tcPr>
            <w:tcW w:w="7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9"/>
              </w:rPr>
              <w:t>$ 109,569</w:t>
            </w:r>
          </w:p>
        </w:tc>
        <w:tc>
          <w:tcPr>
            <w:tcW w:w="100" w:type="dxa"/>
            <w:vAlign w:val="bottom"/>
            <w:tcBorders>
              <w:top w:val="single" w:sz="8" w:color="CBEBF4"/>
              <w:bottom w:val="single" w:sz="8" w:color="CBEBF4"/>
            </w:tcBorders>
            <w:shd w:val="clear" w:color="auto" w:fill="CBEBF4"/>
          </w:tcPr>
          <w:p>
            <w:pPr>
              <w:spacing w:after="0"/>
              <w:rPr>
                <w:sz w:val="17"/>
                <w:szCs w:val="17"/>
                <w:color w:val="auto"/>
              </w:rPr>
            </w:pPr>
          </w:p>
        </w:tc>
        <w:tc>
          <w:tcPr>
            <w:tcW w:w="80" w:type="dxa"/>
            <w:vAlign w:val="bottom"/>
            <w:tcBorders>
              <w:top w:val="single" w:sz="8" w:color="CBEBF4"/>
              <w:bottom w:val="single" w:sz="8" w:color="CBEBF4"/>
            </w:tcBorders>
            <w:shd w:val="clear" w:color="auto" w:fill="CBEBF4"/>
          </w:tcPr>
          <w:p>
            <w:pPr>
              <w:spacing w:after="0"/>
              <w:rPr>
                <w:sz w:val="17"/>
                <w:szCs w:val="17"/>
                <w:color w:val="auto"/>
              </w:rPr>
            </w:pPr>
          </w:p>
        </w:tc>
        <w:tc>
          <w:tcPr>
            <w:tcW w:w="280" w:type="dxa"/>
            <w:vAlign w:val="bottom"/>
            <w:tcBorders>
              <w:top w:val="single" w:sz="8" w:color="auto"/>
              <w:bottom w:val="single" w:sz="8" w:color="auto"/>
            </w:tcBorders>
            <w:shd w:val="clear" w:color="auto" w:fill="CBEBF4"/>
          </w:tcPr>
          <w:p>
            <w:pPr>
              <w:spacing w:after="0"/>
              <w:rPr>
                <w:sz w:val="17"/>
                <w:szCs w:val="17"/>
                <w:color w:val="auto"/>
              </w:rPr>
            </w:pPr>
          </w:p>
        </w:tc>
        <w:tc>
          <w:tcPr>
            <w:tcW w:w="3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40" w:type="dxa"/>
            <w:vAlign w:val="bottom"/>
            <w:tcBorders>
              <w:top w:val="single" w:sz="8" w:color="CBEBF4"/>
              <w:bottom w:val="single" w:sz="8" w:color="CBEBF4"/>
            </w:tcBorders>
            <w:gridSpan w:val="2"/>
            <w:shd w:val="clear" w:color="auto" w:fill="CBEBF4"/>
          </w:tcPr>
          <w:p>
            <w:pPr>
              <w:jc w:val="right"/>
              <w:ind w:right="100"/>
              <w:spacing w:after="0"/>
              <w:rPr>
                <w:sz w:val="20"/>
                <w:szCs w:val="20"/>
                <w:color w:val="auto"/>
              </w:rPr>
            </w:pPr>
            <w:r>
              <w:rPr>
                <w:rFonts w:ascii="Times New Roman" w:cs="Times New Roman" w:eastAsia="Times New Roman" w:hAnsi="Times New Roman"/>
                <w:sz w:val="17"/>
                <w:szCs w:val="17"/>
                <w:color w:val="auto"/>
                <w:w w:val="84"/>
              </w:rPr>
              <w:t>%</w:t>
            </w:r>
          </w:p>
        </w:tc>
        <w:tc>
          <w:tcPr>
            <w:tcW w:w="6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shd w:val="clear" w:color="auto" w:fill="CBEBF4"/>
              </w:rPr>
              <w:t>$ 73,781</w:t>
            </w:r>
          </w:p>
        </w:tc>
        <w:tc>
          <w:tcPr>
            <w:tcW w:w="200" w:type="dxa"/>
            <w:vAlign w:val="bottom"/>
            <w:tcBorders>
              <w:top w:val="single" w:sz="8" w:color="CBEBF4"/>
              <w:bottom w:val="single" w:sz="8" w:color="CBEBF4"/>
            </w:tcBorders>
            <w:shd w:val="clear" w:color="auto" w:fill="CBEBF4"/>
          </w:tcPr>
          <w:p>
            <w:pPr>
              <w:spacing w:after="0"/>
              <w:rPr>
                <w:sz w:val="17"/>
                <w:szCs w:val="17"/>
                <w:color w:val="auto"/>
              </w:rPr>
            </w:pPr>
          </w:p>
        </w:tc>
        <w:tc>
          <w:tcPr>
            <w:tcW w:w="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1"/>
                <w:szCs w:val="11"/>
                <w:color w:val="auto"/>
                <w:w w:val="71"/>
                <w:shd w:val="clear" w:color="auto" w:fill="CBEBF4"/>
              </w:rPr>
              <w:t>$</w:t>
            </w:r>
          </w:p>
        </w:tc>
        <w:tc>
          <w:tcPr>
            <w:tcW w:w="6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170,964</w:t>
            </w:r>
          </w:p>
        </w:tc>
        <w:tc>
          <w:tcPr>
            <w:tcW w:w="180" w:type="dxa"/>
            <w:vAlign w:val="bottom"/>
            <w:tcBorders>
              <w:top w:val="single" w:sz="8" w:color="CBEBF4"/>
              <w:bottom w:val="single" w:sz="8" w:color="CBEBF4"/>
            </w:tcBorders>
            <w:shd w:val="clear" w:color="auto" w:fill="CBEBF4"/>
          </w:tcPr>
          <w:p>
            <w:pPr>
              <w:spacing w:after="0"/>
              <w:rPr>
                <w:sz w:val="17"/>
                <w:szCs w:val="17"/>
                <w:color w:val="auto"/>
              </w:rPr>
            </w:pPr>
          </w:p>
        </w:tc>
        <w:tc>
          <w:tcPr>
            <w:tcW w:w="6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Borders>
              <w:top w:val="single" w:sz="8" w:color="CBEBF4"/>
              <w:bottom w:val="single" w:sz="8" w:color="CBEBF4"/>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Full Year 2023 compared to Full Year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Exploration and Evaluation Expenses</w:t>
      </w:r>
    </w:p>
    <w:p>
      <w:pPr>
        <w:spacing w:after="0" w:line="218" w:lineRule="exact"/>
        <w:rPr>
          <w:sz w:val="20"/>
          <w:szCs w:val="20"/>
          <w:color w:val="auto"/>
        </w:rPr>
      </w:pPr>
    </w:p>
    <w:p>
      <w:pPr>
        <w:jc w:val="both"/>
        <w:ind w:right="20" w:firstLine="311"/>
        <w:spacing w:after="0" w:line="259" w:lineRule="auto"/>
        <w:rPr>
          <w:sz w:val="20"/>
          <w:szCs w:val="20"/>
          <w:color w:val="auto"/>
        </w:rPr>
      </w:pPr>
      <w:r>
        <w:rPr>
          <w:rFonts w:ascii="Times New Roman" w:cs="Times New Roman" w:eastAsia="Times New Roman" w:hAnsi="Times New Roman"/>
          <w:sz w:val="17"/>
          <w:szCs w:val="17"/>
          <w:color w:val="auto"/>
        </w:rPr>
        <w:t>Exploration and evaluation expenses for the year ended December 31, 2023 were $49.8 million, compared to $144.6 million for the same period in 2022. The decrease of $94.8 million was primarily due to the recognition of cost representing the fair value of Allseas Warrant of $69.9 million, a reduction of $21.6 million on environmental studies as the collector test was completed in 2022 partially offset by the monitoring work on the NORI Area D collector test which was carried out in the fourth quarter of 2023, a reduction of $17.8 million on the PMTS and a reduction of $3.5 million in share based compensation cost as the cost of the LTIP options with specific market capitalization vesting conditions was fully amortized in 2022 in addition to the decrease in the amortization cost of STIP sign-up options granted in 2021, and reduced exploration activities in 2023. This was partially offset by an increase in mining, technological and process development of $13.0 million due to engineering work which commenced in the fourth quarter of 2022, an increase of $2.2 million in exploration labor costs mainly attributable to an increase in headcount, an increase of $1.9 million on Sponsorship, Training and Stakeholder Engagement cost and an increase of $1.3 million on prefeasibility work.</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9" w:right="130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18" name="Shape 6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18" o:spid="_x0000_s16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19" o:spid="_x0000_s16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General and Administrative (“G&amp;A”) Expenses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G&amp;A expenses for the year ended December 31, 2023 were $22.5 million compared to $29.5 million for the same period in 2022. The decrease of $7.0 million in G&amp;A expenses was mainly the result of lower share-based compensation in the 2023 period as the cost of the LTIP options with specific market capitalization vesting conditions was fully amortized in 2022 in addition to the decrease in the amortization cost of STIP sign-up options granted in 2021 and a decrease in communication and investor relations costs incurred during the first quarter of 2023. This decrease was partially offset by higher G&amp;A expenses in the first quarter of 2023, reflecting an increase in personnel, legal, and other expenses.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During 2023, we earned interest of $1.3 million, as compared to $1.1 million in 2022, mainly from the investment of our cash on hand.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Warrants Liability</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change in fair value of warrants liability primarily consists of the change in the fair value of the 9,500,000 Private Warrants. The credit recorded in both years reflects the decrease in the market price of our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Our primary sources of financing have come from private placements and public offerings of Common Shares and warrants, and the issuance of convertible debentures. As of December 31, 2023, we had cash on hand of $6.8 million.</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6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pacing w:after="0" w:line="171"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Allseas and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6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ectPr>
          <w:pgSz w:w="12240" w:h="15840" w:orient="portrait"/>
          <w:cols w:equalWidth="0" w:num="1">
            <w:col w:w="9600"/>
          </w:cols>
          <w:pgMar w:left="1320" w:top="1328" w:right="132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47pt"/>
            </w:pict>
          </mc:Fallback>
        </mc:AlternateContent>
      </w:r>
    </w:p>
    <w:p>
      <w:pPr>
        <w:sectPr>
          <w:pgSz w:w="12240" w:h="15840" w:orient="portrait"/>
          <w:cols w:equalWidth="0" w:num="1">
            <w:col w:w="9600"/>
          </w:cols>
          <w:pgMar w:left="1320" w:top="1328" w:right="1320" w:bottom="1440" w:gutter="0" w:footer="0" w:header="0"/>
          <w:type w:val="continuous"/>
        </w:sectPr>
      </w:pPr>
    </w:p>
    <w:bookmarkStart w:id="120" w:name="page121"/>
    <w:bookmarkEnd w:id="120"/>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We continue to expect that we will require approximately $35 to $45 million of cash in addition to the $6.8 million cash on hand as of December 31, 2023 and the committed funding from an affiliated investor of $9 million which was received on January 31, 2024 as part of our previously announced Registered Direct Offering, assuming no exercise of the Class A warrants issued in the offering (but not including potential drawdown on our credit facility with Allseas or our credit facility with ERAS Capital LLC and Gerard Barron) to submit a high-quality application for an exploitation contract for NORI Area D following the July 2024 meeting of the ISA. This estimate includes, among other things, the expected costs of:</w:t>
      </w:r>
    </w:p>
    <w:p>
      <w:pPr>
        <w:spacing w:after="0" w:line="166" w:lineRule="exact"/>
        <w:rPr>
          <w:sz w:val="20"/>
          <w:szCs w:val="20"/>
          <w:color w:val="auto"/>
        </w:rPr>
      </w:pPr>
    </w:p>
    <w:p>
      <w:pPr>
        <w:ind w:left="640" w:hanging="309"/>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auto"/>
        </w:rPr>
        <w:t>the environmental and social impact assessment (ESIA), including the post-collection test monitoring campaign described above;</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auto"/>
        </w:rPr>
        <w:t>pre-feasibility studies;</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auto"/>
        </w:rPr>
        <w:t>regulatory and legal; and</w:t>
      </w:r>
    </w:p>
    <w:p>
      <w:pPr>
        <w:spacing w:after="0" w:line="11" w:lineRule="exact"/>
        <w:rPr>
          <w:rFonts w:ascii="Arial" w:cs="Arial" w:eastAsia="Arial" w:hAnsi="Arial"/>
          <w:sz w:val="17"/>
          <w:szCs w:val="17"/>
          <w:color w:val="auto"/>
        </w:rPr>
      </w:pPr>
    </w:p>
    <w:p>
      <w:pPr>
        <w:ind w:left="640" w:hanging="309"/>
        <w:spacing w:after="0"/>
        <w:tabs>
          <w:tab w:leader="none" w:pos="640" w:val="left"/>
        </w:tabs>
        <w:numPr>
          <w:ilvl w:val="0"/>
          <w:numId w:val="49"/>
        </w:numPr>
        <w:rPr>
          <w:rFonts w:ascii="Arial" w:cs="Arial" w:eastAsia="Arial" w:hAnsi="Arial"/>
          <w:sz w:val="17"/>
          <w:szCs w:val="17"/>
          <w:color w:val="auto"/>
        </w:rPr>
      </w:pPr>
      <w:r>
        <w:rPr>
          <w:rFonts w:ascii="Times New Roman" w:cs="Times New Roman" w:eastAsia="Times New Roman" w:hAnsi="Times New Roman"/>
          <w:sz w:val="17"/>
          <w:szCs w:val="17"/>
          <w:color w:val="auto"/>
        </w:rPr>
        <w:t>payroll and other general corporate matters.</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This estimate is exclusive of costs expected to be spent subsequent to the submission of the application for an exploitation contract, on more detailed feasibility estimates and to progress the Project Zero Offshore Nodule Collection System development as described above. We expect to refine our expected cash needs to prepare for potential commercialization following the time we submit our application to the ISA for an exploitation contract and after we finalize our planned definitive agreement with Allseas discussed above.</w:t>
      </w:r>
    </w:p>
    <w:p>
      <w:pPr>
        <w:spacing w:after="0" w:line="161"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6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As of the date of this Annual Report, no sales of Common Shares have been made under this offering.</w:t>
      </w:r>
    </w:p>
    <w:p>
      <w:pPr>
        <w:spacing w:after="0" w:line="166"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color w:val="auto"/>
        </w:rPr>
        <w:t>On March 22, 2023, we entered into a Credit Facility with Argentum Credit Virtuti GCV, the parent of Allseas Investments S.A. and an affiliate of Allseas, which was amended on July 31, 2023 and March 22, 2024,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August 31, 2025. The Credit Facility also contains customary events of default. As of the date of this Annual Report, no amounts have been drawn under this Credit Facility.</w:t>
      </w:r>
    </w:p>
    <w:p>
      <w:pPr>
        <w:spacing w:after="0" w:line="380"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On August 14, 2023, we entered into a securities purchase agreement for a Registered Direct Offering of our Common Shares and Class A Warrants. The purchase price for each Common Share and Class A Warrant to purchase 0.5 Common Shares was $2.00 per unit. The exercise price to purchase one Common Share under the Class A Warrants is $3.00, subject to adjustment as provided in the warrant agreement. No investor elected to exercise its right to purchase additional Common Shares and accompanying Class A Warrants on or before September 15, 2023 under the terms of the securities purchase agreement. As of December 31, 2023, we had received gross proceeds of $15.9 million (approximately $14.6 million net of transaction fees) in the Registered Direct Offering. We received the remaining $9 million of gross proceeds on January 31, 2024, from an investor affiliated with us.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7" w:right="1320" w:bottom="1440" w:gutter="0" w:footer="0" w:header="0"/>
        </w:sectPr>
      </w:pPr>
    </w:p>
    <w:bookmarkStart w:id="121" w:name="page122"/>
    <w:bookmarkEnd w:id="121"/>
    <w:p>
      <w:pPr>
        <w:jc w:val="both"/>
        <w:ind w:right="20" w:firstLine="311"/>
        <w:spacing w:after="0" w:line="259"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w:t>
      </w:r>
    </w:p>
    <w:p>
      <w:pPr>
        <w:spacing w:after="0" w:line="168" w:lineRule="exact"/>
        <w:rPr>
          <w:sz w:val="20"/>
          <w:szCs w:val="20"/>
          <w:color w:val="auto"/>
        </w:rPr>
      </w:pPr>
    </w:p>
    <w:p>
      <w:pPr>
        <w:jc w:val="both"/>
        <w:ind w:right="20" w:firstLine="312"/>
        <w:spacing w:after="0" w:line="259" w:lineRule="auto"/>
        <w:rPr>
          <w:sz w:val="20"/>
          <w:szCs w:val="20"/>
          <w:color w:val="auto"/>
        </w:rPr>
      </w:pPr>
      <w:r>
        <w:rPr>
          <w:rFonts w:ascii="Times New Roman" w:cs="Times New Roman" w:eastAsia="Times New Roman" w:hAnsi="Times New Roman"/>
          <w:sz w:val="17"/>
          <w:szCs w:val="17"/>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is $3.00 (subject to customary adjustments) and there can be no assurance that such warrants will be exercised prior to their expiration, and as such, such warrants may expire and we will not receive any proceeds from the excise thereof.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Periods Ended December 31, 2023 and December 31, 2022</w:t>
      </w:r>
    </w:p>
    <w:p>
      <w:pPr>
        <w:spacing w:after="0" w:line="216"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The following table summarizes our sources and uses of cash for the three and twelve months ended December 31, 2023 and December 31, 2022.</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Presented below is a summary of our operating, investing and financing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20" w:type="dxa"/>
            <w:vAlign w:val="bottom"/>
            <w:gridSpan w:val="6"/>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5"/>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0" w:type="dxa"/>
            <w:vAlign w:val="bottom"/>
          </w:tcPr>
          <w:p>
            <w:pPr>
              <w:spacing w:after="0"/>
              <w:rPr>
                <w:sz w:val="1"/>
                <w:szCs w:val="1"/>
                <w:color w:val="auto"/>
              </w:rPr>
            </w:pPr>
          </w:p>
        </w:tc>
      </w:tr>
      <w:tr>
        <w:trPr>
          <w:trHeight w:val="234"/>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5"/>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135"/>
        </w:trPr>
        <w:tc>
          <w:tcPr>
            <w:tcW w:w="4360" w:type="dxa"/>
            <w:vAlign w:val="bottom"/>
            <w:tcBorders>
              <w:bottom w:val="single" w:sz="8" w:color="CBEBF4"/>
            </w:tcBorders>
            <w:vMerge w:val="continue"/>
          </w:tcPr>
          <w:p>
            <w:pPr>
              <w:spacing w:after="0"/>
              <w:rPr>
                <w:sz w:val="11"/>
                <w:szCs w:val="11"/>
                <w:color w:val="auto"/>
              </w:rPr>
            </w:pPr>
          </w:p>
        </w:tc>
        <w:tc>
          <w:tcPr>
            <w:tcW w:w="880" w:type="dxa"/>
            <w:vAlign w:val="bottom"/>
            <w:tcBorders>
              <w:bottom w:val="single" w:sz="8" w:color="CBEBF4"/>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96"/>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BEBF4"/>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97"/>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CBEBF4"/>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6"/>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BEBF4"/>
            </w:tcBorders>
          </w:tcPr>
          <w:p>
            <w:pPr>
              <w:spacing w:after="0"/>
              <w:rPr>
                <w:sz w:val="11"/>
                <w:szCs w:val="11"/>
                <w:color w:val="auto"/>
              </w:rPr>
            </w:pPr>
          </w:p>
        </w:tc>
        <w:tc>
          <w:tcPr>
            <w:tcW w:w="20" w:type="dxa"/>
            <w:vAlign w:val="bottom"/>
            <w:tcBorders>
              <w:top w:val="single" w:sz="8" w:color="auto"/>
              <w:bottom w:val="single" w:sz="8" w:color="CBEBF4"/>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57"/>
              <w:spacing w:after="0" w:line="135"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43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880" w:type="dxa"/>
            <w:vAlign w:val="bottom"/>
            <w:shd w:val="clear" w:color="auto" w:fill="CBEBF4"/>
          </w:tcPr>
          <w:p>
            <w:pPr>
              <w:spacing w:after="0"/>
              <w:rPr>
                <w:sz w:val="17"/>
                <w:szCs w:val="17"/>
                <w:color w:val="auto"/>
              </w:rPr>
            </w:pPr>
          </w:p>
        </w:tc>
        <w:tc>
          <w:tcPr>
            <w:tcW w:w="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(15,214)</w:t>
            </w:r>
          </w:p>
        </w:tc>
        <w:tc>
          <w:tcPr>
            <w:tcW w:w="200" w:type="dxa"/>
            <w:vAlign w:val="bottom"/>
            <w:shd w:val="clear" w:color="auto" w:fill="CBEBF4"/>
          </w:tcPr>
          <w:p>
            <w:pPr>
              <w:spacing w:after="0"/>
              <w:rPr>
                <w:sz w:val="17"/>
                <w:szCs w:val="17"/>
                <w:color w:val="auto"/>
              </w:rPr>
            </w:pPr>
          </w:p>
        </w:tc>
        <w:tc>
          <w:tcPr>
            <w:tcW w:w="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(19,843)</w:t>
            </w:r>
          </w:p>
        </w:tc>
        <w:tc>
          <w:tcPr>
            <w:tcW w:w="20" w:type="dxa"/>
            <w:vAlign w:val="bottom"/>
            <w:shd w:val="clear" w:color="auto" w:fill="CBEBF4"/>
          </w:tcPr>
          <w:p>
            <w:pPr>
              <w:spacing w:after="0"/>
              <w:rPr>
                <w:sz w:val="17"/>
                <w:szCs w:val="17"/>
                <w:color w:val="auto"/>
              </w:rPr>
            </w:pPr>
          </w:p>
        </w:tc>
        <w:tc>
          <w:tcPr>
            <w:tcW w:w="160" w:type="dxa"/>
            <w:vAlign w:val="bottom"/>
            <w:shd w:val="clear" w:color="auto" w:fill="CBEBF4"/>
          </w:tcPr>
          <w:p>
            <w:pPr>
              <w:spacing w:after="0"/>
              <w:rPr>
                <w:sz w:val="17"/>
                <w:szCs w:val="17"/>
                <w:color w:val="auto"/>
              </w:rPr>
            </w:pPr>
          </w:p>
        </w:tc>
        <w:tc>
          <w:tcPr>
            <w:tcW w:w="180" w:type="dxa"/>
            <w:vAlign w:val="bottom"/>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(59,573)</w:t>
            </w:r>
          </w:p>
        </w:tc>
        <w:tc>
          <w:tcPr>
            <w:tcW w:w="200" w:type="dxa"/>
            <w:vAlign w:val="bottom"/>
            <w:gridSpan w:val="2"/>
            <w:shd w:val="clear" w:color="auto" w:fill="CBEBF4"/>
          </w:tcPr>
          <w:p>
            <w:pPr>
              <w:spacing w:after="0"/>
              <w:rPr>
                <w:sz w:val="17"/>
                <w:szCs w:val="17"/>
                <w:color w:val="auto"/>
              </w:rPr>
            </w:pPr>
          </w:p>
        </w:tc>
        <w:tc>
          <w:tcPr>
            <w:tcW w:w="180" w:type="dxa"/>
            <w:vAlign w:val="bottom"/>
            <w:shd w:val="clear" w:color="auto" w:fill="CBEBF4"/>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(66,603)</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0" w:type="dxa"/>
            <w:vAlign w:val="bottom"/>
          </w:tcPr>
          <w:p>
            <w:pPr>
              <w:spacing w:after="0"/>
              <w:rPr>
                <w:sz w:val="18"/>
                <w:szCs w:val="18"/>
                <w:color w:val="auto"/>
              </w:rPr>
            </w:pPr>
          </w:p>
        </w:tc>
        <w:tc>
          <w:tcPr>
            <w:tcW w:w="3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380" w:type="dxa"/>
            <w:vAlign w:val="bottom"/>
            <w:gridSpan w:val="3"/>
          </w:tcPr>
          <w:p>
            <w:pPr>
              <w:jc w:val="right"/>
              <w:ind w:right="66"/>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0" w:type="dxa"/>
            <w:vAlign w:val="bottom"/>
          </w:tcPr>
          <w:p>
            <w:pPr>
              <w:spacing w:after="0"/>
              <w:rPr>
                <w:sz w:val="1"/>
                <w:szCs w:val="1"/>
                <w:color w:val="auto"/>
              </w:rPr>
            </w:pPr>
          </w:p>
        </w:tc>
      </w:tr>
      <w:tr>
        <w:trPr>
          <w:trHeight w:val="227"/>
        </w:trPr>
        <w:tc>
          <w:tcPr>
            <w:tcW w:w="43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00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32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0" w:type="dxa"/>
            <w:vAlign w:val="bottom"/>
            <w:shd w:val="clear" w:color="auto" w:fill="CBEBF4"/>
          </w:tcPr>
          <w:p>
            <w:pPr>
              <w:spacing w:after="0"/>
              <w:rPr>
                <w:sz w:val="19"/>
                <w:szCs w:val="19"/>
                <w:color w:val="auto"/>
              </w:rPr>
            </w:pPr>
          </w:p>
        </w:tc>
        <w:tc>
          <w:tcPr>
            <w:tcW w:w="340" w:type="dxa"/>
            <w:vAlign w:val="bottom"/>
            <w:gridSpan w:val="2"/>
            <w:shd w:val="clear" w:color="auto" w:fill="CBEBF4"/>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20,066</w:t>
            </w:r>
          </w:p>
        </w:tc>
        <w:tc>
          <w:tcPr>
            <w:tcW w:w="380" w:type="dxa"/>
            <w:vAlign w:val="bottom"/>
            <w:gridSpan w:val="3"/>
            <w:shd w:val="clear" w:color="auto" w:fill="CBEBF4"/>
          </w:tcPr>
          <w:p>
            <w:pPr>
              <w:jc w:val="right"/>
              <w:ind w:right="66"/>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29,722</w:t>
            </w:r>
          </w:p>
        </w:tc>
        <w:tc>
          <w:tcPr>
            <w:tcW w:w="0" w:type="dxa"/>
            <w:vAlign w:val="bottom"/>
          </w:tcPr>
          <w:p>
            <w:pPr>
              <w:spacing w:after="0"/>
              <w:rPr>
                <w:sz w:val="1"/>
                <w:szCs w:val="1"/>
                <w:color w:val="auto"/>
              </w:rPr>
            </w:pPr>
          </w:p>
        </w:tc>
      </w:tr>
      <w:tr>
        <w:trPr>
          <w:trHeight w:val="180"/>
        </w:trPr>
        <w:tc>
          <w:tcPr>
            <w:tcW w:w="4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Increase (decrease) in cash</w:t>
            </w:r>
          </w:p>
        </w:tc>
        <w:tc>
          <w:tcPr>
            <w:tcW w:w="8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(15,767)</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(20,105)</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(40,085)</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color w:val="auto"/>
              </w:rPr>
              <w:t>(38,050)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Full Year 2023 compared to Full Year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Operating Activities</w:t>
      </w:r>
    </w:p>
    <w:p>
      <w:pPr>
        <w:spacing w:after="0" w:line="218" w:lineRule="exact"/>
        <w:rPr>
          <w:sz w:val="20"/>
          <w:szCs w:val="20"/>
          <w:color w:val="auto"/>
        </w:rPr>
      </w:pPr>
    </w:p>
    <w:p>
      <w:pPr>
        <w:jc w:val="both"/>
        <w:ind w:right="20" w:firstLine="311"/>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2023, major operating activities over this period involved the continuation of environmental work following the NORI integrated collector test which was concluded in November 2022, as well as advanced work on engineering and pre-feasibility studies as we advance towards our application to the ISA for an exploitation contract and prepare for potential future commercial production. Net cash used in operating activities in the year ended December 31, 2023 amounted to $59.6 million, and consisted mainly of $32.2 million on various environmental work, $2.8 million spent on engineering and pre-feasibility studies, $9.3 million on personnel costs, $4.4 million on legal costs, $3.2 million for sponsorship, training, and stakeholder engagement support, $1.9 million on communication and business development and additional payments of $5.8 million for various expenses.</w:t>
      </w:r>
    </w:p>
    <w:p>
      <w:pPr>
        <w:sectPr>
          <w:pgSz w:w="12240" w:h="15840" w:orient="portrait"/>
          <w:cols w:equalWidth="0" w:num="1">
            <w:col w:w="9620"/>
          </w:cols>
          <w:pgMar w:left="1320" w:top="1327" w:right="1300" w:bottom="1440" w:gutter="0" w:footer="0" w:header="0"/>
        </w:sect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42">
                          <a:solidFill>
                            <a:srgbClr val="000000"/>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3025pt"/>
            </w:pict>
          </mc:Fallback>
        </mc:AlternateContent>
      </w:r>
    </w:p>
    <w:p>
      <w:pPr>
        <w:sectPr>
          <w:pgSz w:w="12240" w:h="15840" w:orient="portrait"/>
          <w:cols w:equalWidth="0" w:num="1">
            <w:col w:w="9620"/>
          </w:cols>
          <w:pgMar w:left="1320" w:top="1327" w:right="1300" w:bottom="1440" w:gutter="0" w:footer="0" w:header="0"/>
          <w:type w:val="continuous"/>
        </w:sectPr>
      </w:pPr>
    </w:p>
    <w:bookmarkStart w:id="122" w:name="page123"/>
    <w:bookmarkEnd w:id="122"/>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33" o:spid="_x0000_s16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35" name="Shape 6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35" o:spid="_x0000_s16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For the year ended December 31, 2022, operating activities focused mainly on the preparation and execution of the NORI integrated collector test which concluded in November 2022. Net cash used in operating activities in the year ended December 31, 2022 amounted to $66.6 million, consisting mainly of $33.2 million on various environmental work, $10.3 million for work on the PMTS, $8.1 million on personnel costs, $8.5 million on legal costs and other corporate activities, $2.0 million for communication and business development, $1.4 million for sponsorship, training, and stakeholder engagement support and additional payments of $3.1 million for various expenses.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in/provided by Investing Activities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Net cash used in investing activities in the year ended December 31, 2023 was $0.6 million, representing the purchase of equipment.</w:t>
      </w:r>
    </w:p>
    <w:p>
      <w:pPr>
        <w:spacing w:after="0" w:line="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In the comparative year ended December 31, 2022, cash used in investing activities was $1.2 million for the purchase of equipment.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provided by Financing Activities</w:t>
      </w:r>
    </w:p>
    <w:p>
      <w:pPr>
        <w:spacing w:after="0" w:line="218" w:lineRule="exact"/>
        <w:rPr>
          <w:sz w:val="20"/>
          <w:szCs w:val="20"/>
          <w:color w:val="auto"/>
        </w:rPr>
      </w:pPr>
    </w:p>
    <w:p>
      <w:pPr>
        <w:jc w:val="right"/>
        <w:spacing w:after="0" w:line="254" w:lineRule="auto"/>
        <w:rPr>
          <w:sz w:val="20"/>
          <w:szCs w:val="20"/>
          <w:color w:val="auto"/>
        </w:rPr>
      </w:pPr>
      <w:r>
        <w:rPr>
          <w:rFonts w:ascii="Times New Roman" w:cs="Times New Roman" w:eastAsia="Times New Roman" w:hAnsi="Times New Roman"/>
          <w:sz w:val="17"/>
          <w:szCs w:val="17"/>
          <w:color w:val="auto"/>
        </w:rPr>
        <w:t>Net cash provided by financing activities in the year ended December 31, 2023 was $20.1 million, compared to $29.7 million in 2022. The results for the year ended December 31, 2023 represent the net proceeds received from the Registered Direct Offering announced in August 2023 and cash received of $5 million on the closing of our investment in Low Carbon Royalties, while the year ended December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2022 results represent the net proceeds from the PIPE financing announced in August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NORI Exploration Contract</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part of the NORI Exploration Contract with the ISA, NORI submitted a periodic review report to the ISA in 2021, covering the</w:t>
      </w:r>
    </w:p>
    <w:p>
      <w:pPr>
        <w:spacing w:after="0" w:line="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2017-2021 period. The periodic review report, which included a proposed work plan and estimated budget for 2022 to 2026, has been reviewed by and agreed with the ISA, and we are implementing this five-year plan. The cost of NORI’s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Marawa Option Agreement and Services Agreement</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As part of DGE’s Marawa’s Exploration Contract, Marawa last submitted periodic review report to the ISA included a proposed work plan and estimated budget for the 2020-2024 five-year period. The five-year estimated expenditure is indicative and subject to change, Marawa will review the program regularly and Marawa will inform the ISA of any changes through its annual reports. To date, limited offshore marine resource definition activities in the Marawa Contract Area have occurred. We are collaborating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TOML Exploration Contract</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39" o:spid="_x0000_s16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Regulatory Obligations Relating to Exploration Contracts</w:t>
      </w:r>
    </w:p>
    <w:p>
      <w:pPr>
        <w:spacing w:after="0" w:line="218"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Sponsorship Agreements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71"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Allseas Agreements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1"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with expected production readiness in the first quarter of 2026.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2024.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another Samsung 10000, with the potential for an additional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ectPr>
          <w:pgSz w:w="12240" w:h="15840" w:orient="portrait"/>
          <w:cols w:equalWidth="0" w:num="1">
            <w:col w:w="9600"/>
          </w:cols>
          <w:pgMar w:left="1320" w:top="1329" w:right="132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42" o:spid="_x0000_s16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9" w:right="1320" w:bottom="1440" w:gutter="0" w:footer="0" w:header="0"/>
          <w:type w:val="continuous"/>
        </w:sectPr>
      </w:pPr>
    </w:p>
    <w:bookmarkStart w:id="124" w:name="page125"/>
    <w:bookmarkEnd w:id="124"/>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45" o:spid="_x0000_s16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Through December 31, 2023,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as described below.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65"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55"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On August 1, 2023, we entered into an Exclusive Vessel Use Agreement with Allseas pursuant to which Allseas will give us exclusive use of the vessel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Offtake Agreement</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Facility with Allseas Affiliate</w:t>
      </w:r>
    </w:p>
    <w:p>
      <w:pPr>
        <w:spacing w:after="0" w:line="218"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As described above, on March 22, 2023 we entered into the Credit Facility with Argentum Credit Virtuti GCV, an affiliate of Allseas, under which we may borrow up to $25 million pursuant to the terms and conditions of the Credit Facility, which as amended has a maturity date of August 31,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Facility with ERAS Capital LLC and Gerard Barron</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As described above, on March 22, 2024, we entered into the 2024 Credit Facility with ERAS Capital LLC and Gerard Barron under which we may borrow up to $20 million pursuant to the terms and conditions of the 2024 Credit Facility through its maturity on September 22, 2025.</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We are not party to any off-balance sheet arrangements.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2"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60"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We have the critical accounting policies and estimates which are described below.</w:t>
      </w:r>
    </w:p>
    <w:p>
      <w:pPr>
        <w:sectPr>
          <w:pgSz w:w="12240" w:h="15840" w:orient="portrait"/>
          <w:cols w:equalWidth="0" w:num="1">
            <w:col w:w="9600"/>
          </w:cols>
          <w:pgMar w:left="1320" w:top="1327" w:right="132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367030</wp:posOffset>
                </wp:positionV>
                <wp:extent cx="6109970"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9pt" to="480.55pt,28.9pt" o:allowincell="f" strokecolor="#000000" strokeweight="1.2956pt"/>
            </w:pict>
          </mc:Fallback>
        </mc:AlternateContent>
      </w:r>
    </w:p>
    <w:p>
      <w:pPr>
        <w:sectPr>
          <w:pgSz w:w="12240" w:h="15840" w:orient="portrait"/>
          <w:cols w:equalWidth="0" w:num="1">
            <w:col w:w="9600"/>
          </w:cols>
          <w:pgMar w:left="1320" w:top="1327" w:right="1320"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49" name="Shape 6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49" o:spid="_x0000_s16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50" name="Shape 6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50" o:spid="_x0000_s16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51" name="Shape 6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51" o:spid="_x0000_s16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Value of Common Share-Based Payments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55" w:lineRule="exact"/>
        <w:rPr>
          <w:sz w:val="20"/>
          <w:szCs w:val="20"/>
          <w:color w:val="auto"/>
        </w:rPr>
      </w:pPr>
    </w:p>
    <w:p>
      <w:pPr>
        <w:ind w:left="640" w:hanging="310"/>
        <w:spacing w:after="0" w:line="298" w:lineRule="auto"/>
        <w:tabs>
          <w:tab w:leader="none" w:pos="639"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Fair Value of Common Shares on the Date of the Grant — We used the price of the most recent offerings of our Common Shares to assess the value of our shares on the date of the grant of incentive stock options.</w:t>
      </w:r>
    </w:p>
    <w:p>
      <w:pPr>
        <w:spacing w:after="0" w:line="135" w:lineRule="exact"/>
        <w:rPr>
          <w:rFonts w:ascii="Arial" w:cs="Arial" w:eastAsia="Arial" w:hAnsi="Arial"/>
          <w:sz w:val="17"/>
          <w:szCs w:val="17"/>
          <w:color w:val="auto"/>
        </w:rPr>
      </w:pPr>
    </w:p>
    <w:p>
      <w:pPr>
        <w:ind w:left="640" w:hanging="309"/>
        <w:spacing w:after="0"/>
        <w:tabs>
          <w:tab w:leader="none" w:pos="64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Expected Term — We used the term of the award when calculating the expected term due to insufficient historical exercise data.</w:t>
      </w:r>
    </w:p>
    <w:p>
      <w:pPr>
        <w:spacing w:after="0" w:line="21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Expected Volatility — As our Common Shares were not actively traded, the volatility is based on a benchmark of comparable companies within the mining industry.</w:t>
      </w:r>
    </w:p>
    <w:p>
      <w:pPr>
        <w:spacing w:after="0" w:line="135" w:lineRule="exact"/>
        <w:rPr>
          <w:rFonts w:ascii="Arial" w:cs="Arial" w:eastAsia="Arial" w:hAnsi="Arial"/>
          <w:sz w:val="17"/>
          <w:szCs w:val="17"/>
          <w:color w:val="auto"/>
        </w:rPr>
      </w:pPr>
    </w:p>
    <w:p>
      <w:pPr>
        <w:ind w:left="640" w:hanging="309"/>
        <w:spacing w:after="0" w:line="298" w:lineRule="auto"/>
        <w:tabs>
          <w:tab w:leader="none" w:pos="639"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Expected Dividend Yield — The dividend rate used is zero as we have never paid any cash dividends on our Common Shares and do not anticipate doing so in the foreseeable future.</w:t>
      </w:r>
    </w:p>
    <w:p>
      <w:pPr>
        <w:spacing w:after="0" w:line="135"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50"/>
        </w:numPr>
        <w:rPr>
          <w:rFonts w:ascii="Arial" w:cs="Arial" w:eastAsia="Arial" w:hAnsi="Arial"/>
          <w:sz w:val="17"/>
          <w:szCs w:val="17"/>
          <w:color w:val="auto"/>
        </w:rPr>
      </w:pPr>
      <w:r>
        <w:rPr>
          <w:rFonts w:ascii="Times New Roman" w:cs="Times New Roman" w:eastAsia="Times New Roman" w:hAnsi="Times New Roman"/>
          <w:sz w:val="17"/>
          <w:szCs w:val="17"/>
          <w:color w:val="auto"/>
        </w:rPr>
        <w:t>Risk-Free Interest Rate — The interest rates used are based on the implied yield available on Canadian Treasury zero-coupon issues with an equivalent remaining term equal to the expected life of the award.</w:t>
      </w:r>
    </w:p>
    <w:p>
      <w:pPr>
        <w:spacing w:after="0" w:line="13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our Common Shares. Changes in these assumptions used to determine the fair value of incentive stock options, including the vesting timeline of granted stock options, could have a material impact on our loss and comprehensive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Warrants Liability</w:t>
      </w:r>
    </w:p>
    <w:p>
      <w:pPr>
        <w:spacing w:after="0" w:line="21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re-measure the fair value of the Private Warrants at the end of each reporting period. The fair value of the Private Warrants is estimated using a Black-Scholes option pricing model whereby the expected volatility is estimated by using a blended volatility calculated by assigning equal weights to both implied volatility of the Company’s Public Warrants and the historical volatility of the Company’s common share price. The expected volatility was estimated using a binomial model based on consideration of the implied volatility from the Company’s Public Warrants, adjusted to account for the call feature of the Public Warrants at prices above $18.00 during 20 trading days within any 30-trading-day period and historical volatility of the share price of our Common Shares.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Going Concern</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assess quarterly whether the Company has the ability to meets its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See Note 3 to the audited consolidated financial statements included in this Annual Report for more information about recent accounting pronouncements, the timing of their adoption, and our assessment, to the extent we have made one, of their potential impact on our financial condition and our results of operations and cash flows.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52" name="Shape 6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30">
                          <a:solidFill>
                            <a:srgbClr val="000000"/>
                          </a:solidFill>
                          <a:miter lim="800000"/>
                          <a:headEnd/>
                          <a:tailEnd/>
                        </a:ln>
                      </wps:spPr>
                      <wps:bodyPr/>
                    </wps:wsp>
                  </a:graphicData>
                </a:graphic>
              </wp:anchor>
            </w:drawing>
          </mc:Choice>
          <mc:Fallback>
            <w:pict>
              <v:line id="Shape 652" o:spid="_x0000_s16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3016pt"/>
            </w:pict>
          </mc:Fallback>
        </mc:AlternateContent>
      </w:r>
    </w:p>
    <w:p>
      <w:pPr>
        <w:sectPr>
          <w:pgSz w:w="12240" w:h="15840" w:orient="portrait"/>
          <w:cols w:equalWidth="0" w:num="1">
            <w:col w:w="9600"/>
          </w:cols>
          <w:pgMar w:left="1320" w:top="1328" w:right="1320"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53" name="Shape 6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53" o:spid="_x0000_s16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54" name="Shape 6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54" o:spid="_x0000_s16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55" name="Shape 6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55" o:spid="_x0000_s16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56" name="Shape 6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56" o:spid="_x0000_s16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Emerging Growth Company Status</w:t>
      </w:r>
    </w:p>
    <w:p>
      <w:pPr>
        <w:spacing w:after="0" w:line="222"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2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2024 fiscal year and we expect to continue to take advantage of the benefits of the extended transition period at least through the end of the 2024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 and Credit Risk</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Interest rate risk is the risk that the fair value of our future cash flows and our financial instruments will fluctuate because of changes in market interest rates.</w:t>
      </w:r>
    </w:p>
    <w:p>
      <w:pPr>
        <w:spacing w:after="0" w:line="137"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2023.</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the Great British Pound and the Euro. We primarily hold our cash in U.S. dollars and settle our foreign currency payables soon after the receipt of invoices thereby minimizing the foreign currency exposure.</w:t>
      </w:r>
    </w:p>
    <w:p>
      <w:pPr>
        <w:spacing w:after="0" w:line="160"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ectPr>
          <w:pgSz w:w="12240" w:h="15840" w:orient="portrait"/>
          <w:cols w:equalWidth="0" w:num="1">
            <w:col w:w="9600"/>
          </w:cols>
          <w:pgMar w:left="1320" w:top="1324" w:right="132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371475</wp:posOffset>
                </wp:positionV>
                <wp:extent cx="6109970" cy="0"/>
                <wp:wrapNone/>
                <wp:docPr id="657" name="Shape 6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657" o:spid="_x0000_s16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9.25pt" to="480.55pt,29.25pt" o:allowincell="f" strokecolor="#000000" strokeweight="1.9434pt"/>
            </w:pict>
          </mc:Fallback>
        </mc:AlternateContent>
      </w:r>
    </w:p>
    <w:p>
      <w:pPr>
        <w:sectPr>
          <w:pgSz w:w="12240" w:h="15840" w:orient="portrait"/>
          <w:cols w:equalWidth="0" w:num="1">
            <w:col w:w="9600"/>
          </w:cols>
          <w:pgMar w:left="1320" w:top="1324" w:right="1320"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238"/>
        </w:trPr>
        <w:tc>
          <w:tcPr>
            <w:tcW w:w="8800" w:type="dxa"/>
            <w:vAlign w:val="bottom"/>
            <w:gridSpan w:val="3"/>
          </w:tcPr>
          <w:p>
            <w:pPr>
              <w:jc w:val="center"/>
              <w:ind w:left="734"/>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820" w:type="dxa"/>
            <w:vAlign w:val="bottom"/>
          </w:tcPr>
          <w:p>
            <w:pPr>
              <w:spacing w:after="0"/>
              <w:rPr>
                <w:sz w:val="20"/>
                <w:szCs w:val="20"/>
                <w:color w:val="auto"/>
              </w:rPr>
            </w:pPr>
          </w:p>
        </w:tc>
      </w:tr>
      <w:tr>
        <w:trPr>
          <w:trHeight w:val="415"/>
        </w:trPr>
        <w:tc>
          <w:tcPr>
            <w:tcW w:w="3020" w:type="dxa"/>
            <w:vAlign w:val="bottom"/>
          </w:tcPr>
          <w:p>
            <w:pPr>
              <w:spacing w:after="0"/>
              <w:rPr>
                <w:sz w:val="24"/>
                <w:szCs w:val="24"/>
                <w:color w:val="auto"/>
              </w:rPr>
            </w:pPr>
          </w:p>
        </w:tc>
        <w:tc>
          <w:tcPr>
            <w:tcW w:w="5780" w:type="dxa"/>
            <w:vAlign w:val="bottom"/>
            <w:gridSpan w:val="2"/>
          </w:tcPr>
          <w:p>
            <w:pPr>
              <w:jc w:val="center"/>
              <w:ind w:right="222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tc>
        <w:tc>
          <w:tcPr>
            <w:tcW w:w="820" w:type="dxa"/>
            <w:vAlign w:val="bottom"/>
          </w:tcPr>
          <w:p>
            <w:pPr>
              <w:spacing w:after="0"/>
              <w:rPr>
                <w:sz w:val="24"/>
                <w:szCs w:val="24"/>
                <w:color w:val="auto"/>
              </w:rPr>
            </w:pPr>
          </w:p>
        </w:tc>
      </w:tr>
      <w:tr>
        <w:trPr>
          <w:trHeight w:val="399"/>
        </w:trPr>
        <w:tc>
          <w:tcPr>
            <w:tcW w:w="30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Page</w:t>
            </w:r>
          </w:p>
        </w:tc>
      </w:tr>
      <w:tr>
        <w:trPr>
          <w:trHeight w:val="231"/>
        </w:trPr>
        <w:tc>
          <w:tcPr>
            <w:tcW w:w="8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Index to Financial Statements and Financial Statement Schedules</w:t>
            </w:r>
          </w:p>
        </w:tc>
        <w:tc>
          <w:tcPr>
            <w:tcW w:w="220" w:type="dxa"/>
            <w:vAlign w:val="bottom"/>
          </w:tcPr>
          <w:p>
            <w:pPr>
              <w:spacing w:after="0"/>
              <w:rPr>
                <w:sz w:val="20"/>
                <w:szCs w:val="20"/>
                <w:color w:val="auto"/>
              </w:rPr>
            </w:pPr>
          </w:p>
        </w:tc>
        <w:tc>
          <w:tcPr>
            <w:tcW w:w="8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Number</w:t>
            </w:r>
          </w:p>
        </w:tc>
      </w:tr>
      <w:tr>
        <w:trPr>
          <w:trHeight w:val="408"/>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820" w:type="dxa"/>
            <w:vAlign w:val="bottom"/>
          </w:tcPr>
          <w:p>
            <w:pPr>
              <w:spacing w:after="0"/>
              <w:rPr>
                <w:sz w:val="24"/>
                <w:szCs w:val="24"/>
                <w:color w:val="auto"/>
              </w:rPr>
            </w:pPr>
          </w:p>
        </w:tc>
      </w:tr>
      <w:tr>
        <w:trPr>
          <w:trHeight w:val="390"/>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u w:val="single" w:color="auto"/>
                <w:color w:val="auto"/>
              </w:rPr>
              <w:t>Report of Independent Registered Public Accounting Firm</w:t>
            </w:r>
            <w:r>
              <w:rPr>
                <w:rFonts w:ascii="Times New Roman" w:cs="Times New Roman" w:eastAsia="Times New Roman" w:hAnsi="Times New Roman"/>
                <w:sz w:val="17"/>
                <w:szCs w:val="17"/>
                <w:color w:val="auto"/>
              </w:rPr>
              <w:t xml:space="preserve"> (PCAOB ID: 1263)</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u w:val="single" w:color="auto"/>
                <w:color w:val="auto"/>
              </w:rPr>
              <w:t>Consolidated Balance Sheets as at December 31, 2023 and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u w:val="single" w:color="auto"/>
                <w:color w:val="auto"/>
              </w:rPr>
              <w:t>Consolidated Statements of Loss and Comprehensive Loss for the Years Ended December 31, 2023 and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u w:val="single" w:color="auto"/>
                <w:color w:val="auto"/>
              </w:rPr>
              <w:t>Consolidated Statements of Changes in Equity for the Years Ended December 31, 2023 and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07"/>
        </w:trPr>
        <w:tc>
          <w:tcPr>
            <w:tcW w:w="8800" w:type="dxa"/>
            <w:vAlign w:val="bottom"/>
            <w:gridSpan w:val="3"/>
          </w:tcPr>
          <w:p>
            <w:pPr>
              <w:spacing w:after="0"/>
              <w:rPr>
                <w:sz w:val="20"/>
                <w:szCs w:val="20"/>
                <w:color w:val="auto"/>
              </w:rPr>
            </w:pPr>
            <w:r>
              <w:rPr>
                <w:rFonts w:ascii="Times New Roman" w:cs="Times New Roman" w:eastAsia="Times New Roman" w:hAnsi="Times New Roman"/>
                <w:sz w:val="17"/>
                <w:szCs w:val="17"/>
                <w:u w:val="single" w:color="auto"/>
                <w:color w:val="auto"/>
              </w:rPr>
              <w:t>Consolidated Statements of Cash Flows for the Years Ended December 31, 2023 and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193"/>
        </w:trPr>
        <w:tc>
          <w:tcPr>
            <w:tcW w:w="3020" w:type="dxa"/>
            <w:vAlign w:val="bottom"/>
            <w:tcBorders>
              <w:bottom w:val="single" w:sz="8" w:color="auto"/>
            </w:tcBorders>
          </w:tcPr>
          <w:p>
            <w:pPr>
              <w:spacing w:after="0" w:line="193"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5780" w:type="dxa"/>
            <w:vAlign w:val="bottom"/>
            <w:gridSpan w:val="2"/>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128</w:t>
            </w:r>
          </w:p>
        </w:tc>
      </w:tr>
    </w:tbl>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58" name="Shape 6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58" o:spid="_x0000_s16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59" name="Shape 6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59" o:spid="_x0000_s16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60" name="Shape 6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60" o:spid="_x0000_s16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61" name="Shape 6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1" o:spid="_x0000_s16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62" name="Shape 6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62" o:spid="_x0000_s16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28" w:name="page129"/>
    <w:bookmarkEnd w:id="128"/>
    <w:p>
      <w:pPr>
        <w:ind w:left="184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63" name="Shape 6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63" o:spid="_x0000_s16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64" name="Shape 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4" o:spid="_x0000_s16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65" name="Shape 6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65" o:spid="_x0000_s16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66" name="Shape 6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6" o:spid="_x0000_s16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REPORT OF INDEPENDENT REGISTERED PUBLIC ACCOUNTING FIRM</w:t>
      </w:r>
    </w:p>
    <w:p>
      <w:pPr>
        <w:spacing w:after="0" w:line="21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b w:val="1"/>
          <w:bCs w:val="1"/>
          <w:color w:val="auto"/>
        </w:rPr>
        <w:t>To the Shareholders and the Board of Directors of TMC the metals company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TMC the metals company Inc. (the “Company”) as of December 31, 2023 and 2022, the related consolidated statements of loss and comprehensive loss, changes in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two years then in the period ended December 31, 2023, in conformity with U.S. generally accepted accounting principles.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ind w:firstLine="1"/>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Canada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25, 2024</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67" name="Shape 6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67" o:spid="_x0000_s16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00"/>
          </w:cols>
          <w:pgMar w:left="1320" w:top="1324" w:right="1320" w:bottom="1440" w:gutter="0" w:footer="0" w:header="0"/>
        </w:sectPr>
      </w:pPr>
    </w:p>
    <w:bookmarkStart w:id="129" w:name="page130"/>
    <w:bookmarkEnd w:id="129"/>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68" name="Shape 6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68" o:spid="_x0000_s16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69" name="Shape 6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69" o:spid="_x0000_s16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70" name="Shape 6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70" o:spid="_x0000_s16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71" name="Shape 6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71" o:spid="_x0000_s16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3"/>
        </w:trPr>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right"/>
              <w:ind w:right="16"/>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16"/>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5540" w:type="dxa"/>
            <w:vAlign w:val="bottom"/>
            <w:gridSpan w:val="3"/>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22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auto"/>
            </w:tcBorders>
            <w:shd w:val="clear" w:color="auto" w:fill="CBEBF4"/>
          </w:tcPr>
          <w:p>
            <w:pPr>
              <w:spacing w:after="0"/>
              <w:rPr>
                <w:sz w:val="17"/>
                <w:szCs w:val="17"/>
                <w:color w:val="auto"/>
              </w:rPr>
            </w:pPr>
          </w:p>
        </w:tc>
        <w:tc>
          <w:tcPr>
            <w:tcW w:w="220" w:type="dxa"/>
            <w:vAlign w:val="bottom"/>
            <w:tcBorders>
              <w:top w:val="single" w:sz="8" w:color="CBEBF4"/>
            </w:tcBorders>
            <w:shd w:val="clear" w:color="auto" w:fill="CBEBF4"/>
          </w:tcPr>
          <w:p>
            <w:pPr>
              <w:spacing w:after="0"/>
              <w:rPr>
                <w:sz w:val="17"/>
                <w:szCs w:val="17"/>
                <w:color w:val="auto"/>
              </w:rPr>
            </w:pPr>
          </w:p>
        </w:tc>
        <w:tc>
          <w:tcPr>
            <w:tcW w:w="280" w:type="dxa"/>
            <w:vAlign w:val="bottom"/>
            <w:tcBorders>
              <w:top w:val="single" w:sz="8" w:color="auto"/>
            </w:tcBorders>
            <w:shd w:val="clear" w:color="auto" w:fill="CBEBF4"/>
          </w:tcPr>
          <w:p>
            <w:pPr>
              <w:spacing w:after="0"/>
              <w:rPr>
                <w:sz w:val="17"/>
                <w:szCs w:val="17"/>
                <w:color w:val="auto"/>
              </w:rPr>
            </w:pPr>
          </w:p>
        </w:tc>
        <w:tc>
          <w:tcPr>
            <w:tcW w:w="1120" w:type="dxa"/>
            <w:vAlign w:val="bottom"/>
            <w:tcBorders>
              <w:top w:val="single" w:sz="8" w:color="auto"/>
            </w:tcBorders>
            <w:shd w:val="clear" w:color="auto" w:fill="CBEBF4"/>
          </w:tcPr>
          <w:p>
            <w:pPr>
              <w:spacing w:after="0"/>
              <w:rPr>
                <w:sz w:val="17"/>
                <w:szCs w:val="17"/>
                <w:color w:val="auto"/>
              </w:rPr>
            </w:pPr>
          </w:p>
        </w:tc>
        <w:tc>
          <w:tcPr>
            <w:tcW w:w="200" w:type="dxa"/>
            <w:vAlign w:val="bottom"/>
            <w:tcBorders>
              <w:top w:val="single" w:sz="8" w:color="CBEBF4"/>
            </w:tcBorders>
            <w:shd w:val="clear" w:color="auto" w:fill="CBEBF4"/>
          </w:tcPr>
          <w:p>
            <w:pPr>
              <w:spacing w:after="0"/>
              <w:rPr>
                <w:sz w:val="17"/>
                <w:szCs w:val="17"/>
                <w:color w:val="auto"/>
              </w:rPr>
            </w:pPr>
          </w:p>
        </w:tc>
        <w:tc>
          <w:tcPr>
            <w:tcW w:w="300" w:type="dxa"/>
            <w:vAlign w:val="bottom"/>
            <w:tcBorders>
              <w:top w:val="single" w:sz="8" w:color="auto"/>
            </w:tcBorders>
            <w:shd w:val="clear" w:color="auto" w:fill="CBEBF4"/>
          </w:tcPr>
          <w:p>
            <w:pPr>
              <w:spacing w:after="0"/>
              <w:rPr>
                <w:sz w:val="17"/>
                <w:szCs w:val="17"/>
                <w:color w:val="auto"/>
              </w:rPr>
            </w:pPr>
          </w:p>
        </w:tc>
        <w:tc>
          <w:tcPr>
            <w:tcW w:w="112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5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6,842</w:t>
            </w:r>
          </w:p>
        </w:tc>
        <w:tc>
          <w:tcPr>
            <w:tcW w:w="200" w:type="dxa"/>
            <w:vAlign w:val="bottom"/>
          </w:tcPr>
          <w:p>
            <w:pPr>
              <w:spacing w:after="0"/>
              <w:rPr>
                <w:sz w:val="18"/>
                <w:szCs w:val="18"/>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BEBF4"/>
            </w:tcBorders>
            <w:gridSpan w:val="2"/>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Receivables and prepayments</w:t>
            </w:r>
          </w:p>
        </w:tc>
        <w:tc>
          <w:tcPr>
            <w:tcW w:w="840" w:type="dxa"/>
            <w:vAlign w:val="bottom"/>
            <w:tcBorders>
              <w:bottom w:val="single" w:sz="8" w:color="CBEBF4"/>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2,6</w:t>
            </w:r>
          </w:p>
        </w:tc>
        <w:tc>
          <w:tcPr>
            <w:tcW w:w="220" w:type="dxa"/>
            <w:vAlign w:val="bottom"/>
            <w:tcBorders>
              <w:bottom w:val="single" w:sz="8" w:color="CBEBF4"/>
            </w:tcBorders>
            <w:shd w:val="clear" w:color="auto" w:fill="CBEBF4"/>
          </w:tcPr>
          <w:p>
            <w:pPr>
              <w:spacing w:after="0"/>
              <w:rPr>
                <w:sz w:val="18"/>
                <w:szCs w:val="18"/>
                <w:color w:val="auto"/>
              </w:rPr>
            </w:pPr>
          </w:p>
        </w:tc>
        <w:tc>
          <w:tcPr>
            <w:tcW w:w="28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1,978</w:t>
            </w:r>
          </w:p>
        </w:tc>
        <w:tc>
          <w:tcPr>
            <w:tcW w:w="200" w:type="dxa"/>
            <w:vAlign w:val="bottom"/>
            <w:tcBorders>
              <w:bottom w:val="single" w:sz="8" w:color="CBEBF4"/>
            </w:tcBorders>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2,726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8,820</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1120" w:type="dxa"/>
            <w:vAlign w:val="bottom"/>
            <w:shd w:val="clear" w:color="auto" w:fill="CBEBF4"/>
          </w:tcPr>
          <w:p>
            <w:pPr>
              <w:spacing w:after="0"/>
              <w:rPr>
                <w:sz w:val="18"/>
                <w:szCs w:val="18"/>
                <w:color w:val="auto"/>
              </w:rPr>
            </w:pPr>
          </w:p>
        </w:tc>
        <w:tc>
          <w:tcPr>
            <w:tcW w:w="20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1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Exploration contracts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Equipment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2,776</w:t>
            </w:r>
          </w:p>
        </w:tc>
        <w:tc>
          <w:tcPr>
            <w:tcW w:w="20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Right-of-use asset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BEBF4"/>
            </w:tcBorders>
            <w:gridSpan w:val="2"/>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Investment</w:t>
            </w:r>
          </w:p>
        </w:tc>
        <w:tc>
          <w:tcPr>
            <w:tcW w:w="840" w:type="dxa"/>
            <w:vAlign w:val="bottom"/>
            <w:tcBorders>
              <w:bottom w:val="single" w:sz="8" w:color="CBEBF4"/>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Borders>
              <w:bottom w:val="single" w:sz="8" w:color="CBEBF4"/>
            </w:tcBorders>
            <w:shd w:val="clear" w:color="auto" w:fill="CBEBF4"/>
          </w:tcPr>
          <w:p>
            <w:pPr>
              <w:spacing w:after="0"/>
              <w:rPr>
                <w:sz w:val="18"/>
                <w:szCs w:val="18"/>
                <w:color w:val="auto"/>
              </w:rPr>
            </w:pPr>
          </w:p>
        </w:tc>
        <w:tc>
          <w:tcPr>
            <w:tcW w:w="28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200" w:type="dxa"/>
            <w:vAlign w:val="bottom"/>
            <w:tcBorders>
              <w:bottom w:val="single" w:sz="8" w:color="CBEBF4"/>
            </w:tcBorders>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60,076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0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spacing w:after="0"/>
              <w:rPr>
                <w:sz w:val="18"/>
                <w:szCs w:val="18"/>
                <w:color w:val="auto"/>
              </w:rPr>
            </w:pPr>
          </w:p>
        </w:tc>
        <w:tc>
          <w:tcPr>
            <w:tcW w:w="200" w:type="dxa"/>
            <w:vAlign w:val="bottom"/>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40" w:type="dxa"/>
            <w:vAlign w:val="bottom"/>
            <w:tcBorders>
              <w:bottom w:val="single" w:sz="8" w:color="CBEBF4"/>
            </w:tcBorders>
          </w:tcPr>
          <w:p>
            <w:pPr>
              <w:spacing w:after="0"/>
              <w:rPr>
                <w:sz w:val="17"/>
                <w:szCs w:val="17"/>
                <w:color w:val="auto"/>
              </w:rPr>
            </w:pPr>
          </w:p>
        </w:tc>
        <w:tc>
          <w:tcPr>
            <w:tcW w:w="220" w:type="dxa"/>
            <w:vAlign w:val="bottom"/>
            <w:tcBorders>
              <w:bottom w:val="single" w:sz="8" w:color="CBEBF4"/>
            </w:tcBorders>
          </w:tcPr>
          <w:p>
            <w:pPr>
              <w:spacing w:after="0"/>
              <w:rPr>
                <w:sz w:val="17"/>
                <w:szCs w:val="17"/>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68,896</w:t>
            </w:r>
          </w:p>
        </w:tc>
        <w:tc>
          <w:tcPr>
            <w:tcW w:w="200" w:type="dxa"/>
            <w:vAlign w:val="bottom"/>
            <w:tcBorders>
              <w:bottom w:val="single" w:sz="8" w:color="CBEBF4"/>
            </w:tcBorders>
          </w:tcPr>
          <w:p>
            <w:pPr>
              <w:spacing w:after="0"/>
              <w:rPr>
                <w:sz w:val="17"/>
                <w:szCs w:val="17"/>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94,777</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0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8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280" w:type="dxa"/>
            <w:vAlign w:val="bottom"/>
            <w:shd w:val="clear" w:color="auto" w:fill="CBEBF4"/>
          </w:tcPr>
          <w:p>
            <w:pPr>
              <w:spacing w:after="0"/>
              <w:rPr>
                <w:sz w:val="17"/>
                <w:szCs w:val="17"/>
                <w:color w:val="auto"/>
              </w:rPr>
            </w:pPr>
          </w:p>
        </w:tc>
        <w:tc>
          <w:tcPr>
            <w:tcW w:w="1120" w:type="dxa"/>
            <w:vAlign w:val="bottom"/>
            <w:shd w:val="clear" w:color="auto" w:fill="CBEBF4"/>
          </w:tcPr>
          <w:p>
            <w:pPr>
              <w:spacing w:after="0"/>
              <w:rPr>
                <w:sz w:val="17"/>
                <w:szCs w:val="17"/>
                <w:color w:val="auto"/>
              </w:rPr>
            </w:pPr>
          </w:p>
        </w:tc>
        <w:tc>
          <w:tcPr>
            <w:tcW w:w="200" w:type="dxa"/>
            <w:vAlign w:val="bottom"/>
            <w:shd w:val="clear" w:color="auto" w:fill="CBEBF4"/>
          </w:tcPr>
          <w:p>
            <w:pPr>
              <w:spacing w:after="0"/>
              <w:rPr>
                <w:sz w:val="17"/>
                <w:szCs w:val="17"/>
                <w:color w:val="auto"/>
              </w:rPr>
            </w:pPr>
          </w:p>
        </w:tc>
        <w:tc>
          <w:tcPr>
            <w:tcW w:w="300" w:type="dxa"/>
            <w:vAlign w:val="bottom"/>
            <w:shd w:val="clear" w:color="auto" w:fill="CBEBF4"/>
          </w:tcPr>
          <w:p>
            <w:pPr>
              <w:spacing w:after="0"/>
              <w:rPr>
                <w:sz w:val="17"/>
                <w:szCs w:val="17"/>
                <w:color w:val="auto"/>
              </w:rPr>
            </w:pPr>
          </w:p>
        </w:tc>
        <w:tc>
          <w:tcPr>
            <w:tcW w:w="1120" w:type="dxa"/>
            <w:vAlign w:val="bottom"/>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1120" w:type="dxa"/>
            <w:vAlign w:val="bottom"/>
            <w:shd w:val="clear" w:color="auto" w:fill="CBEBF4"/>
          </w:tcPr>
          <w:p>
            <w:pPr>
              <w:spacing w:after="0"/>
              <w:rPr>
                <w:sz w:val="18"/>
                <w:szCs w:val="18"/>
                <w:color w:val="auto"/>
              </w:rPr>
            </w:pPr>
          </w:p>
        </w:tc>
        <w:tc>
          <w:tcPr>
            <w:tcW w:w="20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12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BEBF4"/>
            </w:tcBorders>
            <w:gridSpan w:val="2"/>
          </w:tcPr>
          <w:p>
            <w:pPr>
              <w:ind w:left="1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840" w:type="dxa"/>
            <w:vAlign w:val="bottom"/>
            <w:tcBorders>
              <w:bottom w:val="single" w:sz="8" w:color="CBEBF4"/>
            </w:tcBorders>
          </w:tcPr>
          <w:p>
            <w:pPr>
              <w:spacing w:after="0"/>
              <w:rPr>
                <w:sz w:val="18"/>
                <w:szCs w:val="18"/>
                <w:color w:val="auto"/>
              </w:rPr>
            </w:pPr>
          </w:p>
        </w:tc>
        <w:tc>
          <w:tcPr>
            <w:tcW w:w="220" w:type="dxa"/>
            <w:vAlign w:val="bottom"/>
            <w:tcBorders>
              <w:bottom w:val="single" w:sz="8" w:color="CBEBF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31,334</w:t>
            </w:r>
          </w:p>
        </w:tc>
        <w:tc>
          <w:tcPr>
            <w:tcW w:w="200" w:type="dxa"/>
            <w:vAlign w:val="bottom"/>
            <w:tcBorders>
              <w:bottom w:val="single" w:sz="8" w:color="CBEBF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0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8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280" w:type="dxa"/>
            <w:vAlign w:val="bottom"/>
            <w:shd w:val="clear" w:color="auto" w:fill="CBEBF4"/>
          </w:tcPr>
          <w:p>
            <w:pPr>
              <w:spacing w:after="0"/>
              <w:rPr>
                <w:sz w:val="17"/>
                <w:szCs w:val="17"/>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31,334</w:t>
            </w:r>
          </w:p>
        </w:tc>
        <w:tc>
          <w:tcPr>
            <w:tcW w:w="200" w:type="dxa"/>
            <w:vAlign w:val="bottom"/>
            <w:shd w:val="clear" w:color="auto" w:fill="CBEBF4"/>
          </w:tcPr>
          <w:p>
            <w:pPr>
              <w:spacing w:after="0"/>
              <w:rPr>
                <w:sz w:val="17"/>
                <w:szCs w:val="17"/>
                <w:color w:val="auto"/>
              </w:rPr>
            </w:pPr>
          </w:p>
        </w:tc>
        <w:tc>
          <w:tcPr>
            <w:tcW w:w="300" w:type="dxa"/>
            <w:vAlign w:val="bottom"/>
            <w:shd w:val="clear" w:color="auto" w:fill="CBEBF4"/>
          </w:tcPr>
          <w:p>
            <w:pPr>
              <w:spacing w:after="0"/>
              <w:rPr>
                <w:sz w:val="17"/>
                <w:szCs w:val="17"/>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41,614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Deferred tax liability</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20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Royalty liability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Warrants liability</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BEBF4"/>
          </w:tcPr>
          <w:p>
            <w:pPr>
              <w:spacing w:after="0"/>
              <w:rPr>
                <w:sz w:val="18"/>
                <w:szCs w:val="18"/>
                <w:color w:val="auto"/>
              </w:rPr>
            </w:pPr>
          </w:p>
        </w:tc>
        <w:tc>
          <w:tcPr>
            <w:tcW w:w="28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1,969</w:t>
            </w:r>
          </w:p>
        </w:tc>
        <w:tc>
          <w:tcPr>
            <w:tcW w:w="200" w:type="dxa"/>
            <w:vAlign w:val="bottom"/>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40" w:type="dxa"/>
            <w:vAlign w:val="bottom"/>
            <w:tcBorders>
              <w:bottom w:val="single" w:sz="8" w:color="CBEBF4"/>
            </w:tcBorders>
          </w:tcPr>
          <w:p>
            <w:pPr>
              <w:spacing w:after="0"/>
              <w:rPr>
                <w:sz w:val="17"/>
                <w:szCs w:val="17"/>
                <w:color w:val="auto"/>
              </w:rPr>
            </w:pPr>
          </w:p>
        </w:tc>
        <w:tc>
          <w:tcPr>
            <w:tcW w:w="220" w:type="dxa"/>
            <w:vAlign w:val="bottom"/>
            <w:tcBorders>
              <w:bottom w:val="single" w:sz="8" w:color="CBEBF4"/>
            </w:tcBorders>
          </w:tcPr>
          <w:p>
            <w:pPr>
              <w:spacing w:after="0"/>
              <w:rPr>
                <w:sz w:val="17"/>
                <w:szCs w:val="17"/>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57,978</w:t>
            </w:r>
          </w:p>
        </w:tc>
        <w:tc>
          <w:tcPr>
            <w:tcW w:w="200" w:type="dxa"/>
            <w:vAlign w:val="bottom"/>
            <w:tcBorders>
              <w:bottom w:val="single" w:sz="8" w:color="CBEBF4"/>
            </w:tcBorders>
          </w:tcPr>
          <w:p>
            <w:pPr>
              <w:spacing w:after="0"/>
              <w:rPr>
                <w:sz w:val="17"/>
                <w:szCs w:val="17"/>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53,272</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0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8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280" w:type="dxa"/>
            <w:vAlign w:val="bottom"/>
            <w:shd w:val="clear" w:color="auto" w:fill="CBEBF4"/>
          </w:tcPr>
          <w:p>
            <w:pPr>
              <w:spacing w:after="0"/>
              <w:rPr>
                <w:sz w:val="17"/>
                <w:szCs w:val="17"/>
                <w:color w:val="auto"/>
              </w:rPr>
            </w:pPr>
          </w:p>
        </w:tc>
        <w:tc>
          <w:tcPr>
            <w:tcW w:w="1120" w:type="dxa"/>
            <w:vAlign w:val="bottom"/>
            <w:shd w:val="clear" w:color="auto" w:fill="CBEBF4"/>
          </w:tcPr>
          <w:p>
            <w:pPr>
              <w:spacing w:after="0"/>
              <w:rPr>
                <w:sz w:val="17"/>
                <w:szCs w:val="17"/>
                <w:color w:val="auto"/>
              </w:rPr>
            </w:pPr>
          </w:p>
        </w:tc>
        <w:tc>
          <w:tcPr>
            <w:tcW w:w="200" w:type="dxa"/>
            <w:vAlign w:val="bottom"/>
            <w:shd w:val="clear" w:color="auto" w:fill="CBEBF4"/>
          </w:tcPr>
          <w:p>
            <w:pPr>
              <w:spacing w:after="0"/>
              <w:rPr>
                <w:sz w:val="17"/>
                <w:szCs w:val="17"/>
                <w:color w:val="auto"/>
              </w:rPr>
            </w:pPr>
          </w:p>
        </w:tc>
        <w:tc>
          <w:tcPr>
            <w:tcW w:w="300" w:type="dxa"/>
            <w:vAlign w:val="bottom"/>
            <w:shd w:val="clear" w:color="auto" w:fill="CBEBF4"/>
          </w:tcPr>
          <w:p>
            <w:pPr>
              <w:spacing w:after="0"/>
              <w:rPr>
                <w:sz w:val="17"/>
                <w:szCs w:val="17"/>
                <w:color w:val="auto"/>
              </w:rPr>
            </w:pPr>
          </w:p>
        </w:tc>
        <w:tc>
          <w:tcPr>
            <w:tcW w:w="1120" w:type="dxa"/>
            <w:vAlign w:val="bottom"/>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shd w:val="clear" w:color="auto" w:fill="CBEBF4"/>
          </w:tcPr>
          <w:p>
            <w:pPr>
              <w:ind w:left="80"/>
              <w:spacing w:after="0" w:line="186" w:lineRule="exact"/>
              <w:rPr>
                <w:sz w:val="20"/>
                <w:szCs w:val="20"/>
                <w:color w:val="auto"/>
              </w:rPr>
            </w:pPr>
            <w:r>
              <w:rPr>
                <w:rFonts w:ascii="Times New Roman" w:cs="Times New Roman" w:eastAsia="Times New Roman" w:hAnsi="Times New Roman"/>
                <w:sz w:val="17"/>
                <w:szCs w:val="17"/>
                <w:color w:val="auto"/>
              </w:rPr>
              <w:t xml:space="preserve">Common shares </w:t>
            </w:r>
            <w:r>
              <w:rPr>
                <w:rFonts w:ascii="Times New Roman" w:cs="Times New Roman" w:eastAsia="Times New Roman" w:hAnsi="Times New Roman"/>
                <w:sz w:val="17"/>
                <w:szCs w:val="17"/>
                <w:i w:val="1"/>
                <w:iCs w:val="1"/>
                <w:color w:val="auto"/>
              </w:rPr>
              <w:t>(unlimited shares, no par value – issued: 306,558,710</w:t>
            </w:r>
          </w:p>
        </w:tc>
        <w:tc>
          <w:tcPr>
            <w:tcW w:w="840" w:type="dxa"/>
            <w:vAlign w:val="bottom"/>
            <w:shd w:val="clear" w:color="auto" w:fill="CBEBF4"/>
          </w:tcPr>
          <w:p>
            <w:pPr>
              <w:spacing w:after="0"/>
              <w:rPr>
                <w:sz w:val="16"/>
                <w:szCs w:val="16"/>
                <w:color w:val="auto"/>
              </w:rPr>
            </w:pPr>
          </w:p>
        </w:tc>
        <w:tc>
          <w:tcPr>
            <w:tcW w:w="220" w:type="dxa"/>
            <w:vAlign w:val="bottom"/>
            <w:shd w:val="clear" w:color="auto" w:fill="CBEBF4"/>
          </w:tcPr>
          <w:p>
            <w:pPr>
              <w:spacing w:after="0"/>
              <w:rPr>
                <w:sz w:val="16"/>
                <w:szCs w:val="16"/>
                <w:color w:val="auto"/>
              </w:rPr>
            </w:pPr>
          </w:p>
        </w:tc>
        <w:tc>
          <w:tcPr>
            <w:tcW w:w="280" w:type="dxa"/>
            <w:vAlign w:val="bottom"/>
            <w:shd w:val="clear" w:color="auto" w:fill="CBEBF4"/>
          </w:tcPr>
          <w:p>
            <w:pPr>
              <w:spacing w:after="0"/>
              <w:rPr>
                <w:sz w:val="16"/>
                <w:szCs w:val="16"/>
                <w:color w:val="auto"/>
              </w:rPr>
            </w:pPr>
          </w:p>
        </w:tc>
        <w:tc>
          <w:tcPr>
            <w:tcW w:w="11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438,239</w:t>
            </w:r>
          </w:p>
        </w:tc>
        <w:tc>
          <w:tcPr>
            <w:tcW w:w="200" w:type="dxa"/>
            <w:vAlign w:val="bottom"/>
            <w:shd w:val="clear" w:color="auto" w:fill="CBEBF4"/>
          </w:tcPr>
          <w:p>
            <w:pPr>
              <w:spacing w:after="0"/>
              <w:rPr>
                <w:sz w:val="16"/>
                <w:szCs w:val="16"/>
                <w:color w:val="auto"/>
              </w:rPr>
            </w:pPr>
          </w:p>
        </w:tc>
        <w:tc>
          <w:tcPr>
            <w:tcW w:w="300" w:type="dxa"/>
            <w:vAlign w:val="bottom"/>
            <w:shd w:val="clear" w:color="auto" w:fill="CBEBF4"/>
          </w:tcPr>
          <w:p>
            <w:pPr>
              <w:spacing w:after="0"/>
              <w:rPr>
                <w:sz w:val="16"/>
                <w:szCs w:val="16"/>
                <w:color w:val="auto"/>
              </w:rPr>
            </w:pPr>
          </w:p>
        </w:tc>
        <w:tc>
          <w:tcPr>
            <w:tcW w:w="11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332,882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gridSpan w:val="2"/>
            <w:shd w:val="clear" w:color="auto" w:fill="CBEBF4"/>
          </w:tcPr>
          <w:p>
            <w:pPr>
              <w:ind w:left="200"/>
              <w:spacing w:after="0"/>
              <w:rPr>
                <w:sz w:val="20"/>
                <w:szCs w:val="20"/>
                <w:color w:val="auto"/>
              </w:rPr>
            </w:pPr>
            <w:r>
              <w:rPr>
                <w:rFonts w:ascii="Times New Roman" w:cs="Times New Roman" w:eastAsia="Times New Roman" w:hAnsi="Times New Roman"/>
                <w:sz w:val="17"/>
                <w:szCs w:val="17"/>
                <w:i w:val="1"/>
                <w:iCs w:val="1"/>
                <w:color w:val="auto"/>
              </w:rPr>
              <w:t>(December 31, 2022 – 266,812,131))</w:t>
            </w:r>
          </w:p>
        </w:tc>
        <w:tc>
          <w:tcPr>
            <w:tcW w:w="840" w:type="dxa"/>
            <w:vAlign w:val="bottom"/>
            <w:shd w:val="clear" w:color="auto" w:fill="CBEBF4"/>
          </w:tcPr>
          <w:p>
            <w:pPr>
              <w:spacing w:after="0"/>
              <w:rPr>
                <w:sz w:val="19"/>
                <w:szCs w:val="19"/>
                <w:color w:val="auto"/>
              </w:rPr>
            </w:pPr>
          </w:p>
        </w:tc>
        <w:tc>
          <w:tcPr>
            <w:tcW w:w="220" w:type="dxa"/>
            <w:vAlign w:val="bottom"/>
            <w:shd w:val="clear" w:color="auto" w:fill="CBEBF4"/>
          </w:tcPr>
          <w:p>
            <w:pPr>
              <w:spacing w:after="0"/>
              <w:rPr>
                <w:sz w:val="19"/>
                <w:szCs w:val="19"/>
                <w:color w:val="auto"/>
              </w:rPr>
            </w:pPr>
          </w:p>
        </w:tc>
        <w:tc>
          <w:tcPr>
            <w:tcW w:w="280" w:type="dxa"/>
            <w:vAlign w:val="bottom"/>
            <w:shd w:val="clear" w:color="auto" w:fill="CBEBF4"/>
          </w:tcPr>
          <w:p>
            <w:pPr>
              <w:spacing w:after="0"/>
              <w:rPr>
                <w:sz w:val="19"/>
                <w:szCs w:val="19"/>
                <w:color w:val="auto"/>
              </w:rPr>
            </w:pPr>
          </w:p>
        </w:tc>
        <w:tc>
          <w:tcPr>
            <w:tcW w:w="1120" w:type="dxa"/>
            <w:vAlign w:val="bottom"/>
            <w:vMerge w:val="continue"/>
            <w:shd w:val="clear" w:color="auto" w:fill="CBEBF4"/>
          </w:tcPr>
          <w:p>
            <w:pPr>
              <w:spacing w:after="0"/>
              <w:rPr>
                <w:sz w:val="19"/>
                <w:szCs w:val="19"/>
                <w:color w:val="auto"/>
              </w:rPr>
            </w:pPr>
          </w:p>
        </w:tc>
        <w:tc>
          <w:tcPr>
            <w:tcW w:w="200" w:type="dxa"/>
            <w:vAlign w:val="bottom"/>
            <w:shd w:val="clear" w:color="auto" w:fill="CBEBF4"/>
          </w:tcPr>
          <w:p>
            <w:pPr>
              <w:spacing w:after="0"/>
              <w:rPr>
                <w:sz w:val="19"/>
                <w:szCs w:val="19"/>
                <w:color w:val="auto"/>
              </w:rPr>
            </w:pPr>
          </w:p>
        </w:tc>
        <w:tc>
          <w:tcPr>
            <w:tcW w:w="300" w:type="dxa"/>
            <w:vAlign w:val="bottom"/>
            <w:shd w:val="clear" w:color="auto" w:fill="CBEBF4"/>
          </w:tcPr>
          <w:p>
            <w:pPr>
              <w:spacing w:after="0"/>
              <w:rPr>
                <w:sz w:val="19"/>
                <w:szCs w:val="19"/>
                <w:color w:val="auto"/>
              </w:rPr>
            </w:pPr>
          </w:p>
        </w:tc>
        <w:tc>
          <w:tcPr>
            <w:tcW w:w="1120" w:type="dxa"/>
            <w:vAlign w:val="bottom"/>
            <w:vMerge w:val="continue"/>
            <w:shd w:val="clear" w:color="auto" w:fill="CBEBF4"/>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Special Shares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shd w:val="clear" w:color="auto" w:fill="CBEBF4"/>
          </w:tcPr>
          <w:p>
            <w:pPr>
              <w:spacing w:after="0"/>
              <w:rPr>
                <w:sz w:val="18"/>
                <w:szCs w:val="18"/>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122,797</w:t>
            </w:r>
          </w:p>
        </w:tc>
        <w:tc>
          <w:tcPr>
            <w:tcW w:w="20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184,960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Deficit</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(548,902)</w:t>
            </w:r>
          </w:p>
        </w:tc>
        <w:tc>
          <w:tcPr>
            <w:tcW w:w="200" w:type="dxa"/>
            <w:vAlign w:val="bottom"/>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(475,121)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840" w:type="dxa"/>
            <w:vAlign w:val="bottom"/>
            <w:tcBorders>
              <w:bottom w:val="single" w:sz="8" w:color="CBEBF4"/>
            </w:tcBorders>
          </w:tcPr>
          <w:p>
            <w:pPr>
              <w:spacing w:after="0"/>
              <w:rPr>
                <w:sz w:val="17"/>
                <w:szCs w:val="17"/>
                <w:color w:val="auto"/>
              </w:rPr>
            </w:pPr>
          </w:p>
        </w:tc>
        <w:tc>
          <w:tcPr>
            <w:tcW w:w="220" w:type="dxa"/>
            <w:vAlign w:val="bottom"/>
            <w:tcBorders>
              <w:bottom w:val="single" w:sz="8" w:color="CBEBF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10,918</w:t>
            </w:r>
          </w:p>
        </w:tc>
        <w:tc>
          <w:tcPr>
            <w:tcW w:w="200" w:type="dxa"/>
            <w:vAlign w:val="bottom"/>
            <w:tcBorders>
              <w:bottom w:val="single" w:sz="8" w:color="CBEBF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41,505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28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spacing w:after="0"/>
              <w:rPr>
                <w:sz w:val="18"/>
                <w:szCs w:val="18"/>
                <w:color w:val="auto"/>
              </w:rPr>
            </w:pPr>
          </w:p>
        </w:tc>
        <w:tc>
          <w:tcPr>
            <w:tcW w:w="200" w:type="dxa"/>
            <w:vAlign w:val="bottom"/>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1120" w:type="dxa"/>
            <w:vAlign w:val="bottom"/>
            <w:tcBorders>
              <w:bottom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68,896</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94,777</w:t>
            </w:r>
          </w:p>
        </w:tc>
        <w:tc>
          <w:tcPr>
            <w:tcW w:w="0" w:type="dxa"/>
            <w:vAlign w:val="bottom"/>
          </w:tcPr>
          <w:p>
            <w:pPr>
              <w:spacing w:after="0"/>
              <w:rPr>
                <w:sz w:val="1"/>
                <w:szCs w:val="1"/>
                <w:color w:val="auto"/>
              </w:rPr>
            </w:pPr>
          </w:p>
        </w:tc>
      </w:tr>
      <w:tr>
        <w:trPr>
          <w:trHeight w:val="381"/>
        </w:trPr>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i w:val="1"/>
                <w:iCs w:val="1"/>
                <w:color w:val="auto"/>
              </w:rPr>
              <w:t>(Note 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Commitments and Contingent Liabilities </w:t>
            </w:r>
            <w:r>
              <w:rPr>
                <w:rFonts w:ascii="Times New Roman" w:cs="Times New Roman" w:eastAsia="Times New Roman" w:hAnsi="Times New Roman"/>
                <w:sz w:val="17"/>
                <w:szCs w:val="17"/>
                <w:i w:val="1"/>
                <w:iCs w:val="1"/>
                <w:color w:val="auto"/>
              </w:rPr>
              <w:t>(Note 19)</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i w:val="1"/>
                <w:iCs w:val="1"/>
                <w:color w:val="auto"/>
              </w:rPr>
              <w:t>(Note 23)</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72" name="Shape 6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672" o:spid="_x0000_s16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20"/>
          </w:cols>
          <w:pgMar w:left="1320" w:top="1324" w:right="1300" w:bottom="1440" w:gutter="0" w:footer="0" w:header="0"/>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73" name="Shape 6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73" o:spid="_x0000_s16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74" name="Shape 6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74" o:spid="_x0000_s16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75" name="Shape 6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75" o:spid="_x0000_s17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76" name="Shape 6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76" o:spid="_x0000_s17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Loss and Comprehensive Loss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7"/>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Borders>
              <w:bottom w:val="single" w:sz="8" w:color="CBEBF4"/>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BEBF4"/>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BEBF4"/>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8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260" w:type="dxa"/>
            <w:vAlign w:val="bottom"/>
            <w:shd w:val="clear" w:color="auto" w:fill="CBEBF4"/>
          </w:tcPr>
          <w:p>
            <w:pPr>
              <w:spacing w:after="0"/>
              <w:rPr>
                <w:sz w:val="17"/>
                <w:szCs w:val="17"/>
                <w:color w:val="auto"/>
              </w:rPr>
            </w:pPr>
          </w:p>
        </w:tc>
        <w:tc>
          <w:tcPr>
            <w:tcW w:w="200" w:type="dxa"/>
            <w:vAlign w:val="bottom"/>
            <w:shd w:val="clear" w:color="auto" w:fill="CBEBF4"/>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260" w:type="dxa"/>
            <w:vAlign w:val="bottom"/>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Exploration and evaluation expenses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144,599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Borders>
              <w:bottom w:val="single" w:sz="8" w:color="CBEBF4"/>
            </w:tcBorders>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40" w:type="dxa"/>
            <w:vAlign w:val="bottom"/>
            <w:tcBorders>
              <w:bottom w:val="single" w:sz="8" w:color="CBEBF4"/>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220" w:type="dxa"/>
            <w:vAlign w:val="bottom"/>
            <w:tcBorders>
              <w:bottom w:val="single" w:sz="8" w:color="CBEBF4"/>
            </w:tcBorders>
            <w:shd w:val="clear" w:color="auto" w:fill="CBEBF4"/>
          </w:tcPr>
          <w:p>
            <w:pPr>
              <w:spacing w:after="0"/>
              <w:rPr>
                <w:sz w:val="19"/>
                <w:szCs w:val="19"/>
                <w:color w:val="auto"/>
              </w:rPr>
            </w:pPr>
          </w:p>
        </w:tc>
        <w:tc>
          <w:tcPr>
            <w:tcW w:w="140" w:type="dxa"/>
            <w:vAlign w:val="bottom"/>
            <w:tcBorders>
              <w:bottom w:val="single" w:sz="8" w:color="auto"/>
            </w:tcBorders>
            <w:shd w:val="clear" w:color="auto" w:fill="CBEBF4"/>
          </w:tcPr>
          <w:p>
            <w:pPr>
              <w:spacing w:after="0"/>
              <w:rPr>
                <w:sz w:val="19"/>
                <w:szCs w:val="19"/>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22,540</w:t>
            </w:r>
          </w:p>
        </w:tc>
        <w:tc>
          <w:tcPr>
            <w:tcW w:w="200" w:type="dxa"/>
            <w:vAlign w:val="bottom"/>
            <w:tcBorders>
              <w:bottom w:val="single" w:sz="8" w:color="CBEBF4"/>
            </w:tcBorders>
            <w:shd w:val="clear" w:color="auto" w:fill="CBEBF4"/>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shd w:val="clear" w:color="auto" w:fill="CBEBF4"/>
          </w:tcPr>
          <w:p>
            <w:pPr>
              <w:spacing w:after="0"/>
              <w:rPr>
                <w:sz w:val="19"/>
                <w:szCs w:val="19"/>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29,518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72,389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174,117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BEBF4"/>
          </w:tcPr>
          <w:p>
            <w:pPr>
              <w:spacing w:after="0"/>
              <w:rPr>
                <w:sz w:val="18"/>
                <w:szCs w:val="18"/>
                <w:color w:val="auto"/>
              </w:rPr>
            </w:pP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200" w:type="dxa"/>
            <w:vAlign w:val="bottom"/>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items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Equity-accounted investment loss</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200" w:type="dxa"/>
            <w:vAlign w:val="bottom"/>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Change in fair value of warrants liability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Foreign exchange loss</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00" w:type="dxa"/>
            <w:vAlign w:val="bottom"/>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Interest income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Fees and interest on credit facility</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BEBF4"/>
          </w:tcPr>
          <w:p>
            <w:pPr>
              <w:spacing w:after="0"/>
              <w:rPr>
                <w:sz w:val="18"/>
                <w:szCs w:val="18"/>
                <w:color w:val="auto"/>
              </w:rPr>
            </w:pPr>
          </w:p>
        </w:tc>
        <w:tc>
          <w:tcPr>
            <w:tcW w:w="140" w:type="dxa"/>
            <w:vAlign w:val="bottom"/>
            <w:tcBorders>
              <w:bottom w:val="single" w:sz="8" w:color="auto"/>
            </w:tcBorders>
            <w:shd w:val="clear" w:color="auto" w:fill="CBEBF4"/>
          </w:tcPr>
          <w:p>
            <w:pPr>
              <w:spacing w:after="0"/>
              <w:rPr>
                <w:sz w:val="18"/>
                <w:szCs w:val="18"/>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200" w:type="dxa"/>
            <w:vAlign w:val="bottom"/>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shd w:val="clear" w:color="auto" w:fill="CBEBF4"/>
          </w:tcPr>
          <w:p>
            <w:pPr>
              <w:spacing w:after="0"/>
              <w:rPr>
                <w:sz w:val="18"/>
                <w:szCs w:val="18"/>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Loss and comprehensive loss for the year, before tax</w:t>
            </w:r>
          </w:p>
        </w:tc>
        <w:tc>
          <w:tcPr>
            <w:tcW w:w="840" w:type="dxa"/>
            <w:vAlign w:val="bottom"/>
            <w:shd w:val="clear" w:color="auto" w:fill="CBEBF4"/>
          </w:tcPr>
          <w:p>
            <w:pPr>
              <w:spacing w:after="0"/>
              <w:rPr>
                <w:sz w:val="18"/>
                <w:szCs w:val="18"/>
                <w:color w:val="auto"/>
              </w:rPr>
            </w:pPr>
          </w:p>
        </w:tc>
        <w:tc>
          <w:tcPr>
            <w:tcW w:w="36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73,740</w:t>
            </w:r>
          </w:p>
        </w:tc>
        <w:tc>
          <w:tcPr>
            <w:tcW w:w="200" w:type="dxa"/>
            <w:vAlign w:val="bottom"/>
            <w:shd w:val="clear" w:color="auto" w:fill="CBEBF4"/>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shd w:val="clear" w:color="auto" w:fill="CBEBF4"/>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170,887</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Tax expense</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7"/>
        </w:trPr>
        <w:tc>
          <w:tcPr>
            <w:tcW w:w="55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gridSpan w:val="3"/>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2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CBEBF4"/>
            </w:tcBorders>
            <w:shd w:val="clear" w:color="auto" w:fill="CBEBF4"/>
          </w:tcPr>
          <w:p>
            <w:pPr>
              <w:spacing w:after="0"/>
              <w:rPr>
                <w:sz w:val="17"/>
                <w:szCs w:val="17"/>
                <w:color w:val="auto"/>
              </w:rPr>
            </w:pPr>
          </w:p>
        </w:tc>
        <w:tc>
          <w:tcPr>
            <w:tcW w:w="22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1260" w:type="dxa"/>
            <w:vAlign w:val="bottom"/>
            <w:tcBorders>
              <w:top w:val="single" w:sz="8" w:color="auto"/>
            </w:tcBorders>
            <w:shd w:val="clear" w:color="auto" w:fill="CBEBF4"/>
          </w:tcPr>
          <w:p>
            <w:pPr>
              <w:spacing w:after="0"/>
              <w:rPr>
                <w:sz w:val="17"/>
                <w:szCs w:val="17"/>
                <w:color w:val="auto"/>
              </w:rPr>
            </w:pPr>
          </w:p>
        </w:tc>
        <w:tc>
          <w:tcPr>
            <w:tcW w:w="200" w:type="dxa"/>
            <w:vAlign w:val="bottom"/>
            <w:tcBorders>
              <w:top w:val="single" w:sz="8" w:color="CBEBF4"/>
            </w:tcBorders>
            <w:shd w:val="clear" w:color="auto" w:fill="CBEBF4"/>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126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and comprehensive loss for the year, after tax</w:t>
            </w:r>
          </w:p>
        </w:tc>
        <w:tc>
          <w:tcPr>
            <w:tcW w:w="8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73,781</w:t>
            </w:r>
          </w:p>
        </w:tc>
        <w:tc>
          <w:tcPr>
            <w:tcW w:w="2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170,964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2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CBEBF4"/>
            </w:tcBorders>
            <w:shd w:val="clear" w:color="auto" w:fill="CBEBF4"/>
          </w:tcPr>
          <w:p>
            <w:pPr>
              <w:spacing w:after="0"/>
              <w:rPr>
                <w:sz w:val="17"/>
                <w:szCs w:val="17"/>
                <w:color w:val="auto"/>
              </w:rPr>
            </w:pPr>
          </w:p>
        </w:tc>
        <w:tc>
          <w:tcPr>
            <w:tcW w:w="22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1260" w:type="dxa"/>
            <w:vAlign w:val="bottom"/>
            <w:tcBorders>
              <w:top w:val="single" w:sz="8" w:color="auto"/>
            </w:tcBorders>
            <w:shd w:val="clear" w:color="auto" w:fill="CBEBF4"/>
          </w:tcPr>
          <w:p>
            <w:pPr>
              <w:spacing w:after="0"/>
              <w:rPr>
                <w:sz w:val="17"/>
                <w:szCs w:val="17"/>
                <w:color w:val="auto"/>
              </w:rPr>
            </w:pPr>
          </w:p>
        </w:tc>
        <w:tc>
          <w:tcPr>
            <w:tcW w:w="200" w:type="dxa"/>
            <w:vAlign w:val="bottom"/>
            <w:tcBorders>
              <w:top w:val="single" w:sz="8" w:color="CBEBF4"/>
            </w:tcBorders>
            <w:shd w:val="clear" w:color="auto" w:fill="CBEBF4"/>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126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per share - basic and diluted</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0.26</w:t>
            </w:r>
          </w:p>
        </w:tc>
        <w:tc>
          <w:tcPr>
            <w:tcW w:w="2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0.71</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2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CBEBF4"/>
            </w:tcBorders>
            <w:shd w:val="clear" w:color="auto" w:fill="CBEBF4"/>
          </w:tcPr>
          <w:p>
            <w:pPr>
              <w:spacing w:after="0"/>
              <w:rPr>
                <w:sz w:val="17"/>
                <w:szCs w:val="17"/>
                <w:color w:val="auto"/>
              </w:rPr>
            </w:pPr>
          </w:p>
        </w:tc>
        <w:tc>
          <w:tcPr>
            <w:tcW w:w="22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1260" w:type="dxa"/>
            <w:vAlign w:val="bottom"/>
            <w:tcBorders>
              <w:top w:val="single" w:sz="8" w:color="auto"/>
            </w:tcBorders>
            <w:shd w:val="clear" w:color="auto" w:fill="CBEBF4"/>
          </w:tcPr>
          <w:p>
            <w:pPr>
              <w:spacing w:after="0"/>
              <w:rPr>
                <w:sz w:val="17"/>
                <w:szCs w:val="17"/>
                <w:color w:val="auto"/>
              </w:rPr>
            </w:pPr>
          </w:p>
        </w:tc>
        <w:tc>
          <w:tcPr>
            <w:tcW w:w="200" w:type="dxa"/>
            <w:vAlign w:val="bottom"/>
            <w:tcBorders>
              <w:top w:val="single" w:sz="8" w:color="CBEBF4"/>
            </w:tcBorders>
            <w:shd w:val="clear" w:color="auto" w:fill="CBEBF4"/>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126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 average number of Common Shares outstanding – basic and</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288,643,700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239,867,019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77" name="Shape 6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77" o:spid="_x0000_s17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31" w:name="page132"/>
    <w:bookmarkEnd w:id="131"/>
    <w:p>
      <w:pPr>
        <w:jc w:val="center"/>
        <w:ind w:left="90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78" name="Shape 6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78" o:spid="_x0000_s17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79" name="Shape 6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79" o:spid="_x0000_s17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4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060" w:type="dxa"/>
            <w:vAlign w:val="bottom"/>
            <w:gridSpan w:val="3"/>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0" w:type="dxa"/>
            <w:vAlign w:val="bottom"/>
          </w:tcPr>
          <w:p>
            <w:pPr>
              <w:spacing w:after="0"/>
              <w:rPr>
                <w:sz w:val="12"/>
                <w:szCs w:val="12"/>
                <w:color w:val="auto"/>
              </w:rPr>
            </w:pPr>
          </w:p>
        </w:tc>
        <w:tc>
          <w:tcPr>
            <w:tcW w:w="13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80" w:type="dxa"/>
            <w:vAlign w:val="bottom"/>
            <w:tcBorders>
              <w:top w:val="single" w:sz="8" w:color="auto"/>
              <w:bottom w:val="single" w:sz="8" w:color="CBEBF4"/>
            </w:tcBorders>
            <w:shd w:val="clear" w:color="auto" w:fill="CBEBF4"/>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December 31, 2022</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800" w:type="dxa"/>
            <w:vAlign w:val="bottom"/>
            <w:tcBorders>
              <w:top w:val="single" w:sz="8" w:color="auto"/>
              <w:bottom w:val="single" w:sz="8" w:color="CBEBF4"/>
            </w:tcBorders>
            <w:shd w:val="clear" w:color="auto" w:fill="CBEBF4"/>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266,812,131</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120" w:type="dxa"/>
            <w:vAlign w:val="bottom"/>
            <w:tcBorders>
              <w:top w:val="single" w:sz="8" w:color="auto"/>
              <w:bottom w:val="single" w:sz="8" w:color="CBEBF4"/>
            </w:tcBorders>
            <w:shd w:val="clear" w:color="auto" w:fill="CBEBF4"/>
          </w:tcPr>
          <w:p>
            <w:pPr>
              <w:jc w:val="right"/>
              <w:ind w:right="8"/>
              <w:spacing w:after="0" w:line="110"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bottom w:val="single" w:sz="8" w:color="CBEBF4"/>
            </w:tcBorders>
            <w:shd w:val="clear" w:color="auto" w:fill="CBEBF4"/>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332,882</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180" w:type="dxa"/>
            <w:vAlign w:val="bottom"/>
            <w:tcBorders>
              <w:top w:val="single" w:sz="8" w:color="auto"/>
              <w:bottom w:val="single" w:sz="8" w:color="CBEBF4"/>
            </w:tcBorders>
            <w:shd w:val="clear" w:color="auto" w:fill="CBEBF4"/>
          </w:tcPr>
          <w:p>
            <w:pPr>
              <w:jc w:val="right"/>
              <w:ind w:right="68"/>
              <w:spacing w:after="0" w:line="110"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CBEBF4"/>
            </w:tcBorders>
            <w:shd w:val="clear" w:color="auto" w:fill="CBEBF4"/>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Borders>
              <w:top w:val="single" w:sz="8" w:color="auto"/>
              <w:bottom w:val="single" w:sz="8" w:color="CBEBF4"/>
            </w:tcBorders>
            <w:shd w:val="clear" w:color="auto" w:fill="CBEBF4"/>
          </w:tcPr>
          <w:p>
            <w:pPr>
              <w:spacing w:after="0"/>
              <w:rPr>
                <w:sz w:val="10"/>
                <w:szCs w:val="10"/>
                <w:color w:val="auto"/>
              </w:rPr>
            </w:pPr>
          </w:p>
        </w:tc>
        <w:tc>
          <w:tcPr>
            <w:tcW w:w="120" w:type="dxa"/>
            <w:vAlign w:val="bottom"/>
            <w:tcBorders>
              <w:top w:val="single" w:sz="8" w:color="CBEBF4"/>
              <w:bottom w:val="single" w:sz="8" w:color="CBEBF4"/>
            </w:tcBorders>
            <w:shd w:val="clear" w:color="auto" w:fill="CBEBF4"/>
          </w:tcPr>
          <w:p>
            <w:pPr>
              <w:spacing w:after="0"/>
              <w:rPr>
                <w:sz w:val="10"/>
                <w:szCs w:val="10"/>
                <w:color w:val="auto"/>
              </w:rPr>
            </w:pPr>
          </w:p>
        </w:tc>
        <w:tc>
          <w:tcPr>
            <w:tcW w:w="100" w:type="dxa"/>
            <w:vAlign w:val="bottom"/>
            <w:tcBorders>
              <w:top w:val="single" w:sz="8" w:color="auto"/>
              <w:bottom w:val="single" w:sz="8" w:color="CBEBF4"/>
            </w:tcBorders>
            <w:shd w:val="clear" w:color="auto" w:fill="CBEBF4"/>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184,960</w:t>
            </w:r>
          </w:p>
        </w:tc>
        <w:tc>
          <w:tcPr>
            <w:tcW w:w="140" w:type="dxa"/>
            <w:vAlign w:val="bottom"/>
          </w:tcPr>
          <w:p>
            <w:pPr>
              <w:spacing w:after="0"/>
              <w:rPr>
                <w:sz w:val="10"/>
                <w:szCs w:val="10"/>
                <w:color w:val="auto"/>
              </w:rPr>
            </w:pPr>
          </w:p>
        </w:tc>
        <w:tc>
          <w:tcPr>
            <w:tcW w:w="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(1,216)</w:t>
            </w: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(475,121)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Shares issued to Allseas (Note 8)</w:t>
            </w:r>
          </w:p>
        </w:tc>
        <w:tc>
          <w:tcPr>
            <w:tcW w:w="8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15,000,000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15,910</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(69,900)</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2720" w:type="dxa"/>
            <w:vAlign w:val="bottom"/>
            <w:gridSpan w:val="2"/>
            <w:shd w:val="clear" w:color="auto" w:fill="CBEBF4"/>
          </w:tcPr>
          <w:p>
            <w:pPr>
              <w:spacing w:after="0" w:line="143" w:lineRule="exact"/>
              <w:rPr>
                <w:sz w:val="20"/>
                <w:szCs w:val="20"/>
                <w:color w:val="auto"/>
              </w:rPr>
            </w:pPr>
            <w:r>
              <w:rPr>
                <w:rFonts w:ascii="Times New Roman" w:cs="Times New Roman" w:eastAsia="Times New Roman" w:hAnsi="Times New Roman"/>
                <w:sz w:val="14"/>
                <w:szCs w:val="14"/>
                <w:color w:val="auto"/>
              </w:rPr>
              <w:t>Exercise of warrant by Allseas (Note 8 and 13)</w:t>
            </w:r>
          </w:p>
        </w:tc>
        <w:tc>
          <w:tcPr>
            <w:tcW w:w="80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11,578,620</w:t>
            </w:r>
          </w:p>
        </w:tc>
        <w:tc>
          <w:tcPr>
            <w:tcW w:w="140" w:type="dxa"/>
            <w:vAlign w:val="bottom"/>
            <w:shd w:val="clear" w:color="auto" w:fill="CBEBF4"/>
          </w:tcPr>
          <w:p>
            <w:pPr>
              <w:spacing w:after="0"/>
              <w:rPr>
                <w:sz w:val="12"/>
                <w:szCs w:val="12"/>
                <w:color w:val="auto"/>
              </w:rPr>
            </w:pPr>
          </w:p>
        </w:tc>
        <w:tc>
          <w:tcPr>
            <w:tcW w:w="120" w:type="dxa"/>
            <w:vAlign w:val="bottom"/>
            <w:shd w:val="clear" w:color="auto" w:fill="CBEBF4"/>
          </w:tcPr>
          <w:p>
            <w:pPr>
              <w:spacing w:after="0"/>
              <w:rPr>
                <w:sz w:val="12"/>
                <w:szCs w:val="12"/>
                <w:color w:val="auto"/>
              </w:rPr>
            </w:pPr>
          </w:p>
        </w:tc>
        <w:tc>
          <w:tcPr>
            <w:tcW w:w="60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70,016</w:t>
            </w:r>
          </w:p>
        </w:tc>
        <w:tc>
          <w:tcPr>
            <w:tcW w:w="140" w:type="dxa"/>
            <w:vAlign w:val="bottom"/>
            <w:shd w:val="clear" w:color="auto" w:fill="CBEBF4"/>
          </w:tcPr>
          <w:p>
            <w:pPr>
              <w:spacing w:after="0"/>
              <w:rPr>
                <w:sz w:val="12"/>
                <w:szCs w:val="12"/>
                <w:color w:val="auto"/>
              </w:rPr>
            </w:pPr>
          </w:p>
        </w:tc>
        <w:tc>
          <w:tcPr>
            <w:tcW w:w="180" w:type="dxa"/>
            <w:vAlign w:val="bottom"/>
            <w:shd w:val="clear" w:color="auto" w:fill="CBEBF4"/>
          </w:tcPr>
          <w:p>
            <w:pPr>
              <w:spacing w:after="0"/>
              <w:rPr>
                <w:sz w:val="12"/>
                <w:szCs w:val="12"/>
                <w:color w:val="auto"/>
              </w:rPr>
            </w:pPr>
          </w:p>
        </w:tc>
        <w:tc>
          <w:tcPr>
            <w:tcW w:w="58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2"/>
                <w:szCs w:val="12"/>
                <w:color w:val="auto"/>
              </w:rPr>
            </w:pPr>
          </w:p>
        </w:tc>
        <w:tc>
          <w:tcPr>
            <w:tcW w:w="120" w:type="dxa"/>
            <w:vAlign w:val="bottom"/>
            <w:shd w:val="clear" w:color="auto" w:fill="CBEBF4"/>
          </w:tcPr>
          <w:p>
            <w:pPr>
              <w:spacing w:after="0"/>
              <w:rPr>
                <w:sz w:val="12"/>
                <w:szCs w:val="12"/>
                <w:color w:val="auto"/>
              </w:rPr>
            </w:pPr>
          </w:p>
        </w:tc>
        <w:tc>
          <w:tcPr>
            <w:tcW w:w="100" w:type="dxa"/>
            <w:vAlign w:val="bottom"/>
            <w:shd w:val="clear" w:color="auto" w:fill="CBEBF4"/>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and warrants under</w:t>
            </w: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4"/>
                <w:szCs w:val="14"/>
                <w:color w:val="auto"/>
              </w:rPr>
              <w:t>Registered Direct Offering, net of expenses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7,961,540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3,179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(Note 12)</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gridSpan w:val="2"/>
            <w:shd w:val="clear" w:color="auto" w:fill="CBEBF4"/>
          </w:tcPr>
          <w:p>
            <w:pPr>
              <w:spacing w:after="0" w:line="117" w:lineRule="exact"/>
              <w:rPr>
                <w:sz w:val="20"/>
                <w:szCs w:val="20"/>
                <w:color w:val="auto"/>
              </w:rPr>
            </w:pPr>
            <w:r>
              <w:rPr>
                <w:rFonts w:ascii="Times New Roman" w:cs="Times New Roman" w:eastAsia="Times New Roman" w:hAnsi="Times New Roman"/>
                <w:sz w:val="13"/>
                <w:szCs w:val="13"/>
                <w:color w:val="auto"/>
              </w:rPr>
              <w:t>Conversion of restricted share units, net of</w:t>
            </w:r>
          </w:p>
        </w:tc>
        <w:tc>
          <w:tcPr>
            <w:tcW w:w="8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4,912,747</w:t>
            </w:r>
          </w:p>
        </w:tc>
        <w:tc>
          <w:tcPr>
            <w:tcW w:w="140" w:type="dxa"/>
            <w:vAlign w:val="bottom"/>
            <w:shd w:val="clear" w:color="auto" w:fill="CBEBF4"/>
          </w:tcPr>
          <w:p>
            <w:pPr>
              <w:spacing w:after="0"/>
              <w:rPr>
                <w:sz w:val="10"/>
                <w:szCs w:val="10"/>
                <w:color w:val="auto"/>
              </w:rPr>
            </w:pPr>
          </w:p>
        </w:tc>
        <w:tc>
          <w:tcPr>
            <w:tcW w:w="120" w:type="dxa"/>
            <w:vAlign w:val="bottom"/>
            <w:shd w:val="clear" w:color="auto" w:fill="CBEBF4"/>
          </w:tcPr>
          <w:p>
            <w:pPr>
              <w:spacing w:after="0"/>
              <w:rPr>
                <w:sz w:val="10"/>
                <w:szCs w:val="10"/>
                <w:color w:val="auto"/>
              </w:rPr>
            </w:pPr>
          </w:p>
        </w:tc>
        <w:tc>
          <w:tcPr>
            <w:tcW w:w="6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140" w:type="dxa"/>
            <w:vAlign w:val="bottom"/>
            <w:shd w:val="clear" w:color="auto" w:fill="CBEBF4"/>
          </w:tcPr>
          <w:p>
            <w:pPr>
              <w:spacing w:after="0"/>
              <w:rPr>
                <w:sz w:val="10"/>
                <w:szCs w:val="10"/>
                <w:color w:val="auto"/>
              </w:rPr>
            </w:pPr>
          </w:p>
        </w:tc>
        <w:tc>
          <w:tcPr>
            <w:tcW w:w="180" w:type="dxa"/>
            <w:vAlign w:val="bottom"/>
            <w:shd w:val="clear" w:color="auto" w:fill="CBEBF4"/>
          </w:tcPr>
          <w:p>
            <w:pPr>
              <w:spacing w:after="0"/>
              <w:rPr>
                <w:sz w:val="10"/>
                <w:szCs w:val="10"/>
                <w:color w:val="auto"/>
              </w:rPr>
            </w:pPr>
          </w:p>
        </w:tc>
        <w:tc>
          <w:tcPr>
            <w:tcW w:w="5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0"/>
                <w:szCs w:val="10"/>
                <w:color w:val="auto"/>
              </w:rPr>
            </w:pP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72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4"/>
                <w:szCs w:val="14"/>
                <w:color w:val="auto"/>
              </w:rPr>
              <w:t>shares withheld for taxes (Note 15)</w:t>
            </w:r>
          </w:p>
        </w:tc>
        <w:tc>
          <w:tcPr>
            <w:tcW w:w="80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20" w:type="dxa"/>
            <w:vAlign w:val="bottom"/>
            <w:shd w:val="clear" w:color="auto" w:fill="CBEBF4"/>
          </w:tcPr>
          <w:p>
            <w:pPr>
              <w:spacing w:after="0"/>
              <w:rPr>
                <w:sz w:val="14"/>
                <w:szCs w:val="14"/>
                <w:color w:val="auto"/>
              </w:rPr>
            </w:pPr>
          </w:p>
        </w:tc>
        <w:tc>
          <w:tcPr>
            <w:tcW w:w="60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80" w:type="dxa"/>
            <w:vAlign w:val="bottom"/>
            <w:shd w:val="clear" w:color="auto" w:fill="CBEBF4"/>
          </w:tcPr>
          <w:p>
            <w:pPr>
              <w:spacing w:after="0"/>
              <w:rPr>
                <w:sz w:val="14"/>
                <w:szCs w:val="14"/>
                <w:color w:val="auto"/>
              </w:rPr>
            </w:pPr>
          </w:p>
        </w:tc>
        <w:tc>
          <w:tcPr>
            <w:tcW w:w="580" w:type="dxa"/>
            <w:vAlign w:val="bottom"/>
            <w:vMerge w:val="continue"/>
            <w:shd w:val="clear" w:color="auto" w:fill="CBEBF4"/>
          </w:tcPr>
          <w:p>
            <w:pPr>
              <w:spacing w:after="0"/>
              <w:rPr>
                <w:sz w:val="14"/>
                <w:szCs w:val="14"/>
                <w:color w:val="auto"/>
              </w:rPr>
            </w:pPr>
          </w:p>
        </w:tc>
        <w:tc>
          <w:tcPr>
            <w:tcW w:w="20" w:type="dxa"/>
            <w:vAlign w:val="bottom"/>
            <w:shd w:val="clear" w:color="auto" w:fill="CBEBF4"/>
          </w:tcPr>
          <w:p>
            <w:pPr>
              <w:spacing w:after="0"/>
              <w:rPr>
                <w:sz w:val="14"/>
                <w:szCs w:val="14"/>
                <w:color w:val="auto"/>
              </w:rPr>
            </w:pPr>
          </w:p>
        </w:tc>
        <w:tc>
          <w:tcPr>
            <w:tcW w:w="120" w:type="dxa"/>
            <w:vAlign w:val="bottom"/>
            <w:shd w:val="clear" w:color="auto" w:fill="CBEBF4"/>
          </w:tcPr>
          <w:p>
            <w:pPr>
              <w:spacing w:after="0"/>
              <w:rPr>
                <w:sz w:val="14"/>
                <w:szCs w:val="14"/>
                <w:color w:val="auto"/>
              </w:rPr>
            </w:pPr>
          </w:p>
        </w:tc>
        <w:tc>
          <w:tcPr>
            <w:tcW w:w="100" w:type="dxa"/>
            <w:vAlign w:val="bottom"/>
            <w:shd w:val="clear" w:color="auto" w:fill="CBEBF4"/>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Shares purchased under Employee Share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173,672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4"/>
                <w:szCs w:val="14"/>
                <w:color w:val="auto"/>
              </w:rPr>
              <w:t>Purchase Plan (Note 15)</w:t>
            </w: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2720" w:type="dxa"/>
            <w:vAlign w:val="bottom"/>
            <w:gridSpan w:val="2"/>
            <w:shd w:val="clear" w:color="auto" w:fill="CBEBF4"/>
          </w:tcPr>
          <w:p>
            <w:pPr>
              <w:spacing w:after="0" w:line="143" w:lineRule="exact"/>
              <w:rPr>
                <w:sz w:val="20"/>
                <w:szCs w:val="20"/>
                <w:color w:val="auto"/>
              </w:rPr>
            </w:pPr>
            <w:r>
              <w:rPr>
                <w:rFonts w:ascii="Times New Roman" w:cs="Times New Roman" w:eastAsia="Times New Roman" w:hAnsi="Times New Roman"/>
                <w:sz w:val="14"/>
                <w:szCs w:val="14"/>
                <w:color w:val="auto"/>
              </w:rPr>
              <w:t>Exercise of stock options (Note 15)</w:t>
            </w:r>
          </w:p>
        </w:tc>
        <w:tc>
          <w:tcPr>
            <w:tcW w:w="80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120,000</w:t>
            </w:r>
          </w:p>
        </w:tc>
        <w:tc>
          <w:tcPr>
            <w:tcW w:w="140" w:type="dxa"/>
            <w:vAlign w:val="bottom"/>
            <w:shd w:val="clear" w:color="auto" w:fill="CBEBF4"/>
          </w:tcPr>
          <w:p>
            <w:pPr>
              <w:spacing w:after="0"/>
              <w:rPr>
                <w:sz w:val="12"/>
                <w:szCs w:val="12"/>
                <w:color w:val="auto"/>
              </w:rPr>
            </w:pPr>
          </w:p>
        </w:tc>
        <w:tc>
          <w:tcPr>
            <w:tcW w:w="120" w:type="dxa"/>
            <w:vAlign w:val="bottom"/>
            <w:shd w:val="clear" w:color="auto" w:fill="CBEBF4"/>
          </w:tcPr>
          <w:p>
            <w:pPr>
              <w:spacing w:after="0"/>
              <w:rPr>
                <w:sz w:val="12"/>
                <w:szCs w:val="12"/>
                <w:color w:val="auto"/>
              </w:rPr>
            </w:pPr>
          </w:p>
        </w:tc>
        <w:tc>
          <w:tcPr>
            <w:tcW w:w="60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144</w:t>
            </w:r>
          </w:p>
        </w:tc>
        <w:tc>
          <w:tcPr>
            <w:tcW w:w="140" w:type="dxa"/>
            <w:vAlign w:val="bottom"/>
            <w:shd w:val="clear" w:color="auto" w:fill="CBEBF4"/>
          </w:tcPr>
          <w:p>
            <w:pPr>
              <w:spacing w:after="0"/>
              <w:rPr>
                <w:sz w:val="12"/>
                <w:szCs w:val="12"/>
                <w:color w:val="auto"/>
              </w:rPr>
            </w:pPr>
          </w:p>
        </w:tc>
        <w:tc>
          <w:tcPr>
            <w:tcW w:w="180" w:type="dxa"/>
            <w:vAlign w:val="bottom"/>
            <w:shd w:val="clear" w:color="auto" w:fill="CBEBF4"/>
          </w:tcPr>
          <w:p>
            <w:pPr>
              <w:spacing w:after="0"/>
              <w:rPr>
                <w:sz w:val="12"/>
                <w:szCs w:val="12"/>
                <w:color w:val="auto"/>
              </w:rPr>
            </w:pPr>
          </w:p>
        </w:tc>
        <w:tc>
          <w:tcPr>
            <w:tcW w:w="58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2"/>
                <w:szCs w:val="12"/>
                <w:color w:val="auto"/>
              </w:rPr>
            </w:pPr>
          </w:p>
        </w:tc>
        <w:tc>
          <w:tcPr>
            <w:tcW w:w="120" w:type="dxa"/>
            <w:vAlign w:val="bottom"/>
            <w:shd w:val="clear" w:color="auto" w:fill="CBEBF4"/>
          </w:tcPr>
          <w:p>
            <w:pPr>
              <w:spacing w:after="0"/>
              <w:rPr>
                <w:sz w:val="12"/>
                <w:szCs w:val="12"/>
                <w:color w:val="auto"/>
              </w:rPr>
            </w:pPr>
          </w:p>
        </w:tc>
        <w:tc>
          <w:tcPr>
            <w:tcW w:w="100" w:type="dxa"/>
            <w:vAlign w:val="bottom"/>
            <w:shd w:val="clear" w:color="auto" w:fill="CBEBF4"/>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2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3"/>
                <w:szCs w:val="13"/>
                <w:color w:val="auto"/>
              </w:rPr>
              <w:t>Share-based compensation and Expenses</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12,360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720" w:type="dxa"/>
            <w:vAlign w:val="bottom"/>
            <w:gridSpan w:val="2"/>
          </w:tcPr>
          <w:p>
            <w:pPr>
              <w:ind w:left="200"/>
              <w:spacing w:after="0" w:line="143" w:lineRule="exact"/>
              <w:rPr>
                <w:sz w:val="20"/>
                <w:szCs w:val="20"/>
                <w:color w:val="auto"/>
              </w:rPr>
            </w:pPr>
            <w:r>
              <w:rPr>
                <w:rFonts w:ascii="Times New Roman" w:cs="Times New Roman" w:eastAsia="Times New Roman" w:hAnsi="Times New Roman"/>
                <w:sz w:val="14"/>
                <w:szCs w:val="14"/>
                <w:color w:val="auto"/>
              </w:rPr>
              <w:t>settled with equity (Note 15)</w:t>
            </w: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(73,781)</w:t>
            </w: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2720" w:type="dxa"/>
            <w:vAlign w:val="bottom"/>
            <w:gridSpan w:val="2"/>
            <w:shd w:val="clear" w:color="auto" w:fill="CBEBF4"/>
          </w:tcPr>
          <w:p>
            <w:pPr>
              <w:spacing w:after="0" w:line="143" w:lineRule="exact"/>
              <w:rPr>
                <w:sz w:val="20"/>
                <w:szCs w:val="20"/>
                <w:color w:val="auto"/>
              </w:rPr>
            </w:pPr>
            <w:r>
              <w:rPr>
                <w:rFonts w:ascii="Times New Roman" w:cs="Times New Roman" w:eastAsia="Times New Roman" w:hAnsi="Times New Roman"/>
                <w:sz w:val="14"/>
                <w:szCs w:val="14"/>
                <w:color w:val="auto"/>
              </w:rPr>
              <w:t>Loss for the year</w:t>
            </w:r>
          </w:p>
        </w:tc>
        <w:tc>
          <w:tcPr>
            <w:tcW w:w="800" w:type="dxa"/>
            <w:vAlign w:val="bottom"/>
            <w:tcBorders>
              <w:bottom w:val="single" w:sz="8" w:color="auto"/>
            </w:tcBorders>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2"/>
                <w:szCs w:val="12"/>
                <w:color w:val="auto"/>
              </w:rPr>
            </w:pPr>
          </w:p>
        </w:tc>
        <w:tc>
          <w:tcPr>
            <w:tcW w:w="120" w:type="dxa"/>
            <w:vAlign w:val="bottom"/>
            <w:tcBorders>
              <w:bottom w:val="single" w:sz="8" w:color="auto"/>
            </w:tcBorders>
            <w:shd w:val="clear" w:color="auto" w:fill="CBEBF4"/>
          </w:tcPr>
          <w:p>
            <w:pPr>
              <w:spacing w:after="0"/>
              <w:rPr>
                <w:sz w:val="12"/>
                <w:szCs w:val="12"/>
                <w:color w:val="auto"/>
              </w:rPr>
            </w:pPr>
          </w:p>
        </w:tc>
        <w:tc>
          <w:tcPr>
            <w:tcW w:w="600" w:type="dxa"/>
            <w:vAlign w:val="bottom"/>
            <w:tcBorders>
              <w:bottom w:val="single" w:sz="8" w:color="auto"/>
            </w:tcBorders>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2"/>
                <w:szCs w:val="12"/>
                <w:color w:val="auto"/>
              </w:rPr>
            </w:pPr>
          </w:p>
        </w:tc>
        <w:tc>
          <w:tcPr>
            <w:tcW w:w="180" w:type="dxa"/>
            <w:vAlign w:val="bottom"/>
            <w:tcBorders>
              <w:bottom w:val="single" w:sz="8" w:color="auto"/>
            </w:tcBorders>
            <w:shd w:val="clear" w:color="auto" w:fill="CBEBF4"/>
          </w:tcPr>
          <w:p>
            <w:pPr>
              <w:spacing w:after="0"/>
              <w:rPr>
                <w:sz w:val="12"/>
                <w:szCs w:val="12"/>
                <w:color w:val="auto"/>
              </w:rPr>
            </w:pPr>
          </w:p>
        </w:tc>
        <w:tc>
          <w:tcPr>
            <w:tcW w:w="580" w:type="dxa"/>
            <w:vAlign w:val="bottom"/>
            <w:tcBorders>
              <w:bottom w:val="single" w:sz="8" w:color="auto"/>
            </w:tcBorders>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2"/>
                <w:szCs w:val="12"/>
                <w:color w:val="auto"/>
              </w:rPr>
            </w:pPr>
          </w:p>
        </w:tc>
        <w:tc>
          <w:tcPr>
            <w:tcW w:w="120" w:type="dxa"/>
            <w:vAlign w:val="bottom"/>
            <w:shd w:val="clear" w:color="auto" w:fill="CBEBF4"/>
          </w:tcPr>
          <w:p>
            <w:pPr>
              <w:spacing w:after="0"/>
              <w:rPr>
                <w:sz w:val="12"/>
                <w:szCs w:val="12"/>
                <w:color w:val="auto"/>
              </w:rPr>
            </w:pPr>
          </w:p>
        </w:tc>
        <w:tc>
          <w:tcPr>
            <w:tcW w:w="100" w:type="dxa"/>
            <w:vAlign w:val="bottom"/>
            <w:tcBorders>
              <w:bottom w:val="single" w:sz="8" w:color="auto"/>
            </w:tcBorders>
            <w:shd w:val="clear" w:color="auto" w:fill="CBEBF4"/>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14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438,239</w:t>
            </w:r>
          </w:p>
        </w:tc>
        <w:tc>
          <w:tcPr>
            <w:tcW w:w="14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122,797</w:t>
            </w: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(1,216)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(548,902)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3520440</wp:posOffset>
                </wp:positionH>
                <wp:positionV relativeFrom="paragraph">
                  <wp:posOffset>-1382395</wp:posOffset>
                </wp:positionV>
                <wp:extent cx="2582545" cy="99060"/>
                <wp:wrapNone/>
                <wp:docPr id="680" name="Shape 6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2545" cy="99060"/>
                        </a:xfrm>
                        <a:prstGeom prst="rect">
                          <a:avLst/>
                        </a:prstGeom>
                        <a:solidFill>
                          <a:srgbClr val="CBEBF4"/>
                        </a:solidFill>
                      </wps:spPr>
                      <wps:bodyPr/>
                    </wps:wsp>
                  </a:graphicData>
                </a:graphic>
              </wp:anchor>
            </w:drawing>
          </mc:Choice>
          <mc:Fallback>
            <w:pict>
              <v:rect id="Shape 680" o:spid="_x0000_s1705" style="position:absolute;margin-left:277.2pt;margin-top:-108.8499pt;width:203.35pt;height: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-1193165</wp:posOffset>
                </wp:positionV>
                <wp:extent cx="2582545" cy="90805"/>
                <wp:wrapNone/>
                <wp:docPr id="681" name="Shape 6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2545" cy="90805"/>
                        </a:xfrm>
                        <a:prstGeom prst="rect">
                          <a:avLst/>
                        </a:prstGeom>
                        <a:solidFill>
                          <a:srgbClr val="CBEBF4"/>
                        </a:solidFill>
                      </wps:spPr>
                      <wps:bodyPr/>
                    </wps:wsp>
                  </a:graphicData>
                </a:graphic>
              </wp:anchor>
            </w:drawing>
          </mc:Choice>
          <mc:Fallback>
            <w:pict>
              <v:rect id="Shape 681" o:spid="_x0000_s1706" style="position:absolute;margin-left:277.2pt;margin-top:-93.9499pt;width:203.35pt;height:7.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3521075</wp:posOffset>
                </wp:positionH>
                <wp:positionV relativeFrom="paragraph">
                  <wp:posOffset>-830580</wp:posOffset>
                </wp:positionV>
                <wp:extent cx="2582545" cy="180975"/>
                <wp:wrapNone/>
                <wp:docPr id="682" name="Shape 6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2545" cy="180975"/>
                        </a:xfrm>
                        <a:prstGeom prst="rect">
                          <a:avLst/>
                        </a:prstGeom>
                        <a:solidFill>
                          <a:srgbClr val="CBEBF4"/>
                        </a:solidFill>
                      </wps:spPr>
                      <wps:bodyPr/>
                    </wps:wsp>
                  </a:graphicData>
                </a:graphic>
              </wp:anchor>
            </w:drawing>
          </mc:Choice>
          <mc:Fallback>
            <w:pict>
              <v:rect id="Shape 682" o:spid="_x0000_s1707" style="position:absolute;margin-left:277.25pt;margin-top:-65.3999pt;width:203.3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-468630</wp:posOffset>
                </wp:positionV>
                <wp:extent cx="2582545" cy="90170"/>
                <wp:wrapNone/>
                <wp:docPr id="683" name="Shape 6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2545" cy="90170"/>
                        </a:xfrm>
                        <a:prstGeom prst="rect">
                          <a:avLst/>
                        </a:prstGeom>
                        <a:solidFill>
                          <a:srgbClr val="CBEBF4"/>
                        </a:solidFill>
                      </wps:spPr>
                      <wps:bodyPr/>
                    </wps:wsp>
                  </a:graphicData>
                </a:graphic>
              </wp:anchor>
            </w:drawing>
          </mc:Choice>
          <mc:Fallback>
            <w:pict>
              <v:rect id="Shape 683" o:spid="_x0000_s1708" style="position:absolute;margin-left:277.2pt;margin-top:-36.8999pt;width:203.35pt;height:7.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3520440</wp:posOffset>
                </wp:positionH>
                <wp:positionV relativeFrom="paragraph">
                  <wp:posOffset>-197485</wp:posOffset>
                </wp:positionV>
                <wp:extent cx="2582545" cy="90805"/>
                <wp:wrapNone/>
                <wp:docPr id="684" name="Shape 6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2545" cy="90805"/>
                        </a:xfrm>
                        <a:prstGeom prst="rect">
                          <a:avLst/>
                        </a:prstGeom>
                        <a:solidFill>
                          <a:srgbClr val="CBEBF4"/>
                        </a:solidFill>
                      </wps:spPr>
                      <wps:bodyPr/>
                    </wps:wsp>
                  </a:graphicData>
                </a:graphic>
              </wp:anchor>
            </w:drawing>
          </mc:Choice>
          <mc:Fallback>
            <w:pict>
              <v:rect id="Shape 684" o:spid="_x0000_s1709" style="position:absolute;margin-left:277.2pt;margin-top:-15.5499pt;width:203.35pt;height:7.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1312545</wp:posOffset>
                </wp:positionH>
                <wp:positionV relativeFrom="paragraph">
                  <wp:posOffset>-1572260</wp:posOffset>
                </wp:positionV>
                <wp:extent cx="15875" cy="0"/>
                <wp:wrapNone/>
                <wp:docPr id="685" name="Shape 6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85" o:spid="_x0000_s17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35pt,-123.7999pt" to="104.6pt,-123.7999pt" o:allowincell="f" strokecolor="#FFFFFF" strokeweight="1.25pt"/>
            </w:pict>
          </mc:Fallback>
        </mc:AlternateContent>
        <mc:AlternateContent>
          <mc:Choice Requires="wps">
            <w:drawing>
              <wp:anchor simplePos="0" relativeHeight="251657728" behindDoc="1" locked="0" layoutInCell="0" allowOverlap="1">
                <wp:simplePos x="0" y="0"/>
                <wp:positionH relativeFrom="column">
                  <wp:posOffset>1318895</wp:posOffset>
                </wp:positionH>
                <wp:positionV relativeFrom="paragraph">
                  <wp:posOffset>-1572260</wp:posOffset>
                </wp:positionV>
                <wp:extent cx="3175" cy="0"/>
                <wp:wrapNone/>
                <wp:docPr id="686" name="Shape 6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86" o:spid="_x0000_s17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3.85pt,-123.7999pt" to="104.1pt,-123.7999pt" o:allowincell="f" strokecolor="#000000" strokeweight="0.25pt"/>
            </w:pict>
          </mc:Fallback>
        </mc:AlternateContent>
      </w:r>
    </w:p>
    <w:p>
      <w:pPr>
        <w:jc w:val="both"/>
        <w:spacing w:after="0" w:line="215" w:lineRule="auto"/>
        <w:tabs>
          <w:tab w:leader="none" w:pos="32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41,505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-76835</wp:posOffset>
                </wp:positionV>
                <wp:extent cx="485140" cy="0"/>
                <wp:wrapNone/>
                <wp:docPr id="687" name="Shape 6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4763"/>
                        </a:xfrm>
                        <a:prstGeom prst="line">
                          <a:avLst/>
                        </a:prstGeom>
                        <a:solidFill>
                          <a:srgbClr val="FFFFFF"/>
                        </a:solidFill>
                        <a:ln w="8238">
                          <a:solidFill>
                            <a:srgbClr val="000000"/>
                          </a:solidFill>
                          <a:miter lim="800000"/>
                          <a:headEnd/>
                          <a:tailEnd/>
                        </a:ln>
                      </wps:spPr>
                      <wps:bodyPr/>
                    </wps:wsp>
                  </a:graphicData>
                </a:graphic>
              </wp:anchor>
            </w:drawing>
          </mc:Choice>
          <mc:Fallback>
            <w:pict>
              <v:line id="Shape 687" o:spid="_x0000_s17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0499pt" to="38.55pt,-6.0499pt" o:allowincell="f" strokecolor="#000000" strokeweight="0.6487pt"/>
            </w:pict>
          </mc:Fallback>
        </mc:AlternateContent>
      </w:r>
    </w:p>
    <w:p>
      <w:pPr>
        <w:jc w:val="right"/>
        <w:ind w:right="60"/>
        <w:spacing w:after="0" w:line="213" w:lineRule="auto"/>
        <w:rPr>
          <w:sz w:val="20"/>
          <w:szCs w:val="20"/>
          <w:color w:val="auto"/>
        </w:rPr>
      </w:pPr>
      <w:r>
        <w:rPr>
          <w:rFonts w:ascii="Times New Roman" w:cs="Times New Roman" w:eastAsia="Times New Roman" w:hAnsi="Times New Roman"/>
          <w:sz w:val="14"/>
          <w:szCs w:val="14"/>
          <w:color w:val="auto"/>
        </w:rPr>
        <w:t>15,910</w:t>
      </w:r>
    </w:p>
    <w:p>
      <w:pPr>
        <w:jc w:val="right"/>
        <w:ind w:right="60"/>
        <w:spacing w:after="0"/>
        <w:rPr>
          <w:sz w:val="20"/>
          <w:szCs w:val="20"/>
          <w:color w:val="auto"/>
        </w:rPr>
      </w:pPr>
      <w:r>
        <w:rPr>
          <w:rFonts w:ascii="Times New Roman" w:cs="Times New Roman" w:eastAsia="Times New Roman" w:hAnsi="Times New Roman"/>
          <w:sz w:val="14"/>
          <w:szCs w:val="14"/>
          <w:color w:val="auto"/>
        </w:rPr>
        <w:t>116</w:t>
      </w: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14,599</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30</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102</w:t>
      </w:r>
    </w:p>
    <w:p>
      <w:pPr>
        <w:jc w:val="right"/>
        <w:ind w:right="60"/>
        <w:spacing w:after="0"/>
        <w:rPr>
          <w:sz w:val="20"/>
          <w:szCs w:val="20"/>
          <w:color w:val="auto"/>
        </w:rPr>
      </w:pPr>
      <w:r>
        <w:rPr>
          <w:rFonts w:ascii="Times New Roman" w:cs="Times New Roman" w:eastAsia="Times New Roman" w:hAnsi="Times New Roman"/>
          <w:sz w:val="14"/>
          <w:szCs w:val="14"/>
          <w:color w:val="auto"/>
        </w:rPr>
        <w:t>77</w:t>
      </w:r>
    </w:p>
    <w:p>
      <w:pPr>
        <w:spacing w:after="0" w:line="10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12,360</w:t>
      </w:r>
    </w:p>
    <w:p>
      <w:pPr>
        <w:ind w:right="20" w:firstLine="293"/>
        <w:spacing w:after="0" w:line="311" w:lineRule="auto"/>
        <w:rPr>
          <w:sz w:val="20"/>
          <w:szCs w:val="20"/>
          <w:color w:val="auto"/>
        </w:rPr>
      </w:pPr>
      <w:r>
        <w:rPr>
          <w:rFonts w:ascii="Times New Roman" w:cs="Times New Roman" w:eastAsia="Times New Roman" w:hAnsi="Times New Roman"/>
          <w:sz w:val="13"/>
          <w:szCs w:val="13"/>
          <w:color w:val="auto"/>
        </w:rPr>
        <w:t xml:space="preserve">(73,781) </w:t>
      </w:r>
      <w:r>
        <w:rPr>
          <w:rFonts w:ascii="Times New Roman" w:cs="Times New Roman" w:eastAsia="Times New Roman" w:hAnsi="Times New Roman"/>
          <w:sz w:val="13"/>
          <w:szCs w:val="13"/>
          <w:b w:val="1"/>
          <w:bCs w:val="1"/>
          <w:color w:val="auto"/>
        </w:rPr>
        <w:t>$ 10,918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-34925</wp:posOffset>
                </wp:positionV>
                <wp:extent cx="485140" cy="0"/>
                <wp:wrapNone/>
                <wp:docPr id="688" name="Shape 6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4763"/>
                        </a:xfrm>
                        <a:prstGeom prst="line">
                          <a:avLst/>
                        </a:prstGeom>
                        <a:solidFill>
                          <a:srgbClr val="FFFFFF"/>
                        </a:solidFill>
                        <a:ln w="8226">
                          <a:solidFill>
                            <a:srgbClr val="000000"/>
                          </a:solidFill>
                          <a:miter lim="800000"/>
                          <a:headEnd/>
                          <a:tailEnd/>
                        </a:ln>
                      </wps:spPr>
                      <wps:bodyPr/>
                    </wps:wsp>
                  </a:graphicData>
                </a:graphic>
              </wp:anchor>
            </w:drawing>
          </mc:Choice>
          <mc:Fallback>
            <w:pict>
              <v:line id="Shape 688" o:spid="_x0000_s17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7499pt" to="38.55pt,-2.7499pt" o:allowincell="f" strokecolor="#000000" strokeweight="0.6477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-133985</wp:posOffset>
                </wp:positionV>
                <wp:extent cx="485140" cy="0"/>
                <wp:wrapNone/>
                <wp:docPr id="689" name="Shape 6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5140" cy="4763"/>
                        </a:xfrm>
                        <a:prstGeom prst="line">
                          <a:avLst/>
                        </a:prstGeom>
                        <a:solidFill>
                          <a:srgbClr val="FFFFFF"/>
                        </a:solidFill>
                        <a:ln w="8227">
                          <a:solidFill>
                            <a:srgbClr val="000000"/>
                          </a:solidFill>
                          <a:miter lim="800000"/>
                          <a:headEnd/>
                          <a:tailEnd/>
                        </a:ln>
                      </wps:spPr>
                      <wps:bodyPr/>
                    </wps:wsp>
                  </a:graphicData>
                </a:graphic>
              </wp:anchor>
            </w:drawing>
          </mc:Choice>
          <mc:Fallback>
            <w:pict>
              <v:line id="Shape 689" o:spid="_x0000_s17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0.5499pt" to="38.55pt,-10.5499pt" o:allowincell="f" strokecolor="#000000" strokeweight="0.6478pt"/>
            </w:pict>
          </mc:Fallback>
        </mc:AlternateContent>
      </w:r>
    </w:p>
    <w:p>
      <w:pPr>
        <w:spacing w:after="0" w:line="136" w:lineRule="exact"/>
        <w:rPr>
          <w:sz w:val="20"/>
          <w:szCs w:val="20"/>
          <w:color w:val="auto"/>
        </w:rPr>
      </w:pPr>
    </w:p>
    <w:p>
      <w:pPr>
        <w:sectPr>
          <w:pgSz w:w="12240" w:h="15840" w:orient="portrait"/>
          <w:cols w:equalWidth="0" w:num="2">
            <w:col w:w="8700" w:space="140"/>
            <w:col w:w="780"/>
          </w:cols>
          <w:pgMar w:left="1320" w:top="1324" w:right="1300" w:bottom="1440" w:gutter="0" w:footer="0" w:header="0"/>
        </w:sectPr>
      </w:pPr>
    </w:p>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00" w:type="dxa"/>
            <w:vAlign w:val="bottom"/>
          </w:tcPr>
          <w:p>
            <w:pPr>
              <w:jc w:val="right"/>
              <w:ind w:right="131"/>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060" w:type="dxa"/>
            <w:vAlign w:val="bottom"/>
            <w:gridSpan w:val="3"/>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0" w:type="dxa"/>
            <w:vAlign w:val="bottom"/>
          </w:tcPr>
          <w:p>
            <w:pPr>
              <w:spacing w:after="0"/>
              <w:rPr>
                <w:sz w:val="12"/>
                <w:szCs w:val="12"/>
                <w:color w:val="auto"/>
              </w:rPr>
            </w:pPr>
          </w:p>
        </w:tc>
        <w:tc>
          <w:tcPr>
            <w:tcW w:w="13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600" w:type="dxa"/>
            <w:vAlign w:val="bottom"/>
            <w:tcBorders>
              <w:top w:val="single" w:sz="8" w:color="auto"/>
            </w:tcBorders>
            <w:shd w:val="clear" w:color="auto" w:fill="CBEBF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top w:val="single" w:sz="8" w:color="CBEBF4"/>
            </w:tcBorders>
            <w:shd w:val="clear" w:color="auto" w:fill="CBEBF4"/>
          </w:tcPr>
          <w:p>
            <w:pPr>
              <w:spacing w:after="0"/>
              <w:rPr>
                <w:sz w:val="11"/>
                <w:szCs w:val="11"/>
                <w:color w:val="auto"/>
              </w:rPr>
            </w:pPr>
          </w:p>
        </w:tc>
        <w:tc>
          <w:tcPr>
            <w:tcW w:w="80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225,432,493</w:t>
            </w:r>
          </w:p>
        </w:tc>
        <w:tc>
          <w:tcPr>
            <w:tcW w:w="140" w:type="dxa"/>
            <w:vAlign w:val="bottom"/>
            <w:tcBorders>
              <w:top w:val="single" w:sz="8" w:color="CBEBF4"/>
            </w:tcBorders>
            <w:shd w:val="clear" w:color="auto" w:fill="CBEBF4"/>
          </w:tcPr>
          <w:p>
            <w:pPr>
              <w:spacing w:after="0"/>
              <w:rPr>
                <w:sz w:val="11"/>
                <w:szCs w:val="11"/>
                <w:color w:val="auto"/>
              </w:rPr>
            </w:pPr>
          </w:p>
        </w:tc>
        <w:tc>
          <w:tcPr>
            <w:tcW w:w="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296,051</w:t>
            </w:r>
          </w:p>
        </w:tc>
        <w:tc>
          <w:tcPr>
            <w:tcW w:w="140" w:type="dxa"/>
            <w:vAlign w:val="bottom"/>
            <w:tcBorders>
              <w:top w:val="single" w:sz="8" w:color="CBEBF4"/>
            </w:tcBorders>
            <w:shd w:val="clear" w:color="auto" w:fill="CBEBF4"/>
          </w:tcPr>
          <w:p>
            <w:pPr>
              <w:spacing w:after="0"/>
              <w:rPr>
                <w:sz w:val="11"/>
                <w:szCs w:val="11"/>
                <w:color w:val="auto"/>
              </w:rPr>
            </w:pPr>
          </w:p>
        </w:tc>
        <w:tc>
          <w:tcPr>
            <w:tcW w:w="180" w:type="dxa"/>
            <w:vAlign w:val="bottom"/>
            <w:tcBorders>
              <w:top w:val="single" w:sz="8" w:color="auto"/>
            </w:tcBorders>
            <w:shd w:val="clear" w:color="auto" w:fill="CBEBF4"/>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BEBF4"/>
          </w:tcPr>
          <w:p>
            <w:pPr>
              <w:spacing w:after="0"/>
              <w:rPr>
                <w:sz w:val="11"/>
                <w:szCs w:val="11"/>
                <w:color w:val="auto"/>
              </w:rPr>
            </w:pPr>
          </w:p>
        </w:tc>
        <w:tc>
          <w:tcPr>
            <w:tcW w:w="120" w:type="dxa"/>
            <w:vAlign w:val="bottom"/>
            <w:tcBorders>
              <w:top w:val="single" w:sz="8" w:color="CBEBF4"/>
            </w:tcBorders>
            <w:shd w:val="clear" w:color="auto" w:fill="CBEBF4"/>
          </w:tcPr>
          <w:p>
            <w:pPr>
              <w:spacing w:after="0"/>
              <w:rPr>
                <w:sz w:val="11"/>
                <w:szCs w:val="11"/>
                <w:color w:val="auto"/>
              </w:rPr>
            </w:pPr>
          </w:p>
        </w:tc>
        <w:tc>
          <w:tcPr>
            <w:tcW w:w="100" w:type="dxa"/>
            <w:vAlign w:val="bottom"/>
            <w:tcBorders>
              <w:top w:val="single" w:sz="8" w:color="auto"/>
            </w:tcBorders>
            <w:shd w:val="clear" w:color="auto" w:fill="CBEBF4"/>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102,073</w:t>
            </w:r>
          </w:p>
        </w:tc>
        <w:tc>
          <w:tcPr>
            <w:tcW w:w="140" w:type="dxa"/>
            <w:vAlign w:val="bottom"/>
            <w:tcBorders>
              <w:top w:val="single" w:sz="8" w:color="CBEBF4"/>
            </w:tcBorders>
            <w:shd w:val="clear" w:color="auto" w:fill="CBEBF4"/>
          </w:tcPr>
          <w:p>
            <w:pPr>
              <w:spacing w:after="0"/>
              <w:rPr>
                <w:sz w:val="11"/>
                <w:szCs w:val="11"/>
                <w:color w:val="auto"/>
              </w:rPr>
            </w:pPr>
          </w:p>
        </w:tc>
        <w:tc>
          <w:tcPr>
            <w:tcW w:w="8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BEBF4"/>
            </w:tcBorders>
            <w:shd w:val="clear" w:color="auto" w:fill="CBEBF4"/>
          </w:tcPr>
          <w:p>
            <w:pPr>
              <w:spacing w:after="0"/>
              <w:rPr>
                <w:sz w:val="11"/>
                <w:szCs w:val="11"/>
                <w:color w:val="auto"/>
              </w:rPr>
            </w:pPr>
          </w:p>
        </w:tc>
        <w:tc>
          <w:tcPr>
            <w:tcW w:w="1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(304,157)</w:t>
            </w:r>
          </w:p>
        </w:tc>
        <w:tc>
          <w:tcPr>
            <w:tcW w:w="140" w:type="dxa"/>
            <w:vAlign w:val="bottom"/>
            <w:tcBorders>
              <w:top w:val="single" w:sz="8" w:color="CBEBF4"/>
            </w:tcBorders>
            <w:shd w:val="clear" w:color="auto" w:fill="CBEBF4"/>
          </w:tcPr>
          <w:p>
            <w:pPr>
              <w:spacing w:after="0"/>
              <w:rPr>
                <w:sz w:val="11"/>
                <w:szCs w:val="11"/>
                <w:color w:val="auto"/>
              </w:rPr>
            </w:pPr>
          </w:p>
        </w:tc>
        <w:tc>
          <w:tcPr>
            <w:tcW w:w="140" w:type="dxa"/>
            <w:vAlign w:val="bottom"/>
            <w:tcBorders>
              <w:top w:val="single" w:sz="8" w:color="auto"/>
            </w:tcBorders>
            <w:shd w:val="clear" w:color="auto" w:fill="CBEBF4"/>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auto"/>
            </w:tcBorders>
            <w:shd w:val="clear" w:color="auto" w:fill="CBEBF4"/>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43"/>
        </w:trPr>
        <w:tc>
          <w:tcPr>
            <w:tcW w:w="27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Vesting of Allseas Warrant</w:t>
            </w:r>
          </w:p>
        </w:tc>
        <w:tc>
          <w:tcPr>
            <w:tcW w:w="8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69,900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69,900</w:t>
            </w:r>
          </w:p>
        </w:tc>
        <w:tc>
          <w:tcPr>
            <w:tcW w:w="0" w:type="dxa"/>
            <w:vAlign w:val="bottom"/>
          </w:tcPr>
          <w:p>
            <w:pPr>
              <w:spacing w:after="0"/>
              <w:rPr>
                <w:sz w:val="1"/>
                <w:szCs w:val="1"/>
                <w:color w:val="auto"/>
              </w:rPr>
            </w:pPr>
          </w:p>
        </w:tc>
      </w:tr>
      <w:tr>
        <w:trPr>
          <w:trHeight w:val="117"/>
        </w:trPr>
        <w:tc>
          <w:tcPr>
            <w:tcW w:w="2740" w:type="dxa"/>
            <w:vAlign w:val="bottom"/>
            <w:gridSpan w:val="2"/>
            <w:shd w:val="clear" w:color="auto" w:fill="CBEBF4"/>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PIPE financing - net</w:t>
            </w:r>
          </w:p>
        </w:tc>
        <w:tc>
          <w:tcPr>
            <w:tcW w:w="8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38,266,180</w:t>
            </w:r>
          </w:p>
        </w:tc>
        <w:tc>
          <w:tcPr>
            <w:tcW w:w="14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6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140" w:type="dxa"/>
            <w:vAlign w:val="bottom"/>
            <w:shd w:val="clear" w:color="auto" w:fill="CBEBF4"/>
          </w:tcPr>
          <w:p>
            <w:pPr>
              <w:spacing w:after="0"/>
              <w:rPr>
                <w:sz w:val="10"/>
                <w:szCs w:val="10"/>
                <w:color w:val="auto"/>
              </w:rPr>
            </w:pPr>
          </w:p>
        </w:tc>
        <w:tc>
          <w:tcPr>
            <w:tcW w:w="180" w:type="dxa"/>
            <w:vAlign w:val="bottom"/>
            <w:shd w:val="clear" w:color="auto" w:fill="CBEBF4"/>
          </w:tcPr>
          <w:p>
            <w:pPr>
              <w:spacing w:after="0"/>
              <w:rPr>
                <w:sz w:val="10"/>
                <w:szCs w:val="10"/>
                <w:color w:val="auto"/>
              </w:rPr>
            </w:pPr>
          </w:p>
        </w:tc>
        <w:tc>
          <w:tcPr>
            <w:tcW w:w="5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0"/>
                <w:szCs w:val="10"/>
                <w:color w:val="auto"/>
              </w:rPr>
            </w:pP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8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126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140" w:type="dxa"/>
            <w:vAlign w:val="bottom"/>
            <w:shd w:val="clear" w:color="auto" w:fill="CBEBF4"/>
          </w:tcPr>
          <w:p>
            <w:pPr>
              <w:spacing w:after="0"/>
              <w:rPr>
                <w:sz w:val="10"/>
                <w:szCs w:val="10"/>
                <w:color w:val="auto"/>
              </w:rPr>
            </w:pPr>
          </w:p>
        </w:tc>
        <w:tc>
          <w:tcPr>
            <w:tcW w:w="6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0" w:type="dxa"/>
            <w:vAlign w:val="bottom"/>
          </w:tcPr>
          <w:p>
            <w:pPr>
              <w:spacing w:after="0"/>
              <w:rPr>
                <w:sz w:val="1"/>
                <w:szCs w:val="1"/>
                <w:color w:val="auto"/>
              </w:rPr>
            </w:pPr>
          </w:p>
        </w:tc>
      </w:tr>
      <w:tr>
        <w:trPr>
          <w:trHeight w:val="168"/>
        </w:trPr>
        <w:tc>
          <w:tcPr>
            <w:tcW w:w="2740" w:type="dxa"/>
            <w:vAlign w:val="bottom"/>
            <w:gridSpan w:val="2"/>
            <w:shd w:val="clear" w:color="auto" w:fill="CBEBF4"/>
          </w:tcPr>
          <w:p>
            <w:pPr>
              <w:ind w:left="120"/>
              <w:spacing w:after="0"/>
              <w:rPr>
                <w:sz w:val="20"/>
                <w:szCs w:val="20"/>
                <w:color w:val="auto"/>
              </w:rPr>
            </w:pPr>
            <w:r>
              <w:rPr>
                <w:rFonts w:ascii="Times New Roman" w:cs="Times New Roman" w:eastAsia="Times New Roman" w:hAnsi="Times New Roman"/>
                <w:sz w:val="14"/>
                <w:szCs w:val="14"/>
                <w:color w:val="auto"/>
              </w:rPr>
              <w:t>of expenses (Note 12)</w:t>
            </w:r>
          </w:p>
        </w:tc>
        <w:tc>
          <w:tcPr>
            <w:tcW w:w="80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80" w:type="dxa"/>
            <w:vAlign w:val="bottom"/>
            <w:shd w:val="clear" w:color="auto" w:fill="CBEBF4"/>
          </w:tcPr>
          <w:p>
            <w:pPr>
              <w:spacing w:after="0"/>
              <w:rPr>
                <w:sz w:val="14"/>
                <w:szCs w:val="14"/>
                <w:color w:val="auto"/>
              </w:rPr>
            </w:pPr>
          </w:p>
        </w:tc>
        <w:tc>
          <w:tcPr>
            <w:tcW w:w="64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80" w:type="dxa"/>
            <w:vAlign w:val="bottom"/>
            <w:shd w:val="clear" w:color="auto" w:fill="CBEBF4"/>
          </w:tcPr>
          <w:p>
            <w:pPr>
              <w:spacing w:after="0"/>
              <w:rPr>
                <w:sz w:val="14"/>
                <w:szCs w:val="14"/>
                <w:color w:val="auto"/>
              </w:rPr>
            </w:pPr>
          </w:p>
        </w:tc>
        <w:tc>
          <w:tcPr>
            <w:tcW w:w="580" w:type="dxa"/>
            <w:vAlign w:val="bottom"/>
            <w:vMerge w:val="continue"/>
            <w:shd w:val="clear" w:color="auto" w:fill="CBEBF4"/>
          </w:tcPr>
          <w:p>
            <w:pPr>
              <w:spacing w:after="0"/>
              <w:rPr>
                <w:sz w:val="14"/>
                <w:szCs w:val="14"/>
                <w:color w:val="auto"/>
              </w:rPr>
            </w:pPr>
          </w:p>
        </w:tc>
        <w:tc>
          <w:tcPr>
            <w:tcW w:w="20" w:type="dxa"/>
            <w:vAlign w:val="bottom"/>
            <w:shd w:val="clear" w:color="auto" w:fill="CBEBF4"/>
          </w:tcPr>
          <w:p>
            <w:pPr>
              <w:spacing w:after="0"/>
              <w:rPr>
                <w:sz w:val="14"/>
                <w:szCs w:val="14"/>
                <w:color w:val="auto"/>
              </w:rPr>
            </w:pPr>
          </w:p>
        </w:tc>
        <w:tc>
          <w:tcPr>
            <w:tcW w:w="120" w:type="dxa"/>
            <w:vAlign w:val="bottom"/>
            <w:shd w:val="clear" w:color="auto" w:fill="CBEBF4"/>
          </w:tcPr>
          <w:p>
            <w:pPr>
              <w:spacing w:after="0"/>
              <w:rPr>
                <w:sz w:val="14"/>
                <w:szCs w:val="14"/>
                <w:color w:val="auto"/>
              </w:rPr>
            </w:pPr>
          </w:p>
        </w:tc>
        <w:tc>
          <w:tcPr>
            <w:tcW w:w="100" w:type="dxa"/>
            <w:vAlign w:val="bottom"/>
            <w:shd w:val="clear" w:color="auto" w:fill="CBEBF4"/>
          </w:tcPr>
          <w:p>
            <w:pPr>
              <w:spacing w:after="0"/>
              <w:rPr>
                <w:sz w:val="14"/>
                <w:szCs w:val="14"/>
                <w:color w:val="auto"/>
              </w:rPr>
            </w:pPr>
          </w:p>
        </w:tc>
        <w:tc>
          <w:tcPr>
            <w:tcW w:w="84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80" w:type="dxa"/>
            <w:vAlign w:val="bottom"/>
            <w:shd w:val="clear" w:color="auto" w:fill="CBEBF4"/>
          </w:tcPr>
          <w:p>
            <w:pPr>
              <w:spacing w:after="0"/>
              <w:rPr>
                <w:sz w:val="14"/>
                <w:szCs w:val="14"/>
                <w:color w:val="auto"/>
              </w:rPr>
            </w:pPr>
          </w:p>
        </w:tc>
        <w:tc>
          <w:tcPr>
            <w:tcW w:w="126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00" w:type="dxa"/>
            <w:vAlign w:val="bottom"/>
            <w:shd w:val="clear" w:color="auto" w:fill="CBEBF4"/>
          </w:tcPr>
          <w:p>
            <w:pPr>
              <w:spacing w:after="0"/>
              <w:rPr>
                <w:sz w:val="14"/>
                <w:szCs w:val="14"/>
                <w:color w:val="auto"/>
              </w:rPr>
            </w:pPr>
          </w:p>
        </w:tc>
        <w:tc>
          <w:tcPr>
            <w:tcW w:w="60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640" w:type="dxa"/>
            <w:vAlign w:val="bottom"/>
            <w:vMerge w:val="continue"/>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7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Conversion of restricted share units, net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2,877,068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6,875</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8"/>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shares withheld for taxes</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740" w:type="dxa"/>
            <w:vAlign w:val="bottom"/>
            <w:gridSpan w:val="2"/>
            <w:shd w:val="clear" w:color="auto" w:fill="CBEBF4"/>
          </w:tcPr>
          <w:p>
            <w:pPr>
              <w:spacing w:after="0" w:line="143" w:lineRule="exact"/>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118,461</w:t>
            </w:r>
          </w:p>
        </w:tc>
        <w:tc>
          <w:tcPr>
            <w:tcW w:w="14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64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142</w:t>
            </w:r>
          </w:p>
        </w:tc>
        <w:tc>
          <w:tcPr>
            <w:tcW w:w="140" w:type="dxa"/>
            <w:vAlign w:val="bottom"/>
            <w:shd w:val="clear" w:color="auto" w:fill="CBEBF4"/>
          </w:tcPr>
          <w:p>
            <w:pPr>
              <w:spacing w:after="0"/>
              <w:rPr>
                <w:sz w:val="12"/>
                <w:szCs w:val="12"/>
                <w:color w:val="auto"/>
              </w:rPr>
            </w:pPr>
          </w:p>
        </w:tc>
        <w:tc>
          <w:tcPr>
            <w:tcW w:w="180" w:type="dxa"/>
            <w:vAlign w:val="bottom"/>
            <w:shd w:val="clear" w:color="auto" w:fill="CBEBF4"/>
          </w:tcPr>
          <w:p>
            <w:pPr>
              <w:spacing w:after="0"/>
              <w:rPr>
                <w:sz w:val="12"/>
                <w:szCs w:val="12"/>
                <w:color w:val="auto"/>
              </w:rPr>
            </w:pPr>
          </w:p>
        </w:tc>
        <w:tc>
          <w:tcPr>
            <w:tcW w:w="58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2"/>
                <w:szCs w:val="12"/>
                <w:color w:val="auto"/>
              </w:rPr>
            </w:pPr>
          </w:p>
        </w:tc>
        <w:tc>
          <w:tcPr>
            <w:tcW w:w="120" w:type="dxa"/>
            <w:vAlign w:val="bottom"/>
            <w:shd w:val="clear" w:color="auto" w:fill="CBEBF4"/>
          </w:tcPr>
          <w:p>
            <w:pPr>
              <w:spacing w:after="0"/>
              <w:rPr>
                <w:sz w:val="12"/>
                <w:szCs w:val="12"/>
                <w:color w:val="auto"/>
              </w:rPr>
            </w:pPr>
          </w:p>
        </w:tc>
        <w:tc>
          <w:tcPr>
            <w:tcW w:w="100" w:type="dxa"/>
            <w:vAlign w:val="bottom"/>
            <w:shd w:val="clear" w:color="auto" w:fill="CBEBF4"/>
          </w:tcPr>
          <w:p>
            <w:pPr>
              <w:spacing w:after="0"/>
              <w:rPr>
                <w:sz w:val="12"/>
                <w:szCs w:val="12"/>
                <w:color w:val="auto"/>
              </w:rPr>
            </w:pPr>
          </w:p>
        </w:tc>
        <w:tc>
          <w:tcPr>
            <w:tcW w:w="84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BEBF4"/>
          </w:tcPr>
          <w:p>
            <w:pPr>
              <w:spacing w:after="0"/>
              <w:rPr>
                <w:sz w:val="12"/>
                <w:szCs w:val="12"/>
                <w:color w:val="auto"/>
              </w:rPr>
            </w:pPr>
          </w:p>
        </w:tc>
        <w:tc>
          <w:tcPr>
            <w:tcW w:w="80" w:type="dxa"/>
            <w:vAlign w:val="bottom"/>
            <w:shd w:val="clear" w:color="auto" w:fill="CBEBF4"/>
          </w:tcPr>
          <w:p>
            <w:pPr>
              <w:spacing w:after="0"/>
              <w:rPr>
                <w:sz w:val="12"/>
                <w:szCs w:val="12"/>
                <w:color w:val="auto"/>
              </w:rPr>
            </w:pPr>
          </w:p>
        </w:tc>
        <w:tc>
          <w:tcPr>
            <w:tcW w:w="126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2"/>
                <w:szCs w:val="12"/>
                <w:color w:val="auto"/>
              </w:rPr>
            </w:pPr>
          </w:p>
        </w:tc>
        <w:tc>
          <w:tcPr>
            <w:tcW w:w="100" w:type="dxa"/>
            <w:vAlign w:val="bottom"/>
            <w:shd w:val="clear" w:color="auto" w:fill="CBEBF4"/>
          </w:tcPr>
          <w:p>
            <w:pPr>
              <w:spacing w:after="0"/>
              <w:rPr>
                <w:sz w:val="12"/>
                <w:szCs w:val="12"/>
                <w:color w:val="auto"/>
              </w:rPr>
            </w:pPr>
          </w:p>
        </w:tc>
        <w:tc>
          <w:tcPr>
            <w:tcW w:w="60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2"/>
                <w:szCs w:val="12"/>
                <w:color w:val="auto"/>
              </w:rPr>
            </w:pPr>
          </w:p>
        </w:tc>
        <w:tc>
          <w:tcPr>
            <w:tcW w:w="140" w:type="dxa"/>
            <w:vAlign w:val="bottom"/>
            <w:shd w:val="clear" w:color="auto" w:fill="CBEBF4"/>
          </w:tcPr>
          <w:p>
            <w:pPr>
              <w:spacing w:after="0"/>
              <w:rPr>
                <w:sz w:val="12"/>
                <w:szCs w:val="12"/>
                <w:color w:val="auto"/>
              </w:rPr>
            </w:pPr>
          </w:p>
        </w:tc>
        <w:tc>
          <w:tcPr>
            <w:tcW w:w="640" w:type="dxa"/>
            <w:vAlign w:val="bottom"/>
            <w:shd w:val="clear" w:color="auto" w:fill="CBEBF4"/>
          </w:tcPr>
          <w:p>
            <w:pPr>
              <w:jc w:val="right"/>
              <w:spacing w:after="0" w:line="143"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17"/>
        </w:trPr>
        <w:tc>
          <w:tcPr>
            <w:tcW w:w="27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Shares purchased under Employee Share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117,929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69"/>
        </w:trPr>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740" w:type="dxa"/>
            <w:vAlign w:val="bottom"/>
            <w:gridSpan w:val="2"/>
            <w:shd w:val="clear" w:color="auto" w:fill="CBEBF4"/>
          </w:tcPr>
          <w:p>
            <w:pPr>
              <w:ind w:left="100"/>
              <w:spacing w:after="0" w:line="117" w:lineRule="exact"/>
              <w:rPr>
                <w:sz w:val="20"/>
                <w:szCs w:val="20"/>
                <w:color w:val="auto"/>
              </w:rPr>
            </w:pPr>
            <w:r>
              <w:rPr>
                <w:rFonts w:ascii="Times New Roman" w:cs="Times New Roman" w:eastAsia="Times New Roman" w:hAnsi="Times New Roman"/>
                <w:sz w:val="13"/>
                <w:szCs w:val="13"/>
                <w:color w:val="auto"/>
              </w:rPr>
              <w:t>Share-based compensation and Expenses</w:t>
            </w:r>
          </w:p>
        </w:tc>
        <w:tc>
          <w:tcPr>
            <w:tcW w:w="8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6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180" w:type="dxa"/>
            <w:vAlign w:val="bottom"/>
            <w:shd w:val="clear" w:color="auto" w:fill="CBEBF4"/>
          </w:tcPr>
          <w:p>
            <w:pPr>
              <w:spacing w:after="0"/>
              <w:rPr>
                <w:sz w:val="10"/>
                <w:szCs w:val="10"/>
                <w:color w:val="auto"/>
              </w:rPr>
            </w:pPr>
          </w:p>
        </w:tc>
        <w:tc>
          <w:tcPr>
            <w:tcW w:w="5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BEBF4"/>
          </w:tcPr>
          <w:p>
            <w:pPr>
              <w:spacing w:after="0"/>
              <w:rPr>
                <w:sz w:val="10"/>
                <w:szCs w:val="10"/>
                <w:color w:val="auto"/>
              </w:rPr>
            </w:pP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8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20,077</w:t>
            </w:r>
          </w:p>
        </w:tc>
        <w:tc>
          <w:tcPr>
            <w:tcW w:w="14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126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BEBF4"/>
          </w:tcPr>
          <w:p>
            <w:pPr>
              <w:spacing w:after="0"/>
              <w:rPr>
                <w:sz w:val="10"/>
                <w:szCs w:val="10"/>
                <w:color w:val="auto"/>
              </w:rPr>
            </w:pPr>
          </w:p>
        </w:tc>
        <w:tc>
          <w:tcPr>
            <w:tcW w:w="140" w:type="dxa"/>
            <w:vAlign w:val="bottom"/>
            <w:shd w:val="clear" w:color="auto" w:fill="CBEBF4"/>
          </w:tcPr>
          <w:p>
            <w:pPr>
              <w:spacing w:after="0"/>
              <w:rPr>
                <w:sz w:val="10"/>
                <w:szCs w:val="10"/>
                <w:color w:val="auto"/>
              </w:rPr>
            </w:pPr>
          </w:p>
        </w:tc>
        <w:tc>
          <w:tcPr>
            <w:tcW w:w="6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4"/>
                <w:szCs w:val="14"/>
                <w:color w:val="auto"/>
              </w:rPr>
              <w:t>20,077</w:t>
            </w:r>
          </w:p>
        </w:tc>
        <w:tc>
          <w:tcPr>
            <w:tcW w:w="0" w:type="dxa"/>
            <w:vAlign w:val="bottom"/>
          </w:tcPr>
          <w:p>
            <w:pPr>
              <w:spacing w:after="0"/>
              <w:rPr>
                <w:sz w:val="1"/>
                <w:szCs w:val="1"/>
                <w:color w:val="auto"/>
              </w:rPr>
            </w:pPr>
          </w:p>
        </w:tc>
      </w:tr>
      <w:tr>
        <w:trPr>
          <w:trHeight w:val="168"/>
        </w:trPr>
        <w:tc>
          <w:tcPr>
            <w:tcW w:w="2740" w:type="dxa"/>
            <w:vAlign w:val="bottom"/>
            <w:gridSpan w:val="2"/>
            <w:shd w:val="clear" w:color="auto" w:fill="CBEBF4"/>
          </w:tcPr>
          <w:p>
            <w:pPr>
              <w:ind w:left="220"/>
              <w:spacing w:after="0"/>
              <w:rPr>
                <w:sz w:val="20"/>
                <w:szCs w:val="20"/>
                <w:color w:val="auto"/>
              </w:rPr>
            </w:pPr>
            <w:r>
              <w:rPr>
                <w:rFonts w:ascii="Times New Roman" w:cs="Times New Roman" w:eastAsia="Times New Roman" w:hAnsi="Times New Roman"/>
                <w:sz w:val="14"/>
                <w:szCs w:val="14"/>
                <w:color w:val="auto"/>
              </w:rPr>
              <w:t>settled with equity</w:t>
            </w:r>
          </w:p>
        </w:tc>
        <w:tc>
          <w:tcPr>
            <w:tcW w:w="80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80" w:type="dxa"/>
            <w:vAlign w:val="bottom"/>
            <w:shd w:val="clear" w:color="auto" w:fill="CBEBF4"/>
          </w:tcPr>
          <w:p>
            <w:pPr>
              <w:spacing w:after="0"/>
              <w:rPr>
                <w:sz w:val="14"/>
                <w:szCs w:val="14"/>
                <w:color w:val="auto"/>
              </w:rPr>
            </w:pPr>
          </w:p>
        </w:tc>
        <w:tc>
          <w:tcPr>
            <w:tcW w:w="64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80" w:type="dxa"/>
            <w:vAlign w:val="bottom"/>
            <w:shd w:val="clear" w:color="auto" w:fill="CBEBF4"/>
          </w:tcPr>
          <w:p>
            <w:pPr>
              <w:spacing w:after="0"/>
              <w:rPr>
                <w:sz w:val="14"/>
                <w:szCs w:val="14"/>
                <w:color w:val="auto"/>
              </w:rPr>
            </w:pPr>
          </w:p>
        </w:tc>
        <w:tc>
          <w:tcPr>
            <w:tcW w:w="580" w:type="dxa"/>
            <w:vAlign w:val="bottom"/>
            <w:vMerge w:val="continue"/>
            <w:shd w:val="clear" w:color="auto" w:fill="CBEBF4"/>
          </w:tcPr>
          <w:p>
            <w:pPr>
              <w:spacing w:after="0"/>
              <w:rPr>
                <w:sz w:val="14"/>
                <w:szCs w:val="14"/>
                <w:color w:val="auto"/>
              </w:rPr>
            </w:pPr>
          </w:p>
        </w:tc>
        <w:tc>
          <w:tcPr>
            <w:tcW w:w="20" w:type="dxa"/>
            <w:vAlign w:val="bottom"/>
            <w:shd w:val="clear" w:color="auto" w:fill="CBEBF4"/>
          </w:tcPr>
          <w:p>
            <w:pPr>
              <w:spacing w:after="0"/>
              <w:rPr>
                <w:sz w:val="14"/>
                <w:szCs w:val="14"/>
                <w:color w:val="auto"/>
              </w:rPr>
            </w:pPr>
          </w:p>
        </w:tc>
        <w:tc>
          <w:tcPr>
            <w:tcW w:w="120" w:type="dxa"/>
            <w:vAlign w:val="bottom"/>
            <w:shd w:val="clear" w:color="auto" w:fill="CBEBF4"/>
          </w:tcPr>
          <w:p>
            <w:pPr>
              <w:spacing w:after="0"/>
              <w:rPr>
                <w:sz w:val="14"/>
                <w:szCs w:val="14"/>
                <w:color w:val="auto"/>
              </w:rPr>
            </w:pPr>
          </w:p>
        </w:tc>
        <w:tc>
          <w:tcPr>
            <w:tcW w:w="100" w:type="dxa"/>
            <w:vAlign w:val="bottom"/>
            <w:shd w:val="clear" w:color="auto" w:fill="CBEBF4"/>
          </w:tcPr>
          <w:p>
            <w:pPr>
              <w:spacing w:after="0"/>
              <w:rPr>
                <w:sz w:val="14"/>
                <w:szCs w:val="14"/>
                <w:color w:val="auto"/>
              </w:rPr>
            </w:pPr>
          </w:p>
        </w:tc>
        <w:tc>
          <w:tcPr>
            <w:tcW w:w="84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80" w:type="dxa"/>
            <w:vAlign w:val="bottom"/>
            <w:shd w:val="clear" w:color="auto" w:fill="CBEBF4"/>
          </w:tcPr>
          <w:p>
            <w:pPr>
              <w:spacing w:after="0"/>
              <w:rPr>
                <w:sz w:val="14"/>
                <w:szCs w:val="14"/>
                <w:color w:val="auto"/>
              </w:rPr>
            </w:pPr>
          </w:p>
        </w:tc>
        <w:tc>
          <w:tcPr>
            <w:tcW w:w="126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00" w:type="dxa"/>
            <w:vAlign w:val="bottom"/>
            <w:shd w:val="clear" w:color="auto" w:fill="CBEBF4"/>
          </w:tcPr>
          <w:p>
            <w:pPr>
              <w:spacing w:after="0"/>
              <w:rPr>
                <w:sz w:val="14"/>
                <w:szCs w:val="14"/>
                <w:color w:val="auto"/>
              </w:rPr>
            </w:pPr>
          </w:p>
        </w:tc>
        <w:tc>
          <w:tcPr>
            <w:tcW w:w="600" w:type="dxa"/>
            <w:vAlign w:val="bottom"/>
            <w:vMerge w:val="continue"/>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140" w:type="dxa"/>
            <w:vAlign w:val="bottom"/>
            <w:shd w:val="clear" w:color="auto" w:fill="CBEBF4"/>
          </w:tcPr>
          <w:p>
            <w:pPr>
              <w:spacing w:after="0"/>
              <w:rPr>
                <w:sz w:val="14"/>
                <w:szCs w:val="14"/>
                <w:color w:val="auto"/>
              </w:rPr>
            </w:pPr>
          </w:p>
        </w:tc>
        <w:tc>
          <w:tcPr>
            <w:tcW w:w="640" w:type="dxa"/>
            <w:vAlign w:val="bottom"/>
            <w:vMerge w:val="continue"/>
            <w:shd w:val="clear" w:color="auto" w:fill="CBEBF4"/>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40" w:type="dxa"/>
            <w:vAlign w:val="bottom"/>
            <w:tcBorders>
              <w:bottom w:val="single" w:sz="8" w:color="CBEBF4"/>
            </w:tcBorders>
            <w:gridSpan w:val="2"/>
          </w:tcPr>
          <w:p>
            <w:pPr>
              <w:spacing w:after="0" w:line="143" w:lineRule="exact"/>
              <w:rPr>
                <w:sz w:val="20"/>
                <w:szCs w:val="20"/>
                <w:color w:val="auto"/>
              </w:rPr>
            </w:pPr>
            <w:r>
              <w:rPr>
                <w:rFonts w:ascii="Times New Roman" w:cs="Times New Roman" w:eastAsia="Times New Roman" w:hAnsi="Times New Roman"/>
                <w:sz w:val="14"/>
                <w:szCs w:val="14"/>
                <w:color w:val="auto"/>
              </w:rPr>
              <w:t>Loss for the year</w:t>
            </w:r>
          </w:p>
        </w:tc>
        <w:tc>
          <w:tcPr>
            <w:tcW w:w="8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BEBF4"/>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BEBF4"/>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BEBF4"/>
            </w:tcBorders>
          </w:tcPr>
          <w:p>
            <w:pPr>
              <w:spacing w:after="0"/>
              <w:rPr>
                <w:sz w:val="14"/>
                <w:szCs w:val="14"/>
                <w:color w:val="auto"/>
              </w:rPr>
            </w:pPr>
          </w:p>
        </w:tc>
        <w:tc>
          <w:tcPr>
            <w:tcW w:w="120" w:type="dxa"/>
            <w:vAlign w:val="bottom"/>
            <w:tcBorders>
              <w:bottom w:val="single" w:sz="8" w:color="CBEBF4"/>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BEBF4"/>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BEBF4"/>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(170,964)</w:t>
            </w:r>
          </w:p>
        </w:tc>
        <w:tc>
          <w:tcPr>
            <w:tcW w:w="140" w:type="dxa"/>
            <w:vAlign w:val="bottom"/>
            <w:tcBorders>
              <w:bottom w:val="single" w:sz="8" w:color="CBEBF4"/>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(170,964)</w:t>
            </w:r>
          </w:p>
        </w:tc>
        <w:tc>
          <w:tcPr>
            <w:tcW w:w="0" w:type="dxa"/>
            <w:vAlign w:val="bottom"/>
          </w:tcPr>
          <w:p>
            <w:pPr>
              <w:spacing w:after="0"/>
              <w:rPr>
                <w:sz w:val="1"/>
                <w:szCs w:val="1"/>
                <w:color w:val="auto"/>
              </w:rPr>
            </w:pPr>
          </w:p>
        </w:tc>
      </w:tr>
      <w:tr>
        <w:trPr>
          <w:trHeight w:val="115"/>
        </w:trPr>
        <w:tc>
          <w:tcPr>
            <w:tcW w:w="2740" w:type="dxa"/>
            <w:vAlign w:val="bottom"/>
            <w:tcBorders>
              <w:top w:val="single" w:sz="8" w:color="CBEBF4"/>
              <w:bottom w:val="single" w:sz="8" w:color="CBEBF4"/>
            </w:tcBorders>
            <w:gridSpan w:val="2"/>
            <w:shd w:val="clear" w:color="auto" w:fill="CBEBF4"/>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80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266,812,131</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80" w:type="dxa"/>
            <w:vAlign w:val="bottom"/>
            <w:tcBorders>
              <w:top w:val="single" w:sz="8" w:color="CBEBF4"/>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4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332,882</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180" w:type="dxa"/>
            <w:vAlign w:val="bottom"/>
            <w:tcBorders>
              <w:top w:val="single" w:sz="8" w:color="CBEBF4"/>
              <w:bottom w:val="single" w:sz="8" w:color="auto"/>
            </w:tcBorders>
            <w:shd w:val="clear" w:color="auto" w:fill="CBEBF4"/>
          </w:tcPr>
          <w:p>
            <w:pPr>
              <w:jc w:val="right"/>
              <w:ind w:right="42"/>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CBEBF4"/>
              <w:bottom w:val="single" w:sz="8" w:color="CBEBF4"/>
            </w:tcBorders>
            <w:shd w:val="clear" w:color="auto" w:fill="CBEBF4"/>
          </w:tcPr>
          <w:p>
            <w:pPr>
              <w:spacing w:after="0"/>
              <w:rPr>
                <w:sz w:val="10"/>
                <w:szCs w:val="10"/>
                <w:color w:val="auto"/>
              </w:rPr>
            </w:pPr>
          </w:p>
        </w:tc>
        <w:tc>
          <w:tcPr>
            <w:tcW w:w="120" w:type="dxa"/>
            <w:vAlign w:val="bottom"/>
            <w:tcBorders>
              <w:top w:val="single" w:sz="8" w:color="CBEBF4"/>
              <w:bottom w:val="single" w:sz="8" w:color="CBEBF4"/>
            </w:tcBorders>
            <w:shd w:val="clear" w:color="auto" w:fill="CBEBF4"/>
          </w:tcPr>
          <w:p>
            <w:pPr>
              <w:spacing w:after="0"/>
              <w:rPr>
                <w:sz w:val="10"/>
                <w:szCs w:val="10"/>
                <w:color w:val="auto"/>
              </w:rPr>
            </w:pPr>
          </w:p>
        </w:tc>
        <w:tc>
          <w:tcPr>
            <w:tcW w:w="100" w:type="dxa"/>
            <w:vAlign w:val="bottom"/>
            <w:tcBorders>
              <w:top w:val="single" w:sz="8" w:color="auto"/>
              <w:bottom w:val="single" w:sz="8" w:color="auto"/>
            </w:tcBorders>
            <w:shd w:val="clear" w:color="auto" w:fill="CBEBF4"/>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184,960</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8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(1,216)</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100" w:type="dxa"/>
            <w:vAlign w:val="bottom"/>
            <w:tcBorders>
              <w:top w:val="single" w:sz="8" w:color="CBEBF4"/>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(475,121)</w:t>
            </w:r>
          </w:p>
        </w:tc>
        <w:tc>
          <w:tcPr>
            <w:tcW w:w="140" w:type="dxa"/>
            <w:vAlign w:val="bottom"/>
            <w:tcBorders>
              <w:top w:val="single" w:sz="8" w:color="CBEBF4"/>
              <w:bottom w:val="single" w:sz="8" w:color="CBEBF4"/>
            </w:tcBorders>
            <w:shd w:val="clear" w:color="auto" w:fill="CBEBF4"/>
          </w:tcPr>
          <w:p>
            <w:pPr>
              <w:spacing w:after="0"/>
              <w:rPr>
                <w:sz w:val="10"/>
                <w:szCs w:val="10"/>
                <w:color w:val="auto"/>
              </w:rPr>
            </w:pPr>
          </w:p>
        </w:tc>
        <w:tc>
          <w:tcPr>
            <w:tcW w:w="140" w:type="dxa"/>
            <w:vAlign w:val="bottom"/>
            <w:tcBorders>
              <w:top w:val="single" w:sz="8" w:color="CBEBF4"/>
              <w:bottom w:val="single" w:sz="8" w:color="auto"/>
            </w:tcBorders>
            <w:shd w:val="clear" w:color="auto" w:fill="CBEBF4"/>
          </w:tcPr>
          <w:p>
            <w:pPr>
              <w:jc w:val="right"/>
              <w:ind w:right="2"/>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top w:val="single" w:sz="8" w:color="CBEBF4"/>
              <w:bottom w:val="single" w:sz="8" w:color="auto"/>
            </w:tcBorders>
            <w:shd w:val="clear" w:color="auto" w:fill="CBEBF4"/>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41,505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90" name="Shape 6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90" o:spid="_x0000_s17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type w:val="continuous"/>
        </w:sectPr>
      </w:pPr>
    </w:p>
    <w:bookmarkStart w:id="132" w:name="page133"/>
    <w:bookmarkEnd w:id="132"/>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91" name="Shape 6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91" o:spid="_x0000_s17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92" name="Shape 6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92" o:spid="_x0000_s17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93" name="Shape 6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93" o:spid="_x0000_s17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94" name="Shape 6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94" o:spid="_x0000_s17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15"/>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ind w:right="15"/>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Borders>
              <w:bottom w:val="single" w:sz="8" w:color="CBEBF4"/>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BEBF4"/>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BEBF4"/>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Cash provided by (used in)</w:t>
            </w:r>
          </w:p>
        </w:tc>
        <w:tc>
          <w:tcPr>
            <w:tcW w:w="8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260" w:type="dxa"/>
            <w:vAlign w:val="bottom"/>
            <w:shd w:val="clear" w:color="auto" w:fill="CBEBF4"/>
          </w:tcPr>
          <w:p>
            <w:pPr>
              <w:spacing w:after="0"/>
              <w:rPr>
                <w:sz w:val="17"/>
                <w:szCs w:val="17"/>
                <w:color w:val="auto"/>
              </w:rPr>
            </w:pPr>
          </w:p>
        </w:tc>
        <w:tc>
          <w:tcPr>
            <w:tcW w:w="220" w:type="dxa"/>
            <w:vAlign w:val="bottom"/>
            <w:tcBorders>
              <w:right w:val="single" w:sz="8" w:color="CBEBF4"/>
            </w:tcBorders>
            <w:shd w:val="clear" w:color="auto" w:fill="CBEBF4"/>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CBEBF4"/>
          </w:tcPr>
          <w:p>
            <w:pPr>
              <w:spacing w:after="0"/>
              <w:rPr>
                <w:sz w:val="17"/>
                <w:szCs w:val="17"/>
                <w:color w:val="auto"/>
              </w:rPr>
            </w:pPr>
          </w:p>
        </w:tc>
        <w:tc>
          <w:tcPr>
            <w:tcW w:w="1260" w:type="dxa"/>
            <w:vAlign w:val="bottom"/>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8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(73,781)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Items not affecting cash:</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Amortization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Lease expense</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Share-based compensation and Expenses settled with equity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Equity-accounted investment loss</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warrants liability</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180"/>
              <w:spacing w:after="0"/>
              <w:rPr>
                <w:sz w:val="20"/>
                <w:szCs w:val="20"/>
                <w:color w:val="auto"/>
              </w:rPr>
            </w:pPr>
            <w:r>
              <w:rPr>
                <w:rFonts w:ascii="Times New Roman" w:cs="Times New Roman" w:eastAsia="Times New Roman" w:hAnsi="Times New Roman"/>
                <w:sz w:val="17"/>
                <w:szCs w:val="17"/>
                <w:color w:val="auto"/>
              </w:rPr>
              <w:t>Vesting of Allseas Warrant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69,900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Unrealized foreign exchange movement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Receivables and prepayments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tcBorders>
              <w:bottom w:val="single" w:sz="8" w:color="auto"/>
            </w:tcBorders>
            <w:shd w:val="clear" w:color="auto" w:fill="CBEBF4"/>
          </w:tcPr>
          <w:p>
            <w:pPr>
              <w:spacing w:after="0"/>
              <w:rPr>
                <w:sz w:val="18"/>
                <w:szCs w:val="18"/>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BEBF4"/>
          </w:tcPr>
          <w:p>
            <w:pPr>
              <w:spacing w:after="0"/>
              <w:rPr>
                <w:sz w:val="18"/>
                <w:szCs w:val="18"/>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15,202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(59,573)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(66,603)</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BEBF4"/>
          </w:tcPr>
          <w:p>
            <w:pPr>
              <w:spacing w:after="0"/>
              <w:rPr>
                <w:sz w:val="18"/>
                <w:szCs w:val="18"/>
                <w:color w:val="auto"/>
              </w:rPr>
            </w:pP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Acquisition of equipment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BEBF4"/>
          </w:tcPr>
          <w:p>
            <w:pPr>
              <w:spacing w:after="0"/>
              <w:rPr>
                <w:sz w:val="18"/>
                <w:szCs w:val="18"/>
                <w:color w:val="auto"/>
              </w:rPr>
            </w:pPr>
          </w:p>
        </w:tc>
        <w:tc>
          <w:tcPr>
            <w:tcW w:w="140" w:type="dxa"/>
            <w:vAlign w:val="bottom"/>
            <w:tcBorders>
              <w:bottom w:val="single" w:sz="8" w:color="auto"/>
            </w:tcBorders>
            <w:shd w:val="clear" w:color="auto" w:fill="CBEBF4"/>
          </w:tcPr>
          <w:p>
            <w:pPr>
              <w:spacing w:after="0"/>
              <w:rPr>
                <w:sz w:val="18"/>
                <w:szCs w:val="18"/>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shd w:val="clear" w:color="auto" w:fill="CBEBF4"/>
          </w:tcPr>
          <w:p>
            <w:pPr>
              <w:spacing w:after="0"/>
              <w:rPr>
                <w:sz w:val="18"/>
                <w:szCs w:val="18"/>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(578)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BEBF4"/>
          </w:tcPr>
          <w:p>
            <w:pPr>
              <w:spacing w:after="0"/>
              <w:rPr>
                <w:sz w:val="18"/>
                <w:szCs w:val="18"/>
                <w:color w:val="auto"/>
              </w:rPr>
            </w:pPr>
          </w:p>
        </w:tc>
        <w:tc>
          <w:tcPr>
            <w:tcW w:w="840" w:type="dxa"/>
            <w:vAlign w:val="bottom"/>
            <w:shd w:val="clear" w:color="auto" w:fill="CBEBF4"/>
          </w:tcPr>
          <w:p>
            <w:pPr>
              <w:spacing w:after="0"/>
              <w:rPr>
                <w:sz w:val="18"/>
                <w:szCs w:val="18"/>
                <w:color w:val="auto"/>
              </w:rPr>
            </w:pP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Proceeds from Registered Direct Offering</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15,923</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Expenses paid for Registered Direct Offering</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Proceeds from PIPE financing</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30,399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Expenses paid for PIPE financing</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Proceeds from employee share purchase plan</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Proceeds from exercise of warrants by Allseas</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8 &amp; 13</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shares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Proceeds from Low Carbon Royalties investment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color w:val="auto"/>
              </w:rPr>
              <w:t>Taxes withheld and paid on share-based compensation</w:t>
            </w:r>
          </w:p>
        </w:tc>
        <w:tc>
          <w:tcPr>
            <w:tcW w:w="840" w:type="dxa"/>
            <w:vAlign w:val="bottom"/>
            <w:tcBorders>
              <w:bottom w:val="single" w:sz="8" w:color="CBEBF4"/>
            </w:tcBorders>
          </w:tcPr>
          <w:p>
            <w:pPr>
              <w:spacing w:after="0"/>
              <w:rPr>
                <w:sz w:val="18"/>
                <w:szCs w:val="18"/>
                <w:color w:val="auto"/>
              </w:rPr>
            </w:pPr>
          </w:p>
        </w:tc>
        <w:tc>
          <w:tcPr>
            <w:tcW w:w="220" w:type="dxa"/>
            <w:vAlign w:val="bottom"/>
            <w:tcBorders>
              <w:bottom w:val="single" w:sz="8" w:color="CBEB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BEBF4"/>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840" w:type="dxa"/>
            <w:vAlign w:val="bottom"/>
            <w:shd w:val="clear" w:color="auto" w:fill="CBEBF4"/>
          </w:tcPr>
          <w:p>
            <w:pPr>
              <w:spacing w:after="0"/>
              <w:rPr>
                <w:sz w:val="17"/>
                <w:szCs w:val="17"/>
                <w:color w:val="auto"/>
              </w:rPr>
            </w:pPr>
          </w:p>
        </w:tc>
        <w:tc>
          <w:tcPr>
            <w:tcW w:w="22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20,066</w:t>
            </w:r>
          </w:p>
        </w:tc>
        <w:tc>
          <w:tcPr>
            <w:tcW w:w="220" w:type="dxa"/>
            <w:vAlign w:val="bottom"/>
            <w:tcBorders>
              <w:right w:val="single" w:sz="8" w:color="CBEBF4"/>
            </w:tcBorders>
            <w:shd w:val="clear" w:color="auto" w:fill="CBEBF4"/>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CBEBF4"/>
          </w:tcPr>
          <w:p>
            <w:pPr>
              <w:spacing w:after="0"/>
              <w:rPr>
                <w:sz w:val="17"/>
                <w:szCs w:val="17"/>
                <w:color w:val="auto"/>
              </w:rPr>
            </w:pP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29,722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Decrease in cash</w:t>
            </w:r>
          </w:p>
        </w:tc>
        <w:tc>
          <w:tcPr>
            <w:tcW w:w="840" w:type="dxa"/>
            <w:vAlign w:val="bottom"/>
            <w:shd w:val="clear" w:color="auto" w:fill="CBEBF4"/>
          </w:tcPr>
          <w:p>
            <w:pPr>
              <w:spacing w:after="0"/>
              <w:rPr>
                <w:sz w:val="18"/>
                <w:szCs w:val="18"/>
                <w:color w:val="auto"/>
              </w:rPr>
            </w:pPr>
          </w:p>
        </w:tc>
        <w:tc>
          <w:tcPr>
            <w:tcW w:w="360" w:type="dxa"/>
            <w:vAlign w:val="bottom"/>
            <w:gridSpan w:val="2"/>
            <w:shd w:val="clear" w:color="auto" w:fill="CBEBF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(40,085)</w:t>
            </w:r>
          </w:p>
        </w:tc>
        <w:tc>
          <w:tcPr>
            <w:tcW w:w="220" w:type="dxa"/>
            <w:vAlign w:val="bottom"/>
            <w:tcBorders>
              <w:right w:val="single" w:sz="8" w:color="CBEBF4"/>
            </w:tcBorders>
            <w:shd w:val="clear" w:color="auto" w:fill="CBEBF4"/>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shd w:val="clear" w:color="auto" w:fill="CBEBF4"/>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(38,050)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Impact of exchange rate changes on cash</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Cash - beginning of year</w:t>
            </w:r>
          </w:p>
        </w:tc>
        <w:tc>
          <w:tcPr>
            <w:tcW w:w="840" w:type="dxa"/>
            <w:vAlign w:val="bottom"/>
            <w:tcBorders>
              <w:bottom w:val="single" w:sz="8" w:color="CBEBF4"/>
            </w:tcBorders>
            <w:shd w:val="clear" w:color="auto" w:fill="CBEBF4"/>
          </w:tcPr>
          <w:p>
            <w:pPr>
              <w:spacing w:after="0"/>
              <w:rPr>
                <w:sz w:val="19"/>
                <w:szCs w:val="19"/>
                <w:color w:val="auto"/>
              </w:rPr>
            </w:pPr>
          </w:p>
        </w:tc>
        <w:tc>
          <w:tcPr>
            <w:tcW w:w="220" w:type="dxa"/>
            <w:vAlign w:val="bottom"/>
            <w:tcBorders>
              <w:bottom w:val="single" w:sz="8" w:color="CBEBF4"/>
            </w:tcBorders>
            <w:shd w:val="clear" w:color="auto" w:fill="CBEBF4"/>
          </w:tcPr>
          <w:p>
            <w:pPr>
              <w:spacing w:after="0"/>
              <w:rPr>
                <w:sz w:val="19"/>
                <w:szCs w:val="19"/>
                <w:color w:val="auto"/>
              </w:rPr>
            </w:pPr>
          </w:p>
        </w:tc>
        <w:tc>
          <w:tcPr>
            <w:tcW w:w="140" w:type="dxa"/>
            <w:vAlign w:val="bottom"/>
            <w:tcBorders>
              <w:bottom w:val="single" w:sz="8" w:color="auto"/>
            </w:tcBorders>
            <w:shd w:val="clear" w:color="auto" w:fill="CBEBF4"/>
          </w:tcPr>
          <w:p>
            <w:pPr>
              <w:spacing w:after="0"/>
              <w:rPr>
                <w:sz w:val="19"/>
                <w:szCs w:val="19"/>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46,876</w:t>
            </w:r>
          </w:p>
        </w:tc>
        <w:tc>
          <w:tcPr>
            <w:tcW w:w="220" w:type="dxa"/>
            <w:vAlign w:val="bottom"/>
            <w:tcBorders>
              <w:bottom w:val="single" w:sz="8" w:color="CBEBF4"/>
              <w:right w:val="single" w:sz="8" w:color="CBEBF4"/>
            </w:tcBorders>
            <w:shd w:val="clear" w:color="auto" w:fill="CBEBF4"/>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shd w:val="clear" w:color="auto" w:fill="CBEBF4"/>
          </w:tcPr>
          <w:p>
            <w:pPr>
              <w:spacing w:after="0"/>
              <w:rPr>
                <w:sz w:val="19"/>
                <w:szCs w:val="19"/>
                <w:color w:val="auto"/>
              </w:rPr>
            </w:pPr>
          </w:p>
        </w:tc>
        <w:tc>
          <w:tcPr>
            <w:tcW w:w="12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84,873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Cash - end of year</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6,842</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46,876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695" name="Shape 6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695" o:spid="_x0000_s17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33" w:name="page134"/>
    <w:bookmarkEnd w:id="133"/>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696" name="Shape 6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96" o:spid="_x0000_s17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697" name="Shape 6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97" o:spid="_x0000_s172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698" name="Shape 6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698" o:spid="_x0000_s17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699" name="Shape 6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699" o:spid="_x0000_s17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06" w:hanging="306"/>
        <w:spacing w:after="0"/>
        <w:tabs>
          <w:tab w:leader="none" w:pos="306"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Operations</w:t>
      </w:r>
    </w:p>
    <w:p>
      <w:pPr>
        <w:spacing w:after="0" w:line="222" w:lineRule="exact"/>
        <w:rPr>
          <w:rFonts w:ascii="Times New Roman" w:cs="Times New Roman" w:eastAsia="Times New Roman" w:hAnsi="Times New Roman"/>
          <w:sz w:val="17"/>
          <w:szCs w:val="17"/>
          <w:b w:val="1"/>
          <w:bCs w:val="1"/>
          <w:color w:val="auto"/>
        </w:rPr>
      </w:pPr>
    </w:p>
    <w:p>
      <w:pPr>
        <w:jc w:val="both"/>
        <w:ind w:left="306"/>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TMC the metals company Inc. (“TMC” or the “Company”)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w:t>
      </w:r>
    </w:p>
    <w:p>
      <w:pPr>
        <w:spacing w:after="0" w:line="378" w:lineRule="exact"/>
        <w:rPr>
          <w:rFonts w:ascii="Times New Roman" w:cs="Times New Roman" w:eastAsia="Times New Roman" w:hAnsi="Times New Roman"/>
          <w:sz w:val="17"/>
          <w:szCs w:val="17"/>
          <w:b w:val="1"/>
          <w:bCs w:val="1"/>
          <w:color w:val="auto"/>
        </w:rPr>
      </w:pPr>
    </w:p>
    <w:p>
      <w:pPr>
        <w:jc w:val="both"/>
        <w:ind w:left="306"/>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cobalt and manganese sulfates, or intermediate nickel-copper-cobalt matte) for electric vehicles (“EV”) and renewable energy storage markets, (ii) copper cathode for EV wiring, energy transmission and other applications and (iii) manganese silicate for manganese alloy production required for steel production.</w:t>
      </w:r>
    </w:p>
    <w:p>
      <w:pPr>
        <w:spacing w:after="0" w:line="166" w:lineRule="exact"/>
        <w:rPr>
          <w:rFonts w:ascii="Times New Roman" w:cs="Times New Roman" w:eastAsia="Times New Roman" w:hAnsi="Times New Roman"/>
          <w:sz w:val="17"/>
          <w:szCs w:val="17"/>
          <w:b w:val="1"/>
          <w:bCs w:val="1"/>
          <w:color w:val="auto"/>
        </w:rPr>
      </w:pPr>
    </w:p>
    <w:p>
      <w:pPr>
        <w:jc w:val="both"/>
        <w:ind w:left="306"/>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Marawa Research and Exploration Limited (“Marawa”), an entity owned and sponsored by the Republic of Kiribati (“Kiribati”), was granted rights by the ISA to polymetallic nodules exploration in an area of 74,990 square kilometers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deliver a system to collect, lift and transport nodules from the seafloor to shore that meets the requirements of an early commercial production system (Note 8).</w:t>
      </w:r>
    </w:p>
    <w:p>
      <w:pPr>
        <w:spacing w:after="0" w:line="176" w:lineRule="exact"/>
        <w:rPr>
          <w:rFonts w:ascii="Times New Roman" w:cs="Times New Roman" w:eastAsia="Times New Roman" w:hAnsi="Times New Roman"/>
          <w:sz w:val="17"/>
          <w:szCs w:val="17"/>
          <w:b w:val="1"/>
          <w:bCs w:val="1"/>
          <w:color w:val="auto"/>
        </w:rPr>
      </w:pPr>
    </w:p>
    <w:p>
      <w:pPr>
        <w:jc w:val="both"/>
        <w:ind w:left="306"/>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68" w:lineRule="exact"/>
        <w:rPr>
          <w:rFonts w:ascii="Times New Roman" w:cs="Times New Roman" w:eastAsia="Times New Roman" w:hAnsi="Times New Roman"/>
          <w:sz w:val="17"/>
          <w:szCs w:val="17"/>
          <w:b w:val="1"/>
          <w:bCs w:val="1"/>
          <w:color w:val="auto"/>
        </w:rPr>
      </w:pPr>
    </w:p>
    <w:p>
      <w:pPr>
        <w:ind w:left="306" w:right="7440" w:hanging="306"/>
        <w:spacing w:after="0" w:line="510" w:lineRule="auto"/>
        <w:tabs>
          <w:tab w:leader="none" w:pos="306"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ind w:left="306"/>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consolidated financial statements have been prepared in accordance with Generally Accepted Accounting Principles in the United States (“U.S. GAAP”) and include the accounts of TMC and its wholly-owned subsidiaries.</w:t>
      </w:r>
    </w:p>
    <w:p>
      <w:pPr>
        <w:sectPr>
          <w:pgSz w:w="12240" w:h="15840" w:orient="portrait"/>
          <w:cols w:equalWidth="0" w:num="1">
            <w:col w:w="9606"/>
          </w:cols>
          <w:pgMar w:left="1314" w:top="1324" w:right="1320" w:bottom="1440" w:gutter="0" w:footer="0" w:header="0"/>
        </w:sectPr>
      </w:pPr>
    </w:p>
    <w:p>
      <w:pPr>
        <w:spacing w:after="0" w:line="34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367030</wp:posOffset>
                </wp:positionV>
                <wp:extent cx="6109970" cy="0"/>
                <wp:wrapNone/>
                <wp:docPr id="700" name="Shape 7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42">
                          <a:solidFill>
                            <a:srgbClr val="000000"/>
                          </a:solidFill>
                          <a:miter lim="800000"/>
                          <a:headEnd/>
                          <a:tailEnd/>
                        </a:ln>
                      </wps:spPr>
                      <wps:bodyPr/>
                    </wps:wsp>
                  </a:graphicData>
                </a:graphic>
              </wp:anchor>
            </w:drawing>
          </mc:Choice>
          <mc:Fallback>
            <w:pict>
              <v:line id="Shape 700" o:spid="_x0000_s17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9pt" to="480.85pt,28.9pt" o:allowincell="f" strokecolor="#000000" strokeweight="1.3025pt"/>
            </w:pict>
          </mc:Fallback>
        </mc:AlternateContent>
      </w:r>
    </w:p>
    <w:p>
      <w:pPr>
        <w:sectPr>
          <w:pgSz w:w="12240" w:h="15840" w:orient="portrait"/>
          <w:cols w:equalWidth="0" w:num="1">
            <w:col w:w="9606"/>
          </w:cols>
          <w:pgMar w:left="1314" w:top="1324" w:right="1320" w:bottom="1440" w:gutter="0" w:footer="0" w:header="0"/>
          <w:type w:val="continuous"/>
        </w:sectPr>
      </w:pPr>
    </w:p>
    <w:bookmarkStart w:id="134" w:name="page135"/>
    <w:bookmarkEnd w:id="134"/>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01" name="Shape 7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01" o:spid="_x0000_s17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06"/>
        <w:spacing w:after="0" w:line="276" w:lineRule="auto"/>
        <w:rPr>
          <w:sz w:val="20"/>
          <w:szCs w:val="20"/>
          <w:color w:val="auto"/>
        </w:rPr>
      </w:pPr>
      <w:r>
        <w:rPr>
          <w:rFonts w:ascii="Times New Roman" w:cs="Times New Roman" w:eastAsia="Times New Roman" w:hAnsi="Times New Roman"/>
          <w:sz w:val="17"/>
          <w:szCs w:val="17"/>
          <w:color w:val="auto"/>
        </w:rPr>
        <w:t>Comparative figures reported in the Consolidated Balance Sheet, for cash, receivables and prepayments, and figures reported in the Consolidated Statements of Cash Flows, for Expenses settled with equity and changes in working capital have been reclassified to conform to the current year’s presentation.</w:t>
      </w:r>
    </w:p>
    <w:p>
      <w:pPr>
        <w:spacing w:after="0" w:line="152"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b w:val="1"/>
          <w:bCs w:val="1"/>
          <w:color w:val="auto"/>
        </w:rPr>
        <w:t>Basis of Measurement</w:t>
      </w:r>
    </w:p>
    <w:p>
      <w:pPr>
        <w:spacing w:after="0" w:line="222" w:lineRule="exact"/>
        <w:rPr>
          <w:sz w:val="20"/>
          <w:szCs w:val="20"/>
          <w:color w:val="auto"/>
        </w:rPr>
      </w:pPr>
    </w:p>
    <w:p>
      <w:pPr>
        <w:jc w:val="both"/>
        <w:ind w:left="306" w:firstLine="1"/>
        <w:spacing w:after="0" w:line="298" w:lineRule="auto"/>
        <w:rPr>
          <w:sz w:val="20"/>
          <w:szCs w:val="20"/>
          <w:color w:val="auto"/>
        </w:rPr>
      </w:pPr>
      <w:r>
        <w:rPr>
          <w:rFonts w:ascii="Times New Roman" w:cs="Times New Roman" w:eastAsia="Times New Roman" w:hAnsi="Times New Roman"/>
          <w:sz w:val="17"/>
          <w:szCs w:val="17"/>
          <w:color w:val="auto"/>
        </w:rPr>
        <w:t>These consolidated financial statements have been prepared under the historical cost convention, except for warrants liability that has been measured at fair value and are presented in United States (“US”) dollars.</w:t>
      </w:r>
    </w:p>
    <w:p>
      <w:pPr>
        <w:spacing w:after="0" w:line="134"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b w:val="1"/>
          <w:bCs w:val="1"/>
          <w:color w:val="auto"/>
        </w:rPr>
        <w:t>Consolidation</w:t>
      </w:r>
    </w:p>
    <w:p>
      <w:pPr>
        <w:spacing w:after="0" w:line="222" w:lineRule="exact"/>
        <w:rPr>
          <w:sz w:val="20"/>
          <w:szCs w:val="20"/>
          <w:color w:val="auto"/>
        </w:rPr>
      </w:pPr>
    </w:p>
    <w:p>
      <w:pPr>
        <w:jc w:val="both"/>
        <w:ind w:left="306"/>
        <w:spacing w:after="0" w:line="298" w:lineRule="auto"/>
        <w:rPr>
          <w:sz w:val="20"/>
          <w:szCs w:val="20"/>
          <w:color w:val="auto"/>
        </w:rPr>
      </w:pPr>
      <w:r>
        <w:rPr>
          <w:rFonts w:ascii="Times New Roman" w:cs="Times New Roman" w:eastAsia="Times New Roman" w:hAnsi="Times New Roman"/>
          <w:sz w:val="17"/>
          <w:szCs w:val="17"/>
          <w:color w:val="auto"/>
        </w:rPr>
        <w:t>These consolidated financial statements include the financial statements of the Company and its subsidiaries. The principal subsidiaries of the Company, their activities, and their geographic locations as at December 31, 2023 were as follows:</w:t>
      </w:r>
    </w:p>
    <w:p>
      <w:pPr>
        <w:spacing w:after="0" w:line="129" w:lineRule="exact"/>
        <w:rPr>
          <w:sz w:val="20"/>
          <w:szCs w:val="20"/>
          <w:color w:val="auto"/>
        </w:rPr>
      </w:pPr>
    </w:p>
    <w:tbl>
      <w:tblPr>
        <w:tblLayout w:type="fixed"/>
        <w:tblInd w:w="306"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Proportion of</w:t>
            </w:r>
          </w:p>
        </w:tc>
        <w:tc>
          <w:tcPr>
            <w:tcW w:w="0" w:type="dxa"/>
            <w:vAlign w:val="bottom"/>
          </w:tcPr>
          <w:p>
            <w:pPr>
              <w:spacing w:after="0"/>
              <w:rPr>
                <w:sz w:val="1"/>
                <w:szCs w:val="1"/>
                <w:color w:val="auto"/>
              </w:rPr>
            </w:pPr>
          </w:p>
        </w:tc>
      </w:tr>
      <w:tr>
        <w:trPr>
          <w:trHeight w:val="143"/>
        </w:trPr>
        <w:tc>
          <w:tcPr>
            <w:tcW w:w="442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Principal Activity</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 Held</w:t>
            </w:r>
          </w:p>
        </w:tc>
        <w:tc>
          <w:tcPr>
            <w:tcW w:w="0" w:type="dxa"/>
            <w:vAlign w:val="bottom"/>
          </w:tcPr>
          <w:p>
            <w:pPr>
              <w:spacing w:after="0"/>
              <w:rPr>
                <w:sz w:val="1"/>
                <w:szCs w:val="1"/>
                <w:color w:val="auto"/>
              </w:rPr>
            </w:pPr>
          </w:p>
        </w:tc>
      </w:tr>
      <w:tr>
        <w:trPr>
          <w:trHeight w:val="168"/>
        </w:trPr>
        <w:tc>
          <w:tcPr>
            <w:tcW w:w="44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by the Company</w:t>
            </w:r>
          </w:p>
        </w:tc>
        <w:tc>
          <w:tcPr>
            <w:tcW w:w="0" w:type="dxa"/>
            <w:vAlign w:val="bottom"/>
          </w:tcPr>
          <w:p>
            <w:pPr>
              <w:spacing w:after="0"/>
              <w:rPr>
                <w:sz w:val="1"/>
                <w:szCs w:val="1"/>
                <w:color w:val="auto"/>
              </w:rPr>
            </w:pPr>
          </w:p>
        </w:tc>
      </w:tr>
      <w:tr>
        <w:trPr>
          <w:trHeight w:val="200"/>
        </w:trPr>
        <w:tc>
          <w:tcPr>
            <w:tcW w:w="426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DeepGreen Engineering Pte. Ltd.</w:t>
            </w:r>
          </w:p>
        </w:tc>
        <w:tc>
          <w:tcPr>
            <w:tcW w:w="160" w:type="dxa"/>
            <w:vAlign w:val="bottom"/>
            <w:tcBorders>
              <w:top w:val="single" w:sz="8" w:color="CBEBF4"/>
            </w:tcBorders>
            <w:shd w:val="clear" w:color="auto" w:fill="CBEBF4"/>
          </w:tcPr>
          <w:p>
            <w:pPr>
              <w:spacing w:after="0"/>
              <w:rPr>
                <w:sz w:val="17"/>
                <w:szCs w:val="17"/>
                <w:color w:val="auto"/>
              </w:rPr>
            </w:pPr>
          </w:p>
        </w:tc>
        <w:tc>
          <w:tcPr>
            <w:tcW w:w="138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Mineral exploration</w:t>
            </w:r>
          </w:p>
        </w:tc>
        <w:tc>
          <w:tcPr>
            <w:tcW w:w="160" w:type="dxa"/>
            <w:vAlign w:val="bottom"/>
            <w:tcBorders>
              <w:top w:val="single" w:sz="8" w:color="CBEBF4"/>
            </w:tcBorders>
            <w:shd w:val="clear" w:color="auto" w:fill="CBEBF4"/>
          </w:tcPr>
          <w:p>
            <w:pPr>
              <w:spacing w:after="0"/>
              <w:rPr>
                <w:sz w:val="17"/>
                <w:szCs w:val="17"/>
                <w:color w:val="auto"/>
              </w:rPr>
            </w:pPr>
          </w:p>
        </w:tc>
        <w:tc>
          <w:tcPr>
            <w:tcW w:w="150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Singapore</w:t>
            </w:r>
          </w:p>
        </w:tc>
        <w:tc>
          <w:tcPr>
            <w:tcW w:w="160" w:type="dxa"/>
            <w:vAlign w:val="bottom"/>
            <w:tcBorders>
              <w:top w:val="single" w:sz="8" w:color="CBEBF4"/>
            </w:tcBorders>
            <w:shd w:val="clear" w:color="auto" w:fill="CBEBF4"/>
          </w:tcPr>
          <w:p>
            <w:pPr>
              <w:spacing w:after="0"/>
              <w:rPr>
                <w:sz w:val="17"/>
                <w:szCs w:val="17"/>
                <w:color w:val="auto"/>
              </w:rPr>
            </w:pPr>
          </w:p>
        </w:tc>
        <w:tc>
          <w:tcPr>
            <w:tcW w:w="122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DeepGreen Metals ULC</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Canada</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DeepGreen Resources, LLC</w:t>
            </w:r>
          </w:p>
        </w:tc>
        <w:tc>
          <w:tcPr>
            <w:tcW w:w="154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shd w:val="clear" w:color="auto" w:fill="CBEBF4"/>
          </w:tcPr>
          <w:p>
            <w:pPr>
              <w:jc w:val="center"/>
              <w:ind w:right="160"/>
              <w:spacing w:after="0"/>
              <w:rPr>
                <w:sz w:val="20"/>
                <w:szCs w:val="20"/>
                <w:color w:val="auto"/>
              </w:rPr>
            </w:pPr>
            <w:r>
              <w:rPr>
                <w:rFonts w:ascii="Times New Roman" w:cs="Times New Roman" w:eastAsia="Times New Roman" w:hAnsi="Times New Roman"/>
                <w:sz w:val="17"/>
                <w:szCs w:val="17"/>
                <w:color w:val="auto"/>
                <w:w w:val="99"/>
              </w:rPr>
              <w:t>USA</w:t>
            </w:r>
          </w:p>
        </w:tc>
        <w:tc>
          <w:tcPr>
            <w:tcW w:w="12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DeepGreen TOML Holding 1 Ltd.</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British Virgin Islands</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DeepGreen TOML Holding 2 Ltd.</w:t>
            </w:r>
          </w:p>
        </w:tc>
        <w:tc>
          <w:tcPr>
            <w:tcW w:w="154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British Virgin Islands</w:t>
            </w:r>
          </w:p>
        </w:tc>
        <w:tc>
          <w:tcPr>
            <w:tcW w:w="12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DeepGreen TOML Singapore Pte. Ltd.</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Singapore</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Koloa Moana Resources Ltd.</w:t>
            </w:r>
          </w:p>
        </w:tc>
        <w:tc>
          <w:tcPr>
            <w:tcW w:w="154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Canada</w:t>
            </w:r>
          </w:p>
        </w:tc>
        <w:tc>
          <w:tcPr>
            <w:tcW w:w="12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Nauru Education and Training Foundation Inc. (“NEAT”)</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Republic of Nauru</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Nauru Health and Environment Foundation Inc. (“NHEF”)</w:t>
            </w:r>
          </w:p>
        </w:tc>
        <w:tc>
          <w:tcPr>
            <w:tcW w:w="154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Republic of Nauru</w:t>
            </w:r>
          </w:p>
        </w:tc>
        <w:tc>
          <w:tcPr>
            <w:tcW w:w="12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Nauru Ocean Resources Inc.</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Republic of Nauru</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Offshore Minerals Pty. Ltd.</w:t>
            </w:r>
          </w:p>
        </w:tc>
        <w:tc>
          <w:tcPr>
            <w:tcW w:w="1540" w:type="dxa"/>
            <w:vAlign w:val="bottom"/>
            <w:gridSpan w:val="2"/>
            <w:shd w:val="clear" w:color="auto" w:fill="CBEBF4"/>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66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Australia</w:t>
            </w:r>
          </w:p>
        </w:tc>
        <w:tc>
          <w:tcPr>
            <w:tcW w:w="12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Metals Company Australia Pty Ltd</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Australia</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TMC The Metals Company UK Limited</w:t>
            </w:r>
          </w:p>
        </w:tc>
        <w:tc>
          <w:tcPr>
            <w:tcW w:w="154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Holding Company</w:t>
            </w:r>
          </w:p>
        </w:tc>
        <w:tc>
          <w:tcPr>
            <w:tcW w:w="166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United Kingdom</w:t>
            </w:r>
          </w:p>
        </w:tc>
        <w:tc>
          <w:tcPr>
            <w:tcW w:w="122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2"/>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Tonga Offshore Mining Ltd.</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9"/>
              </w:rPr>
              <w:t>Kingdom of Tonga</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626"/>
        <w:spacing w:after="0"/>
        <w:rPr>
          <w:sz w:val="20"/>
          <w:szCs w:val="20"/>
          <w:color w:val="auto"/>
        </w:rPr>
      </w:pPr>
      <w:r>
        <w:rPr>
          <w:rFonts w:ascii="Times New Roman" w:cs="Times New Roman" w:eastAsia="Times New Roman" w:hAnsi="Times New Roman"/>
          <w:sz w:val="17"/>
          <w:szCs w:val="17"/>
          <w:color w:val="auto"/>
        </w:rPr>
        <w:t>All intra-group balances have been eliminated on consolidation.</w:t>
      </w:r>
    </w:p>
    <w:p>
      <w:pPr>
        <w:spacing w:after="0" w:line="217" w:lineRule="exact"/>
        <w:rPr>
          <w:sz w:val="20"/>
          <w:szCs w:val="20"/>
          <w:color w:val="auto"/>
        </w:rPr>
      </w:pPr>
    </w:p>
    <w:p>
      <w:pPr>
        <w:ind w:left="306" w:right="7020" w:hanging="306"/>
        <w:spacing w:after="0" w:line="510" w:lineRule="auto"/>
        <w:tabs>
          <w:tab w:leader="none" w:pos="306"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i. Foreign Currencies</w:t>
      </w:r>
    </w:p>
    <w:p>
      <w:pPr>
        <w:spacing w:after="0" w:line="1" w:lineRule="exact"/>
        <w:rPr>
          <w:sz w:val="20"/>
          <w:szCs w:val="20"/>
          <w:color w:val="auto"/>
        </w:rPr>
      </w:pPr>
    </w:p>
    <w:p>
      <w:pPr>
        <w:jc w:val="both"/>
        <w:ind w:left="306"/>
        <w:spacing w:after="0" w:line="289" w:lineRule="auto"/>
        <w:rPr>
          <w:sz w:val="20"/>
          <w:szCs w:val="20"/>
          <w:color w:val="auto"/>
        </w:rPr>
      </w:pPr>
      <w:r>
        <w:rPr>
          <w:rFonts w:ascii="Times New Roman" w:cs="Times New Roman" w:eastAsia="Times New Roman" w:hAnsi="Times New Roman"/>
          <w:sz w:val="17"/>
          <w:szCs w:val="17"/>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pacing w:after="0" w:line="359" w:lineRule="exact"/>
        <w:rPr>
          <w:sz w:val="20"/>
          <w:szCs w:val="20"/>
          <w:color w:val="auto"/>
        </w:rPr>
      </w:pPr>
    </w:p>
    <w:p>
      <w:pPr>
        <w:jc w:val="both"/>
        <w:ind w:left="306" w:firstLine="1"/>
        <w:spacing w:after="0" w:line="265" w:lineRule="auto"/>
        <w:rPr>
          <w:sz w:val="20"/>
          <w:szCs w:val="20"/>
          <w:color w:val="auto"/>
        </w:rPr>
      </w:pPr>
      <w:r>
        <w:rPr>
          <w:rFonts w:ascii="Times New Roman" w:cs="Times New Roman" w:eastAsia="Times New Roman" w:hAnsi="Times New Roman"/>
          <w:sz w:val="17"/>
          <w:szCs w:val="17"/>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 and losses on translation of these foreign currency transactions are included in the statements of loss and comprehensive loss. Non-monetary items that are measured at historical cost in a foreign currency are not retranslated.</w:t>
      </w:r>
    </w:p>
    <w:p>
      <w:pPr>
        <w:spacing w:after="0" w:line="37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10605" cy="0"/>
                <wp:wrapNone/>
                <wp:docPr id="705" name="Shape 7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05" o:spid="_x0000_s17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9pt,28.35pt" o:allowincell="f" strokecolor="#000000" strokeweight="1.2956pt"/>
            </w:pict>
          </mc:Fallback>
        </mc:AlternateContent>
      </w:r>
    </w:p>
    <w:p>
      <w:pPr>
        <w:sectPr>
          <w:pgSz w:w="12240" w:h="15840" w:orient="portrait"/>
          <w:cols w:equalWidth="0" w:num="1">
            <w:col w:w="9606"/>
          </w:cols>
          <w:pgMar w:left="1314" w:top="1324" w:right="1320" w:bottom="1440" w:gutter="0" w:footer="0" w:header="0"/>
        </w:sectPr>
      </w:pPr>
    </w:p>
    <w:bookmarkStart w:id="135" w:name="page136"/>
    <w:bookmarkEnd w:id="135"/>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06" name="Shape 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06" o:spid="_x0000_s17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09" o:spid="_x0000_s17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52"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ii.</w:t>
        <w:tab/>
        <w:t>Use of Estimates</w:t>
      </w:r>
    </w:p>
    <w:p>
      <w:pPr>
        <w:spacing w:after="0" w:line="22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the evaluation of going concern, the valuation of share-based payments, including valuation of incentive stock options (Note 15), as well as the valuation of warrants liability (Note 13), and the valuation of the investment in Low Carbon Royalties Inc. (“Low Carbon Royalties”) (Note 9). Actual results could differ materially from those estimates.</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iii.  Loss Per Share</w:t>
      </w:r>
    </w:p>
    <w:p>
      <w:pPr>
        <w:spacing w:after="0" w:line="222"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62"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iv.</w:t>
        <w:tab/>
        <w:t>Financial Instruments</w:t>
      </w:r>
    </w:p>
    <w:p>
      <w:pPr>
        <w:spacing w:after="0" w:line="22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60"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52" w:lineRule="exact"/>
        <w:rPr>
          <w:sz w:val="20"/>
          <w:szCs w:val="20"/>
          <w:color w:val="auto"/>
        </w:rPr>
      </w:pPr>
    </w:p>
    <w:p>
      <w:pPr>
        <w:ind w:left="500" w:hanging="315"/>
        <w:spacing w:after="0"/>
        <w:tabs>
          <w:tab w:leader="none" w:pos="50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5"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55" w:lineRule="exact"/>
        <w:rPr>
          <w:sz w:val="20"/>
          <w:szCs w:val="20"/>
          <w:color w:val="auto"/>
        </w:rPr>
      </w:pPr>
    </w:p>
    <w:p>
      <w:pPr>
        <w:ind w:left="520" w:hanging="310"/>
        <w:spacing w:after="0" w:line="298" w:lineRule="auto"/>
        <w:tabs>
          <w:tab w:leader="none" w:pos="520" w:val="left"/>
        </w:tabs>
        <w:numPr>
          <w:ilvl w:val="0"/>
          <w:numId w:val="54"/>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Level 1</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Valuations based on quoted prices in active markets for identical assets or liabilities that an entity has the ability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access.</w:t>
      </w:r>
    </w:p>
    <w:p>
      <w:pPr>
        <w:spacing w:after="0" w:line="135" w:lineRule="exact"/>
        <w:rPr>
          <w:rFonts w:ascii="Arial" w:cs="Arial" w:eastAsia="Arial" w:hAnsi="Arial"/>
          <w:sz w:val="17"/>
          <w:szCs w:val="17"/>
          <w:color w:val="auto"/>
        </w:rPr>
      </w:pPr>
    </w:p>
    <w:p>
      <w:pPr>
        <w:jc w:val="both"/>
        <w:ind w:left="520" w:hanging="310"/>
        <w:spacing w:after="0" w:line="276" w:lineRule="auto"/>
        <w:tabs>
          <w:tab w:leader="none" w:pos="519" w:val="left"/>
        </w:tabs>
        <w:numPr>
          <w:ilvl w:val="0"/>
          <w:numId w:val="54"/>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Level 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Valuations based on quoted prices for similar assets or liabilities, quoted prices for identical assets or liabilities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that are not active, or other inputs that are observable or can be corroborated by observable data for substantially the full term of the assets or liabilities.</w:t>
      </w:r>
    </w:p>
    <w:p>
      <w:pPr>
        <w:sectPr>
          <w:pgSz w:w="12240" w:h="15840" w:orient="portrait"/>
          <w:cols w:equalWidth="0" w:num="1">
            <w:col w:w="9480"/>
          </w:cols>
          <w:pgMar w:left="1440" w:top="1324" w:right="1320" w:bottom="1440" w:gutter="0" w:footer="0" w:header="0"/>
        </w:sectPr>
      </w:pP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367030</wp:posOffset>
                </wp:positionV>
                <wp:extent cx="6109970"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9pt" to="474.55pt,28.9pt" o:allowincell="f" strokecolor="#000000" strokeweight="1.2956pt"/>
            </w:pict>
          </mc:Fallback>
        </mc:AlternateContent>
      </w:r>
    </w:p>
    <w:p>
      <w:pPr>
        <w:sectPr>
          <w:pgSz w:w="12240" w:h="15840" w:orient="portrait"/>
          <w:cols w:equalWidth="0" w:num="1">
            <w:col w:w="9480"/>
          </w:cols>
          <w:pgMar w:left="1440" w:top="1324" w:right="1320" w:bottom="1440" w:gutter="0" w:footer="0" w:header="0"/>
          <w:type w:val="continuous"/>
        </w:sectPr>
      </w:pPr>
    </w:p>
    <w:bookmarkStart w:id="136" w:name="page137"/>
    <w:bookmarkEnd w:id="136"/>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13" o:spid="_x0000_s17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14" name="Shape 7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14" o:spid="_x0000_s17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520" w:hanging="309"/>
        <w:spacing w:after="0" w:line="298" w:lineRule="auto"/>
        <w:tabs>
          <w:tab w:leader="none" w:pos="520" w:val="left"/>
        </w:tabs>
        <w:numPr>
          <w:ilvl w:val="0"/>
          <w:numId w:val="55"/>
        </w:numPr>
        <w:rPr>
          <w:rFonts w:ascii="Arial" w:cs="Arial" w:eastAsia="Arial" w:hAnsi="Arial"/>
          <w:sz w:val="17"/>
          <w:szCs w:val="17"/>
          <w:color w:val="auto"/>
        </w:rPr>
      </w:pPr>
      <w:r>
        <w:rPr>
          <w:rFonts w:ascii="Times New Roman" w:cs="Times New Roman" w:eastAsia="Times New Roman" w:hAnsi="Times New Roman"/>
          <w:sz w:val="17"/>
          <w:szCs w:val="17"/>
          <w:b w:val="1"/>
          <w:bCs w:val="1"/>
          <w:i w:val="1"/>
          <w:iCs w:val="1"/>
          <w:color w:val="auto"/>
        </w:rPr>
        <w:t>Level 3</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auto"/>
        </w:rPr>
        <w:t>Valuations based on inputs that are supported by little or no market activity and that are significant to the fair value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assets or liabilities.</w:t>
      </w:r>
    </w:p>
    <w:p>
      <w:pPr>
        <w:spacing w:after="0" w:line="136"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There were no transfers between fair value measurement levels during the years ended December 31, 2023 and 2022.</w:t>
      </w:r>
    </w:p>
    <w:p>
      <w:pPr>
        <w:spacing w:after="0" w:line="219"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As at December 31, 2023 and 2022, the carrying values of cash, receivables, accounts payable and accrued liabilities approximate their fair values due to the short-term nature of these instruments. The financial instruments also include warrants which are valued at fair value as disclosed in Note 13.</w:t>
      </w:r>
    </w:p>
    <w:p>
      <w:pPr>
        <w:spacing w:after="0" w:line="152" w:lineRule="exact"/>
        <w:rPr>
          <w:sz w:val="20"/>
          <w:szCs w:val="20"/>
          <w:color w:val="auto"/>
        </w:rPr>
      </w:pPr>
    </w:p>
    <w:p>
      <w:pPr>
        <w:ind w:left="18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vi.</w:t>
        <w:tab/>
        <w:t>Cash and Cash Equivalents</w:t>
      </w:r>
    </w:p>
    <w:p>
      <w:pPr>
        <w:spacing w:after="0" w:line="222"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Cash include cash on hand and term deposits with a remaining term to maturity at acquisition of three months or less. As at December 31, 2023 and 2022, the Company had no cash equivalents.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vii. Equipment</w:t>
      </w:r>
    </w:p>
    <w:p>
      <w:pPr>
        <w:spacing w:after="0" w:line="222" w:lineRule="exact"/>
        <w:rPr>
          <w:sz w:val="20"/>
          <w:szCs w:val="20"/>
          <w:color w:val="auto"/>
        </w:rPr>
      </w:pPr>
    </w:p>
    <w:p>
      <w:pPr>
        <w:jc w:val="both"/>
        <w:ind w:left="180" w:firstLine="1"/>
        <w:spacing w:after="0" w:line="264" w:lineRule="auto"/>
        <w:rPr>
          <w:sz w:val="20"/>
          <w:szCs w:val="20"/>
          <w:color w:val="auto"/>
        </w:rPr>
      </w:pPr>
      <w:r>
        <w:rPr>
          <w:rFonts w:ascii="Times New Roman" w:cs="Times New Roman" w:eastAsia="Times New Roman" w:hAnsi="Times New Roman"/>
          <w:sz w:val="17"/>
          <w:szCs w:val="17"/>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376" w:lineRule="exact"/>
        <w:rPr>
          <w:sz w:val="20"/>
          <w:szCs w:val="20"/>
          <w:color w:val="auto"/>
        </w:rPr>
      </w:pPr>
    </w:p>
    <w:tbl>
      <w:tblPr>
        <w:tblLayout w:type="fixed"/>
        <w:tblInd w:w="180" w:type="dxa"/>
        <w:tblCellMar>
          <w:top w:w="0" w:type="dxa"/>
          <w:left w:w="0" w:type="dxa"/>
          <w:bottom w:w="0" w:type="dxa"/>
          <w:right w:w="0" w:type="dxa"/>
        </w:tblCellMar>
      </w:tblPr>
      <w:tr>
        <w:trPr>
          <w:trHeight w:val="23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The major categories of equipment are amortized on a declining balance basis as follows:</w:t>
            </w:r>
          </w:p>
        </w:tc>
        <w:tc>
          <w:tcPr>
            <w:tcW w:w="820" w:type="dxa"/>
            <w:vAlign w:val="bottom"/>
          </w:tcPr>
          <w:p>
            <w:pPr>
              <w:spacing w:after="0"/>
              <w:rPr>
                <w:sz w:val="20"/>
                <w:szCs w:val="20"/>
                <w:color w:val="auto"/>
              </w:rPr>
            </w:pPr>
          </w:p>
        </w:tc>
      </w:tr>
      <w:tr>
        <w:trPr>
          <w:trHeight w:val="220"/>
        </w:trPr>
        <w:tc>
          <w:tcPr>
            <w:tcW w:w="66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7"/>
        </w:trPr>
        <w:tc>
          <w:tcPr>
            <w:tcW w:w="66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Exploration and other equipment</w:t>
            </w: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23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r>
    </w:tbl>
    <w:p>
      <w:pPr>
        <w:spacing w:after="0" w:line="159"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5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Gains and losses on disposals of equipment are determined by comparing the proceeds with the carrying amount of the asset and are included in the statement of loss and comprehensive loss.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viii. Exploration Contracts</w:t>
      </w:r>
    </w:p>
    <w:p>
      <w:pPr>
        <w:spacing w:after="0" w:line="222" w:lineRule="exact"/>
        <w:rPr>
          <w:sz w:val="20"/>
          <w:szCs w:val="20"/>
          <w:color w:val="auto"/>
        </w:rPr>
      </w:pPr>
    </w:p>
    <w:p>
      <w:pPr>
        <w:jc w:val="both"/>
        <w:ind w:left="180" w:firstLine="1"/>
        <w:spacing w:after="0" w:line="276" w:lineRule="auto"/>
        <w:rPr>
          <w:sz w:val="20"/>
          <w:szCs w:val="20"/>
          <w:color w:val="auto"/>
        </w:rPr>
      </w:pPr>
      <w:r>
        <w:rPr>
          <w:rFonts w:ascii="Times New Roman" w:cs="Times New Roman" w:eastAsia="Times New Roman" w:hAnsi="Times New Roman"/>
          <w:sz w:val="17"/>
          <w:szCs w:val="17"/>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715" name="Shape 7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15" o:spid="_x0000_s17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56pt"/>
            </w:pict>
          </mc:Fallback>
        </mc:AlternateContent>
      </w:r>
    </w:p>
    <w:p>
      <w:pPr>
        <w:sectPr>
          <w:pgSz w:w="12240" w:h="15840" w:orient="portrait"/>
          <w:cols w:equalWidth="0" w:num="1">
            <w:col w:w="9480"/>
          </w:cols>
          <w:pgMar w:left="1440" w:top="1324" w:right="1320" w:bottom="1440" w:gutter="0" w:footer="0" w:header="0"/>
        </w:sectPr>
      </w:pPr>
    </w:p>
    <w:bookmarkStart w:id="137" w:name="page138"/>
    <w:bookmarkEnd w:id="137"/>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16" name="Shape 7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16" o:spid="_x0000_s17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17" name="Shape 7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17" o:spid="_x0000_s17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18" name="Shape 7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18" o:spid="_x0000_s17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ix.  Exploration and Evaluation Expenses</w:t>
      </w:r>
    </w:p>
    <w:p>
      <w:pPr>
        <w:spacing w:after="0" w:line="170" w:lineRule="exact"/>
        <w:rPr>
          <w:sz w:val="20"/>
          <w:szCs w:val="20"/>
          <w:color w:val="auto"/>
        </w:rPr>
      </w:pPr>
    </w:p>
    <w:p>
      <w:pPr>
        <w:jc w:val="both"/>
        <w:ind w:left="180" w:firstLine="1"/>
        <w:spacing w:after="0" w:line="276" w:lineRule="auto"/>
        <w:rPr>
          <w:sz w:val="20"/>
          <w:szCs w:val="20"/>
          <w:color w:val="auto"/>
        </w:rPr>
      </w:pPr>
      <w:r>
        <w:rPr>
          <w:rFonts w:ascii="Times New Roman" w:cs="Times New Roman" w:eastAsia="Times New Roman" w:hAnsi="Times New Roman"/>
          <w:sz w:val="17"/>
          <w:szCs w:val="17"/>
          <w:color w:val="auto"/>
        </w:rPr>
        <w:t>While in the exploration phase, 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13" w:lineRule="exact"/>
        <w:rPr>
          <w:sz w:val="20"/>
          <w:szCs w:val="20"/>
          <w:color w:val="auto"/>
        </w:rPr>
      </w:pPr>
    </w:p>
    <w:p>
      <w:pPr>
        <w:ind w:left="500" w:hanging="315"/>
        <w:spacing w:after="0"/>
        <w:tabs>
          <w:tab w:leader="none" w:pos="50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18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26" w:lineRule="exact"/>
        <w:rPr>
          <w:sz w:val="20"/>
          <w:szCs w:val="20"/>
          <w:color w:val="auto"/>
        </w:rPr>
      </w:pPr>
    </w:p>
    <w:p>
      <w:pPr>
        <w:jc w:val="both"/>
        <w:ind w:left="180" w:firstLine="1"/>
        <w:spacing w:after="0" w:line="267" w:lineRule="auto"/>
        <w:rPr>
          <w:sz w:val="20"/>
          <w:szCs w:val="20"/>
          <w:color w:val="auto"/>
        </w:rPr>
      </w:pPr>
      <w:r>
        <w:rPr>
          <w:rFonts w:ascii="Times New Roman" w:cs="Times New Roman" w:eastAsia="Times New Roman" w:hAnsi="Times New Roman"/>
          <w:sz w:val="17"/>
          <w:szCs w:val="17"/>
          <w:color w:val="auto"/>
        </w:rPr>
        <w:t>For stock options and restricted share units issued with performance conditions (Note 15),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32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For stock options issued with market conditions (Note 15),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26"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xi.  Warrants Liability</w:t>
      </w:r>
    </w:p>
    <w:p>
      <w:pPr>
        <w:spacing w:after="0" w:line="18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(“ASC 480”), and ASC 815, Derivatives and Hedging (“ASC 815”). The classification of derivative instruments, including whether such instruments should be recorded as liabilities or as equity, is re-assessed at the end of each reporting period.</w:t>
      </w:r>
    </w:p>
    <w:p>
      <w:pPr>
        <w:spacing w:after="0" w:line="113" w:lineRule="exact"/>
        <w:rPr>
          <w:sz w:val="20"/>
          <w:szCs w:val="20"/>
          <w:color w:val="auto"/>
        </w:rPr>
      </w:pPr>
    </w:p>
    <w:p>
      <w:pPr>
        <w:jc w:val="both"/>
        <w:ind w:left="180" w:firstLine="1"/>
        <w:spacing w:after="0" w:line="258" w:lineRule="auto"/>
        <w:rPr>
          <w:sz w:val="20"/>
          <w:szCs w:val="20"/>
          <w:color w:val="auto"/>
        </w:rPr>
      </w:pPr>
      <w:r>
        <w:rPr>
          <w:rFonts w:ascii="Times New Roman" w:cs="Times New Roman" w:eastAsia="Times New Roman" w:hAnsi="Times New Roman"/>
          <w:sz w:val="17"/>
          <w:szCs w:val="17"/>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were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Fair value changes in the Private Warrants are recognized in the Company’s statement of loss and comprehensive loss.</w:t>
      </w:r>
    </w:p>
    <w:p>
      <w:pPr>
        <w:sectPr>
          <w:pgSz w:w="12240" w:h="15840" w:orient="portrait"/>
          <w:cols w:equalWidth="0" w:num="1">
            <w:col w:w="9480"/>
          </w:cols>
          <w:pgMar w:left="1440" w:top="1324" w:right="1320" w:bottom="1440" w:gutter="0" w:footer="0" w:header="0"/>
        </w:sectPr>
      </w:pPr>
    </w:p>
    <w:p>
      <w:pPr>
        <w:spacing w:after="0" w:line="37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371475</wp:posOffset>
                </wp:positionV>
                <wp:extent cx="6109970" cy="0"/>
                <wp:wrapNone/>
                <wp:docPr id="720" name="Shape 7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720" o:spid="_x0000_s17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9.25pt" to="474.55pt,29.25pt" o:allowincell="f" strokecolor="#000000" strokeweight="1.9434pt"/>
            </w:pict>
          </mc:Fallback>
        </mc:AlternateContent>
      </w:r>
    </w:p>
    <w:p>
      <w:pPr>
        <w:sectPr>
          <w:pgSz w:w="12240" w:h="15840" w:orient="portrait"/>
          <w:cols w:equalWidth="0" w:num="1">
            <w:col w:w="9480"/>
          </w:cols>
          <w:pgMar w:left="1440" w:top="1324" w:right="1320" w:bottom="1440" w:gutter="0" w:footer="0" w:header="0"/>
          <w:type w:val="continuous"/>
        </w:sectPr>
      </w:pPr>
    </w:p>
    <w:bookmarkStart w:id="138" w:name="page139"/>
    <w:bookmarkEnd w:id="138"/>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21" name="Shape 7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21" o:spid="_x0000_s17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22" name="Shape 7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22" o:spid="_x0000_s17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23" name="Shape 7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23" o:spid="_x0000_s17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The Company granted warrants to Allseas on March 4, 2021 to acquire 11.6 million TMC common shares at a nominal value (the “Allseas Warrant”). The Allseas Warrant vested and became exercisable upon successful completion of the PMTS in the fourth quarter of 2022, and had been accounted for as equity, since the warrants do not meet the criteria to be classified as liability as defined in ASC Topic 480, Distinguishing Liabilities from Equity.</w:t>
      </w:r>
    </w:p>
    <w:p>
      <w:pPr>
        <w:spacing w:after="0" w:line="160"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The Company issued Class A Warrants under the Registered Direct Offering (Note 12) in the third quarter of 2023. The Class A Warrants issued met the criteria for equity classification and were recorded under additional paid in capital (Note 13).</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xii. Income Taxes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Income tax expense represents the sum of current tax expense and deferred tax expense.</w:t>
      </w:r>
    </w:p>
    <w:p>
      <w:pPr>
        <w:spacing w:after="0" w:line="219" w:lineRule="exact"/>
        <w:rPr>
          <w:sz w:val="20"/>
          <w:szCs w:val="20"/>
          <w:color w:val="auto"/>
        </w:rPr>
      </w:pPr>
    </w:p>
    <w:p>
      <w:pPr>
        <w:jc w:val="both"/>
        <w:ind w:left="180" w:firstLine="1"/>
        <w:spacing w:after="0" w:line="263" w:lineRule="auto"/>
        <w:rPr>
          <w:sz w:val="20"/>
          <w:szCs w:val="20"/>
          <w:color w:val="auto"/>
        </w:rPr>
      </w:pPr>
      <w:r>
        <w:rPr>
          <w:rFonts w:ascii="Times New Roman" w:cs="Times New Roman" w:eastAsia="Times New Roman" w:hAnsi="Times New Roman"/>
          <w:sz w:val="17"/>
          <w:szCs w:val="17"/>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166"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7"/>
          <w:szCs w:val="17"/>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Significant Accounting Policies Adopted during the year</w:t>
      </w:r>
    </w:p>
    <w:p>
      <w:pPr>
        <w:spacing w:after="0" w:line="219" w:lineRule="exact"/>
        <w:rPr>
          <w:sz w:val="20"/>
          <w:szCs w:val="20"/>
          <w:color w:val="auto"/>
        </w:rPr>
      </w:pPr>
    </w:p>
    <w:p>
      <w:pPr>
        <w:ind w:left="500" w:hanging="315"/>
        <w:spacing w:after="0"/>
        <w:tabs>
          <w:tab w:leader="none" w:pos="50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22" w:lineRule="exact"/>
        <w:rPr>
          <w:sz w:val="20"/>
          <w:szCs w:val="20"/>
          <w:color w:val="auto"/>
        </w:rPr>
      </w:pPr>
    </w:p>
    <w:p>
      <w:pPr>
        <w:jc w:val="both"/>
        <w:ind w:left="180" w:firstLine="1"/>
        <w:spacing w:after="0" w:line="261" w:lineRule="auto"/>
        <w:rPr>
          <w:sz w:val="20"/>
          <w:szCs w:val="20"/>
          <w:color w:val="auto"/>
        </w:rPr>
      </w:pPr>
      <w:r>
        <w:rPr>
          <w:rFonts w:ascii="Times New Roman" w:cs="Times New Roman" w:eastAsia="Times New Roman" w:hAnsi="Times New Roman"/>
          <w:sz w:val="17"/>
          <w:szCs w:val="17"/>
          <w:color w:val="auto"/>
        </w:rPr>
        <w:t xml:space="preserve">The Company records leases in accordance with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and determines if an arrangement contains a lease at inception. Specifically, a contract is or contains a lease when (1) the contract contains an explicitly or implicitly identified asset and (2) we obtain substantially all of the economic benefits from the use of that underlying asset and direct how and for what purpose the asset is used during the term of the contract in exchange for consideration. If an arrangement contains a lease, the Company performs a lease classification test to determine if the lease is an operating lease or a finance lease. Right-of-use (“ROU”) assets represent the right to use an underlying asset for the lease term and lease liabilities represent the Company’s obligation to make lease payments arising from the lease.</w:t>
      </w:r>
    </w:p>
    <w:p>
      <w:pPr>
        <w:spacing w:after="0" w:line="171" w:lineRule="exact"/>
        <w:rPr>
          <w:sz w:val="20"/>
          <w:szCs w:val="20"/>
          <w:color w:val="auto"/>
        </w:rPr>
      </w:pPr>
    </w:p>
    <w:p>
      <w:pPr>
        <w:jc w:val="both"/>
        <w:ind w:left="180" w:firstLine="1"/>
        <w:spacing w:after="0" w:line="263" w:lineRule="auto"/>
        <w:rPr>
          <w:sz w:val="20"/>
          <w:szCs w:val="20"/>
          <w:color w:val="auto"/>
        </w:rPr>
      </w:pPr>
      <w:r>
        <w:rPr>
          <w:rFonts w:ascii="Times New Roman" w:cs="Times New Roman" w:eastAsia="Times New Roman" w:hAnsi="Times New Roman"/>
          <w:sz w:val="17"/>
          <w:szCs w:val="17"/>
          <w:color w:val="auto"/>
        </w:rPr>
        <w:t>Lease liabilities are recognized on the commencement date of the lease based on the present value of the future lease payments over the lease term. The discount rate used to calculate the present value of lease payments is the rate implicit in the lease. Lease liabilities due within the subsequent 12 months of the reporting date are classified as current lease liabilities and are included in accounts payable and accrued liabilities on the Company’s condensed consolidated balance sheet. Lease liabilities payable after the subsequent 12 months of the reporting date are classified as non-current lease liabilities and are presented as non-current lease liability in the condensed consolidated balance sheet.</w:t>
      </w:r>
    </w:p>
    <w:p>
      <w:pPr>
        <w:spacing w:after="0" w:line="37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725" name="Shape 7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42">
                          <a:solidFill>
                            <a:srgbClr val="000000"/>
                          </a:solidFill>
                          <a:miter lim="800000"/>
                          <a:headEnd/>
                          <a:tailEnd/>
                        </a:ln>
                      </wps:spPr>
                      <wps:bodyPr/>
                    </wps:wsp>
                  </a:graphicData>
                </a:graphic>
              </wp:anchor>
            </w:drawing>
          </mc:Choice>
          <mc:Fallback>
            <w:pict>
              <v:line id="Shape 725" o:spid="_x0000_s17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3025pt"/>
            </w:pict>
          </mc:Fallback>
        </mc:AlternateContent>
      </w:r>
    </w:p>
    <w:p>
      <w:pPr>
        <w:sectPr>
          <w:pgSz w:w="12240" w:h="15840" w:orient="portrait"/>
          <w:cols w:equalWidth="0" w:num="1">
            <w:col w:w="9480"/>
          </w:cols>
          <w:pgMar w:left="1440" w:top="1324" w:right="1320" w:bottom="1440" w:gutter="0" w:footer="0" w:header="0"/>
        </w:sectPr>
      </w:pPr>
    </w:p>
    <w:bookmarkStart w:id="139" w:name="page140"/>
    <w:bookmarkEnd w:id="139"/>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26" o:spid="_x0000_s17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27" name="Shape 7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27" o:spid="_x0000_s17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28" name="Shape 7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28" o:spid="_x0000_s17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29" name="Shape 7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29" o:spid="_x0000_s17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06" w:firstLine="1"/>
        <w:spacing w:after="0" w:line="265" w:lineRule="auto"/>
        <w:rPr>
          <w:sz w:val="20"/>
          <w:szCs w:val="20"/>
          <w:color w:val="auto"/>
        </w:rPr>
      </w:pPr>
      <w:r>
        <w:rPr>
          <w:rFonts w:ascii="Times New Roman" w:cs="Times New Roman" w:eastAsia="Times New Roman" w:hAnsi="Times New Roman"/>
          <w:sz w:val="17"/>
          <w:szCs w:val="17"/>
          <w:color w:val="auto"/>
        </w:rPr>
        <w:t>ROU assets are valued at the initial measurement of the lease liability, plus any indirect costs or rent prepayments, and reduced by any lease incentives and any deferred lease payments. ROU assets are recorded as Right-of-use assets, net of any amortization on the condensed consolidated balance sheet. Operating ROU assets are amortized on a straight-line basis over the lease term, whereas Finance ROU assets are amortized on a front-loaded basis. Depending on the nature of the ROU asset, the amortization expense is either included in exploration and evaluation expenses or in general and administrative expenses.</w:t>
      </w:r>
    </w:p>
    <w:p>
      <w:pPr>
        <w:spacing w:after="0" w:line="165" w:lineRule="exact"/>
        <w:rPr>
          <w:sz w:val="20"/>
          <w:szCs w:val="20"/>
          <w:color w:val="auto"/>
        </w:rPr>
      </w:pPr>
    </w:p>
    <w:p>
      <w:pPr>
        <w:jc w:val="both"/>
        <w:ind w:left="306"/>
        <w:spacing w:after="0" w:line="265" w:lineRule="auto"/>
        <w:rPr>
          <w:sz w:val="20"/>
          <w:szCs w:val="20"/>
          <w:color w:val="auto"/>
        </w:rPr>
      </w:pPr>
      <w:r>
        <w:rPr>
          <w:rFonts w:ascii="Times New Roman" w:cs="Times New Roman" w:eastAsia="Times New Roman" w:hAnsi="Times New Roman"/>
          <w:sz w:val="17"/>
          <w:szCs w:val="17"/>
          <w:color w:val="auto"/>
        </w:rPr>
        <w:t>The Company subsequently measures the ROU assets for an operating lease at the amount of the remeasured lease liability (i.e. the present value of the remaining lease payments), adjusted for the remaining balance of any lease incentives received, any cumulative prepaid or accrued rent if the lease payments are uneven throughout the lease term and any unamortized initial direct costs. The ROU assets for a finance lease are subsequently measured by amortizing them on a straight-line basis over the shorter of the lease term or useful life and also adjustment for any impairments.</w:t>
      </w:r>
    </w:p>
    <w:p>
      <w:pPr>
        <w:spacing w:after="0" w:line="165" w:lineRule="exact"/>
        <w:rPr>
          <w:sz w:val="20"/>
          <w:szCs w:val="20"/>
          <w:color w:val="auto"/>
        </w:rPr>
      </w:pPr>
    </w:p>
    <w:p>
      <w:pPr>
        <w:jc w:val="both"/>
        <w:ind w:left="306"/>
        <w:spacing w:after="0" w:line="298" w:lineRule="auto"/>
        <w:rPr>
          <w:sz w:val="20"/>
          <w:szCs w:val="20"/>
          <w:color w:val="auto"/>
        </w:rPr>
      </w:pPr>
      <w:r>
        <w:rPr>
          <w:rFonts w:ascii="Times New Roman" w:cs="Times New Roman" w:eastAsia="Times New Roman" w:hAnsi="Times New Roman"/>
          <w:sz w:val="17"/>
          <w:szCs w:val="17"/>
          <w:color w:val="auto"/>
        </w:rPr>
        <w:t>In the third quarter of 2023, the Company entered into an Exclusive Vessel Use Agreement with Allseas (Note 8) which was recognized as a lease agreement in accordance with accounting standards.</w:t>
      </w:r>
    </w:p>
    <w:p>
      <w:pPr>
        <w:spacing w:after="0" w:line="134" w:lineRule="exact"/>
        <w:rPr>
          <w:sz w:val="20"/>
          <w:szCs w:val="20"/>
          <w:color w:val="auto"/>
        </w:rPr>
      </w:pPr>
    </w:p>
    <w:p>
      <w:pPr>
        <w:ind w:left="306"/>
        <w:spacing w:after="0"/>
        <w:tabs>
          <w:tab w:leader="none" w:pos="606" w:val="left"/>
        </w:tabs>
        <w:rPr>
          <w:sz w:val="20"/>
          <w:szCs w:val="20"/>
          <w:color w:val="auto"/>
        </w:rPr>
      </w:pPr>
      <w:r>
        <w:rPr>
          <w:rFonts w:ascii="Times New Roman" w:cs="Times New Roman" w:eastAsia="Times New Roman" w:hAnsi="Times New Roman"/>
          <w:sz w:val="17"/>
          <w:szCs w:val="17"/>
          <w:b w:val="1"/>
          <w:bCs w:val="1"/>
          <w:color w:val="auto"/>
        </w:rPr>
        <w:t>ii.</w:t>
        <w:tab/>
        <w:t>Investments</w:t>
      </w:r>
    </w:p>
    <w:p>
      <w:pPr>
        <w:spacing w:after="0" w:line="222" w:lineRule="exact"/>
        <w:rPr>
          <w:sz w:val="20"/>
          <w:szCs w:val="20"/>
          <w:color w:val="auto"/>
        </w:rPr>
      </w:pPr>
    </w:p>
    <w:p>
      <w:pPr>
        <w:jc w:val="both"/>
        <w:ind w:left="306"/>
        <w:spacing w:after="0" w:line="263" w:lineRule="auto"/>
        <w:rPr>
          <w:sz w:val="20"/>
          <w:szCs w:val="20"/>
          <w:color w:val="auto"/>
        </w:rPr>
      </w:pPr>
      <w:r>
        <w:rPr>
          <w:rFonts w:ascii="Times New Roman" w:cs="Times New Roman" w:eastAsia="Times New Roman" w:hAnsi="Times New Roman"/>
          <w:sz w:val="17"/>
          <w:szCs w:val="17"/>
          <w:color w:val="auto"/>
        </w:rPr>
        <w:t xml:space="preserve">The Company consolidates investments over which it has control in accordance with ASC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 xml:space="preserve"> (“ASC 810”). Where the Company does not have control over the investment, but has significant influence, the Company records the investment in accordance with ASC 323, </w:t>
      </w:r>
      <w:r>
        <w:rPr>
          <w:rFonts w:ascii="Times New Roman" w:cs="Times New Roman" w:eastAsia="Times New Roman" w:hAnsi="Times New Roman"/>
          <w:sz w:val="17"/>
          <w:szCs w:val="17"/>
          <w:i w:val="1"/>
          <w:iCs w:val="1"/>
          <w:color w:val="auto"/>
        </w:rPr>
        <w:t>Investments-Equity Method and Joint Ventures</w:t>
      </w:r>
      <w:r>
        <w:rPr>
          <w:rFonts w:ascii="Times New Roman" w:cs="Times New Roman" w:eastAsia="Times New Roman" w:hAnsi="Times New Roman"/>
          <w:sz w:val="17"/>
          <w:szCs w:val="17"/>
          <w:color w:val="auto"/>
        </w:rPr>
        <w:t xml:space="preserve"> (“ASC 323”) whereby, after recording the initial investment, the Company recognizes its proportional share of results of operations of the affiliate in its consolidated financial statements. The value of the equity method investments is impaired if it is determined that there is an other-than-temporary decline in value. Investments over which the Company does not have control nor significant influence are recorded at cost.</w:t>
      </w:r>
    </w:p>
    <w:p>
      <w:pPr>
        <w:spacing w:after="0" w:line="166" w:lineRule="exact"/>
        <w:rPr>
          <w:sz w:val="20"/>
          <w:szCs w:val="20"/>
          <w:color w:val="auto"/>
        </w:rPr>
      </w:pPr>
    </w:p>
    <w:p>
      <w:pPr>
        <w:jc w:val="both"/>
        <w:ind w:left="306"/>
        <w:spacing w:after="0" w:line="299" w:lineRule="auto"/>
        <w:rPr>
          <w:sz w:val="20"/>
          <w:szCs w:val="20"/>
          <w:color w:val="auto"/>
        </w:rPr>
      </w:pPr>
      <w:r>
        <w:rPr>
          <w:rFonts w:ascii="Times New Roman" w:cs="Times New Roman" w:eastAsia="Times New Roman" w:hAnsi="Times New Roman"/>
          <w:sz w:val="17"/>
          <w:szCs w:val="17"/>
          <w:color w:val="auto"/>
        </w:rPr>
        <w:t>The Company and its wholly-owned subsidiary, NORI, entered into an investment with Low Carbon Royalties on February 21, 2023 (Note 9).</w:t>
      </w:r>
    </w:p>
    <w:p>
      <w:pPr>
        <w:spacing w:after="0" w:line="132" w:lineRule="exact"/>
        <w:rPr>
          <w:sz w:val="20"/>
          <w:szCs w:val="20"/>
          <w:color w:val="auto"/>
        </w:rPr>
      </w:pPr>
    </w:p>
    <w:p>
      <w:pPr>
        <w:ind w:left="306" w:hanging="306"/>
        <w:spacing w:after="0"/>
        <w:tabs>
          <w:tab w:leader="none" w:pos="306"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Estimates and Judgements</w:t>
      </w:r>
    </w:p>
    <w:p>
      <w:pPr>
        <w:spacing w:after="0" w:line="222" w:lineRule="exact"/>
        <w:rPr>
          <w:rFonts w:ascii="Times New Roman" w:cs="Times New Roman" w:eastAsia="Times New Roman" w:hAnsi="Times New Roman"/>
          <w:sz w:val="17"/>
          <w:szCs w:val="17"/>
          <w:b w:val="1"/>
          <w:bCs w:val="1"/>
          <w:color w:val="auto"/>
        </w:rPr>
      </w:pPr>
    </w:p>
    <w:p>
      <w:pPr>
        <w:jc w:val="both"/>
        <w:ind w:left="306"/>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64" w:lineRule="exact"/>
        <w:rPr>
          <w:rFonts w:ascii="Times New Roman" w:cs="Times New Roman" w:eastAsia="Times New Roman" w:hAnsi="Times New Roman"/>
          <w:sz w:val="17"/>
          <w:szCs w:val="17"/>
          <w:b w:val="1"/>
          <w:bCs w:val="1"/>
          <w:color w:val="auto"/>
        </w:rPr>
      </w:pPr>
    </w:p>
    <w:p>
      <w:pPr>
        <w:ind w:left="306" w:right="3340"/>
        <w:spacing w:after="0" w:line="50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Significant management judgments and estimates were applied to the following areas: </w:t>
      </w:r>
      <w:r>
        <w:rPr>
          <w:rFonts w:ascii="Times New Roman" w:cs="Times New Roman" w:eastAsia="Times New Roman" w:hAnsi="Times New Roman"/>
          <w:sz w:val="17"/>
          <w:szCs w:val="17"/>
          <w:b w:val="1"/>
          <w:bCs w:val="1"/>
          <w:color w:val="auto"/>
        </w:rPr>
        <w:t>i. Evaluation of Going Concern</w:t>
      </w:r>
    </w:p>
    <w:p>
      <w:pPr>
        <w:jc w:val="both"/>
        <w:ind w:left="306" w:firstLine="1"/>
        <w:spacing w:after="0" w:line="276" w:lineRule="auto"/>
        <w:rPr>
          <w:sz w:val="20"/>
          <w:szCs w:val="20"/>
          <w:color w:val="auto"/>
        </w:rPr>
      </w:pPr>
      <w:r>
        <w:rPr>
          <w:rFonts w:ascii="Times New Roman" w:cs="Times New Roman" w:eastAsia="Times New Roman" w:hAnsi="Times New Roman"/>
          <w:sz w:val="17"/>
          <w:szCs w:val="17"/>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52" w:lineRule="exact"/>
        <w:rPr>
          <w:sz w:val="20"/>
          <w:szCs w:val="20"/>
          <w:color w:val="auto"/>
        </w:rPr>
      </w:pPr>
    </w:p>
    <w:p>
      <w:pPr>
        <w:ind w:left="306"/>
        <w:spacing w:after="0"/>
        <w:tabs>
          <w:tab w:leader="none" w:pos="606" w:val="left"/>
        </w:tabs>
        <w:rPr>
          <w:sz w:val="20"/>
          <w:szCs w:val="20"/>
          <w:color w:val="auto"/>
        </w:rPr>
      </w:pPr>
      <w:r>
        <w:rPr>
          <w:rFonts w:ascii="Times New Roman" w:cs="Times New Roman" w:eastAsia="Times New Roman" w:hAnsi="Times New Roman"/>
          <w:sz w:val="17"/>
          <w:szCs w:val="17"/>
          <w:b w:val="1"/>
          <w:bCs w:val="1"/>
          <w:color w:val="auto"/>
        </w:rPr>
        <w:t>ii.</w:t>
        <w:tab/>
        <w:t>Valuation of Share-Based Payments</w:t>
      </w:r>
    </w:p>
    <w:p>
      <w:pPr>
        <w:spacing w:after="0" w:line="222" w:lineRule="exact"/>
        <w:rPr>
          <w:sz w:val="20"/>
          <w:szCs w:val="20"/>
          <w:color w:val="auto"/>
        </w:rPr>
      </w:pPr>
    </w:p>
    <w:p>
      <w:pPr>
        <w:jc w:val="both"/>
        <w:ind w:left="306"/>
        <w:spacing w:after="0" w:line="298" w:lineRule="auto"/>
        <w:rPr>
          <w:sz w:val="20"/>
          <w:szCs w:val="20"/>
          <w:color w:val="auto"/>
        </w:rPr>
      </w:pPr>
      <w:r>
        <w:rPr>
          <w:rFonts w:ascii="Times New Roman" w:cs="Times New Roman" w:eastAsia="Times New Roman" w:hAnsi="Times New Roman"/>
          <w:sz w:val="17"/>
          <w:szCs w:val="17"/>
          <w:color w:val="auto"/>
        </w:rPr>
        <w:t>The fair market value of share-based awards granted to employees, non-employees and directors is based on the closing market price of the Company’s shares, on the date these were granted (Note 15).</w:t>
      </w:r>
    </w:p>
    <w:p>
      <w:pPr>
        <w:spacing w:after="0" w:line="34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730" name="Shape 7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30" o:spid="_x0000_s17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324" w:right="1320"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31" name="Shape 7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31" o:spid="_x0000_s17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32" name="Shape 7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32" o:spid="_x0000_s175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33" name="Shape 7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33" o:spid="_x0000_s17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34" name="Shape 7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34" o:spid="_x0000_s17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20" w:right="20"/>
        <w:spacing w:after="0" w:line="265" w:lineRule="auto"/>
        <w:rPr>
          <w:sz w:val="20"/>
          <w:szCs w:val="20"/>
          <w:color w:val="auto"/>
        </w:rPr>
      </w:pPr>
      <w:r>
        <w:rPr>
          <w:rFonts w:ascii="Times New Roman" w:cs="Times New Roman" w:eastAsia="Times New Roman" w:hAnsi="Times New Roman"/>
          <w:sz w:val="17"/>
          <w:szCs w:val="17"/>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iii.  Valuation of Warrants Liability</w:t>
      </w:r>
    </w:p>
    <w:p>
      <w:pPr>
        <w:spacing w:after="0" w:line="222" w:lineRule="exact"/>
        <w:rPr>
          <w:sz w:val="20"/>
          <w:szCs w:val="20"/>
          <w:color w:val="auto"/>
        </w:rPr>
      </w:pPr>
    </w:p>
    <w:p>
      <w:pPr>
        <w:jc w:val="both"/>
        <w:ind w:left="320" w:right="20" w:firstLine="1"/>
        <w:spacing w:after="0" w:line="269" w:lineRule="auto"/>
        <w:rPr>
          <w:sz w:val="20"/>
          <w:szCs w:val="20"/>
          <w:color w:val="auto"/>
        </w:rPr>
      </w:pPr>
      <w:r>
        <w:rPr>
          <w:rFonts w:ascii="Times New Roman" w:cs="Times New Roman" w:eastAsia="Times New Roman" w:hAnsi="Times New Roman"/>
          <w:sz w:val="17"/>
          <w:szCs w:val="17"/>
          <w:color w:val="auto"/>
        </w:rPr>
        <w:t>The Company re-measures the fair value of the Private Warrants at the end of each reporting period (Note 13).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30-trading-day period.</w:t>
      </w:r>
    </w:p>
    <w:p>
      <w:pPr>
        <w:spacing w:after="0" w:line="160" w:lineRule="exact"/>
        <w:rPr>
          <w:sz w:val="20"/>
          <w:szCs w:val="20"/>
          <w:color w:val="auto"/>
        </w:rPr>
      </w:pPr>
    </w:p>
    <w:p>
      <w:pPr>
        <w:jc w:val="both"/>
        <w:ind w:left="320" w:right="20"/>
        <w:spacing w:after="0" w:line="261" w:lineRule="auto"/>
        <w:rPr>
          <w:sz w:val="20"/>
          <w:szCs w:val="20"/>
          <w:color w:val="auto"/>
        </w:rPr>
      </w:pPr>
      <w:r>
        <w:rPr>
          <w:rFonts w:ascii="Times New Roman" w:cs="Times New Roman" w:eastAsia="Times New Roman" w:hAnsi="Times New Roman"/>
          <w:sz w:val="17"/>
          <w:szCs w:val="17"/>
          <w:color w:val="auto"/>
        </w:rPr>
        <w:t>During the year the Company issued Class A warrants as a part of the Registered Direct Offering (Note 12 &amp; Note 13). The warrants were valued using a Monte Carlo simulation by running 250,000 trials. The model assumed that the Company’s share price follows geometric Brownian motion which is a standard assumption used in Monte Carlo univariate pricing models. The valuation was calculated under a risk-neutral framework using a zero-coupon risk-free interest rate derived from the Treasury Constant Maturities yield curve for a term until the expiry of the Warrants. The Company’s share price was simulated up to the expiration date using a blended volatility, calculated by assigning equal weights to both implied volatility of the Company’s Public Warrants and the historical volatility of the Company’s share price.</w:t>
      </w:r>
    </w:p>
    <w:p>
      <w:pPr>
        <w:spacing w:after="0" w:line="168"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iv.</w:t>
        <w:tab/>
        <w:t>Valuation of Royalty Liability</w:t>
      </w:r>
    </w:p>
    <w:p>
      <w:pPr>
        <w:spacing w:after="0" w:line="222" w:lineRule="exact"/>
        <w:rPr>
          <w:sz w:val="20"/>
          <w:szCs w:val="20"/>
          <w:color w:val="auto"/>
        </w:rPr>
      </w:pPr>
    </w:p>
    <w:p>
      <w:pPr>
        <w:jc w:val="both"/>
        <w:ind w:left="320" w:right="20"/>
        <w:spacing w:after="0" w:line="265" w:lineRule="auto"/>
        <w:rPr>
          <w:sz w:val="20"/>
          <w:szCs w:val="20"/>
          <w:color w:val="auto"/>
        </w:rPr>
      </w:pPr>
      <w:r>
        <w:rPr>
          <w:rFonts w:ascii="Times New Roman" w:cs="Times New Roman" w:eastAsia="Times New Roman" w:hAnsi="Times New Roman"/>
          <w:sz w:val="17"/>
          <w:szCs w:val="17"/>
          <w:color w:val="auto"/>
        </w:rPr>
        <w:t>The Company re-measures the fair value of its royalty liability at each reporting date. As NORI is in an advanced exploration stage and pre-production, the fair value of the royalty liability is measured by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of its royalty liability at the reporting date.</w:t>
      </w:r>
    </w:p>
    <w:p>
      <w:pPr>
        <w:spacing w:after="0" w:line="162" w:lineRule="exact"/>
        <w:rPr>
          <w:sz w:val="20"/>
          <w:szCs w:val="20"/>
          <w:color w:val="auto"/>
        </w:rPr>
      </w:pPr>
    </w:p>
    <w:p>
      <w:pPr>
        <w:ind w:left="320" w:hanging="306"/>
        <w:spacing w:after="0"/>
        <w:tabs>
          <w:tab w:leader="none" w:pos="3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 Accounting Pronouncements Issued and Adopted</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no recent accounting pronouncements applicable to the Company during the year.</w:t>
      </w:r>
    </w:p>
    <w:p>
      <w:pPr>
        <w:spacing w:after="0" w:line="216" w:lineRule="exact"/>
        <w:rPr>
          <w:rFonts w:ascii="Times New Roman" w:cs="Times New Roman" w:eastAsia="Times New Roman" w:hAnsi="Times New Roman"/>
          <w:sz w:val="17"/>
          <w:szCs w:val="17"/>
          <w:b w:val="1"/>
          <w:bCs w:val="1"/>
          <w:color w:val="auto"/>
        </w:rPr>
      </w:pPr>
    </w:p>
    <w:p>
      <w:pPr>
        <w:ind w:left="320" w:hanging="306"/>
        <w:spacing w:after="0"/>
        <w:tabs>
          <w:tab w:leader="none" w:pos="320"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Receivables and Prepayments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amounts of outstanding receivables and prepayments at December 31, 2023 and 2022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3140" w:type="dxa"/>
            <w:vAlign w:val="bottom"/>
            <w:tcBorders>
              <w:bottom w:val="single" w:sz="8" w:color="CBEBF4"/>
            </w:tcBorders>
          </w:tcPr>
          <w:p>
            <w:pPr>
              <w:spacing w:after="0"/>
              <w:rPr>
                <w:sz w:val="14"/>
                <w:szCs w:val="14"/>
                <w:color w:val="auto"/>
              </w:rPr>
            </w:pPr>
          </w:p>
        </w:tc>
        <w:tc>
          <w:tcPr>
            <w:tcW w:w="3200" w:type="dxa"/>
            <w:vAlign w:val="bottom"/>
            <w:tcBorders>
              <w:bottom w:val="single" w:sz="8" w:color="CBEBF4"/>
            </w:tcBorders>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CBEBF4"/>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1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Taxes and other receivables</w:t>
            </w:r>
          </w:p>
        </w:tc>
        <w:tc>
          <w:tcPr>
            <w:tcW w:w="3580" w:type="dxa"/>
            <w:vAlign w:val="bottom"/>
            <w:gridSpan w:val="2"/>
            <w:shd w:val="clear" w:color="auto" w:fill="CBEBF4"/>
          </w:tcPr>
          <w:p>
            <w:pPr>
              <w:ind w:left="3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467</w:t>
            </w:r>
          </w:p>
        </w:tc>
        <w:tc>
          <w:tcPr>
            <w:tcW w:w="240" w:type="dxa"/>
            <w:vAlign w:val="bottom"/>
            <w:shd w:val="clear" w:color="auto" w:fill="CBEBF4"/>
          </w:tcPr>
          <w:p>
            <w:pPr>
              <w:spacing w:after="0"/>
              <w:rPr>
                <w:sz w:val="17"/>
                <w:szCs w:val="17"/>
                <w:color w:val="auto"/>
              </w:rPr>
            </w:pPr>
          </w:p>
        </w:tc>
        <w:tc>
          <w:tcPr>
            <w:tcW w:w="38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14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color w:val="auto"/>
              </w:rPr>
              <w:t>Prepayments</w:t>
            </w:r>
          </w:p>
        </w:tc>
        <w:tc>
          <w:tcPr>
            <w:tcW w:w="3200" w:type="dxa"/>
            <w:vAlign w:val="bottom"/>
            <w:tcBorders>
              <w:bottom w:val="single" w:sz="8" w:color="CBEBF4"/>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1,511</w:t>
            </w:r>
          </w:p>
        </w:tc>
        <w:tc>
          <w:tcPr>
            <w:tcW w:w="240" w:type="dxa"/>
            <w:vAlign w:val="bottom"/>
            <w:tcBorders>
              <w:bottom w:val="single" w:sz="8" w:color="CBEBF4"/>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140" w:type="dxa"/>
            <w:vAlign w:val="bottom"/>
            <w:shd w:val="clear" w:color="auto" w:fill="CBEBF4"/>
          </w:tcPr>
          <w:p>
            <w:pPr>
              <w:spacing w:after="0"/>
              <w:rPr>
                <w:sz w:val="17"/>
                <w:szCs w:val="17"/>
                <w:color w:val="auto"/>
              </w:rPr>
            </w:pPr>
          </w:p>
        </w:tc>
        <w:tc>
          <w:tcPr>
            <w:tcW w:w="3580" w:type="dxa"/>
            <w:vAlign w:val="bottom"/>
            <w:gridSpan w:val="2"/>
            <w:shd w:val="clear" w:color="auto" w:fill="CBEBF4"/>
          </w:tcPr>
          <w:p>
            <w:pPr>
              <w:ind w:left="3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1,978</w:t>
            </w:r>
          </w:p>
        </w:tc>
        <w:tc>
          <w:tcPr>
            <w:tcW w:w="240" w:type="dxa"/>
            <w:vAlign w:val="bottom"/>
            <w:shd w:val="clear" w:color="auto" w:fill="CBEBF4"/>
          </w:tcPr>
          <w:p>
            <w:pPr>
              <w:spacing w:after="0"/>
              <w:rPr>
                <w:sz w:val="17"/>
                <w:szCs w:val="17"/>
                <w:color w:val="auto"/>
              </w:rPr>
            </w:pPr>
          </w:p>
        </w:tc>
        <w:tc>
          <w:tcPr>
            <w:tcW w:w="38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2,726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40" w:type="dxa"/>
            <w:vAlign w:val="bottom"/>
            <w:tcBorders>
              <w:top w:val="single" w:sz="8" w:color="CBEBF4"/>
            </w:tcBorders>
          </w:tcPr>
          <w:p>
            <w:pPr>
              <w:spacing w:after="0" w:line="20" w:lineRule="exact"/>
              <w:rPr>
                <w:sz w:val="1"/>
                <w:szCs w:val="1"/>
                <w:color w:val="auto"/>
              </w:rPr>
            </w:pPr>
          </w:p>
        </w:tc>
        <w:tc>
          <w:tcPr>
            <w:tcW w:w="3200" w:type="dxa"/>
            <w:vAlign w:val="bottom"/>
            <w:tcBorders>
              <w:top w:val="single" w:sz="8" w:color="CBEBF4"/>
              <w:bottom w:val="single" w:sz="8" w:color="CBEBF4"/>
            </w:tcBorders>
            <w:vMerge w:val="restart"/>
          </w:tcPr>
          <w:p>
            <w:pPr>
              <w:jc w:val="right"/>
              <w:ind w:right="1645"/>
              <w:spacing w:after="0"/>
              <w:rPr>
                <w:sz w:val="20"/>
                <w:szCs w:val="20"/>
                <w:color w:val="auto"/>
              </w:rPr>
            </w:pPr>
            <w:r>
              <w:rPr>
                <w:rFonts w:ascii="Times New Roman" w:cs="Times New Roman" w:eastAsia="Times New Roman" w:hAnsi="Times New Roman"/>
                <w:sz w:val="17"/>
                <w:szCs w:val="17"/>
                <w:color w:val="auto"/>
              </w:rPr>
              <w:t>135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BEBF4"/>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40"/>
          </w:cols>
          <w:pgMar w:left="1300" w:top="1324" w:right="1300" w:bottom="1440" w:gutter="0" w:footer="0" w:header="0"/>
        </w:sectPr>
      </w:pPr>
    </w:p>
    <w:bookmarkStart w:id="141" w:name="page142"/>
    <w:bookmarkEnd w:id="141"/>
    <w:p>
      <w:pPr>
        <w:jc w:val="center"/>
        <w:ind w:right="-6"/>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36" o:spid="_x0000_s17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37" name="Shape 7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37" o:spid="_x0000_s17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38" name="Shape 7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38" o:spid="_x0000_s17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07" w:hanging="306"/>
        <w:spacing w:after="0"/>
        <w:tabs>
          <w:tab w:leader="none" w:pos="307"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Equipment</w:t>
      </w:r>
    </w:p>
    <w:p>
      <w:pPr>
        <w:spacing w:after="0" w:line="222" w:lineRule="exact"/>
        <w:rPr>
          <w:rFonts w:ascii="Times New Roman" w:cs="Times New Roman" w:eastAsia="Times New Roman" w:hAnsi="Times New Roman"/>
          <w:sz w:val="17"/>
          <w:szCs w:val="17"/>
          <w:b w:val="1"/>
          <w:bCs w:val="1"/>
          <w:color w:val="auto"/>
        </w:rPr>
      </w:pPr>
    </w:p>
    <w:p>
      <w:pPr>
        <w:ind w:left="307"/>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movements in the Company’s capital equipment are as follows:</w:t>
      </w:r>
    </w:p>
    <w:p>
      <w:pPr>
        <w:spacing w:after="0" w:line="212" w:lineRule="exact"/>
        <w:rPr>
          <w:sz w:val="20"/>
          <w:szCs w:val="20"/>
          <w:color w:val="auto"/>
        </w:rPr>
      </w:pPr>
    </w:p>
    <w:tbl>
      <w:tblPr>
        <w:tblLayout w:type="fixed"/>
        <w:tblInd w:w="307"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3"/>
                <w:szCs w:val="13"/>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Exploration and</w:t>
            </w:r>
          </w:p>
        </w:tc>
        <w:tc>
          <w:tcPr>
            <w:tcW w:w="240" w:type="dxa"/>
            <w:vAlign w:val="bottom"/>
          </w:tcPr>
          <w:p>
            <w:pPr>
              <w:spacing w:after="0"/>
              <w:rPr>
                <w:sz w:val="13"/>
                <w:szCs w:val="13"/>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5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 equipment</w:t>
            </w: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5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December 31, 2021</w:t>
            </w:r>
          </w:p>
        </w:tc>
        <w:tc>
          <w:tcPr>
            <w:tcW w:w="280" w:type="dxa"/>
            <w:vAlign w:val="bottom"/>
            <w:tcBorders>
              <w:top w:val="single" w:sz="8" w:color="CBEBF4"/>
            </w:tcBorders>
            <w:shd w:val="clear" w:color="auto" w:fill="CBEBF4"/>
          </w:tcPr>
          <w:p>
            <w:pPr>
              <w:spacing w:after="0"/>
              <w:rPr>
                <w:sz w:val="17"/>
                <w:szCs w:val="17"/>
                <w:color w:val="auto"/>
              </w:rPr>
            </w:pPr>
          </w:p>
        </w:tc>
        <w:tc>
          <w:tcPr>
            <w:tcW w:w="260" w:type="dxa"/>
            <w:vAlign w:val="bottom"/>
            <w:tcBorders>
              <w:top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2,800</w:t>
            </w:r>
          </w:p>
        </w:tc>
        <w:tc>
          <w:tcPr>
            <w:tcW w:w="20" w:type="dxa"/>
            <w:vAlign w:val="bottom"/>
            <w:tcBorders>
              <w:top w:val="single" w:sz="8" w:color="auto"/>
            </w:tcBorders>
            <w:shd w:val="clear" w:color="auto" w:fill="CBEBF4"/>
          </w:tcPr>
          <w:p>
            <w:pPr>
              <w:spacing w:after="0"/>
              <w:rPr>
                <w:sz w:val="17"/>
                <w:szCs w:val="17"/>
                <w:color w:val="auto"/>
              </w:rPr>
            </w:pPr>
          </w:p>
        </w:tc>
        <w:tc>
          <w:tcPr>
            <w:tcW w:w="260" w:type="dxa"/>
            <w:vAlign w:val="bottom"/>
            <w:tcBorders>
              <w:top w:val="single" w:sz="8" w:color="CBEBF4"/>
            </w:tcBorders>
            <w:shd w:val="clear" w:color="auto" w:fill="CBEBF4"/>
          </w:tcPr>
          <w:p>
            <w:pPr>
              <w:spacing w:after="0"/>
              <w:rPr>
                <w:sz w:val="17"/>
                <w:szCs w:val="17"/>
                <w:color w:val="auto"/>
              </w:rPr>
            </w:pPr>
          </w:p>
        </w:tc>
        <w:tc>
          <w:tcPr>
            <w:tcW w:w="240" w:type="dxa"/>
            <w:vAlign w:val="bottom"/>
            <w:tcBorders>
              <w:top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Borders>
              <w:top w:val="single" w:sz="8" w:color="CBEBF4"/>
            </w:tcBorders>
            <w:shd w:val="clear" w:color="auto" w:fill="CBEBF4"/>
          </w:tcPr>
          <w:p>
            <w:pPr>
              <w:spacing w:after="0"/>
              <w:rPr>
                <w:sz w:val="17"/>
                <w:szCs w:val="17"/>
                <w:color w:val="auto"/>
              </w:rPr>
            </w:pPr>
          </w:p>
        </w:tc>
        <w:tc>
          <w:tcPr>
            <w:tcW w:w="540" w:type="dxa"/>
            <w:vAlign w:val="bottom"/>
            <w:tcBorders>
              <w:top w:val="single" w:sz="8" w:color="auto"/>
            </w:tcBorders>
            <w:shd w:val="clear" w:color="auto" w:fill="CBEBF4"/>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2,821</w:t>
            </w:r>
          </w:p>
        </w:tc>
        <w:tc>
          <w:tcPr>
            <w:tcW w:w="0" w:type="dxa"/>
            <w:vAlign w:val="bottom"/>
          </w:tcPr>
          <w:p>
            <w:pPr>
              <w:spacing w:after="0"/>
              <w:rPr>
                <w:sz w:val="1"/>
                <w:szCs w:val="1"/>
                <w:color w:val="auto"/>
              </w:rPr>
            </w:pPr>
          </w:p>
        </w:tc>
      </w:tr>
      <w:tr>
        <w:trPr>
          <w:trHeight w:val="207"/>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0" w:type="dxa"/>
            <w:vAlign w:val="bottom"/>
          </w:tcPr>
          <w:p>
            <w:pPr>
              <w:spacing w:after="0"/>
              <w:rPr>
                <w:sz w:val="1"/>
                <w:szCs w:val="1"/>
                <w:color w:val="auto"/>
              </w:rPr>
            </w:pPr>
          </w:p>
        </w:tc>
      </w:tr>
      <w:tr>
        <w:trPr>
          <w:trHeight w:val="200"/>
        </w:trPr>
        <w:tc>
          <w:tcPr>
            <w:tcW w:w="3860" w:type="dxa"/>
            <w:vAlign w:val="bottom"/>
            <w:tcBorders>
              <w:top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60" w:type="dxa"/>
            <w:vAlign w:val="bottom"/>
            <w:tcBorders>
              <w:top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3,826</w:t>
            </w:r>
          </w:p>
        </w:tc>
        <w:tc>
          <w:tcPr>
            <w:tcW w:w="20" w:type="dxa"/>
            <w:vAlign w:val="bottom"/>
            <w:tcBorders>
              <w:top w:val="single" w:sz="8" w:color="CBEBF4"/>
            </w:tcBorders>
            <w:shd w:val="clear" w:color="auto" w:fill="CBEBF4"/>
          </w:tcPr>
          <w:p>
            <w:pPr>
              <w:spacing w:after="0"/>
              <w:rPr>
                <w:sz w:val="17"/>
                <w:szCs w:val="17"/>
                <w:color w:val="auto"/>
              </w:rPr>
            </w:pPr>
          </w:p>
        </w:tc>
        <w:tc>
          <w:tcPr>
            <w:tcW w:w="260" w:type="dxa"/>
            <w:vAlign w:val="bottom"/>
            <w:tcBorders>
              <w:top w:val="single" w:sz="8" w:color="CBEBF4"/>
            </w:tcBorders>
            <w:shd w:val="clear" w:color="auto" w:fill="CBEBF4"/>
          </w:tcPr>
          <w:p>
            <w:pPr>
              <w:spacing w:after="0"/>
              <w:rPr>
                <w:sz w:val="17"/>
                <w:szCs w:val="17"/>
                <w:color w:val="auto"/>
              </w:rPr>
            </w:pPr>
          </w:p>
        </w:tc>
        <w:tc>
          <w:tcPr>
            <w:tcW w:w="240" w:type="dxa"/>
            <w:vAlign w:val="bottom"/>
            <w:tcBorders>
              <w:top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60" w:type="dxa"/>
            <w:vAlign w:val="bottom"/>
            <w:tcBorders>
              <w:top w:val="single" w:sz="8" w:color="CBEBF4"/>
            </w:tcBorders>
            <w:shd w:val="clear" w:color="auto" w:fill="CBEBF4"/>
          </w:tcPr>
          <w:p>
            <w:pPr>
              <w:spacing w:after="0"/>
              <w:rPr>
                <w:sz w:val="17"/>
                <w:szCs w:val="17"/>
                <w:color w:val="auto"/>
              </w:rPr>
            </w:pPr>
          </w:p>
        </w:tc>
        <w:tc>
          <w:tcPr>
            <w:tcW w:w="540" w:type="dxa"/>
            <w:vAlign w:val="bottom"/>
            <w:tcBorders>
              <w:top w:val="single" w:sz="8" w:color="auto"/>
            </w:tcBorders>
            <w:shd w:val="clear" w:color="auto" w:fill="CBEBF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3,847</w:t>
            </w:r>
          </w:p>
        </w:tc>
        <w:tc>
          <w:tcPr>
            <w:tcW w:w="0" w:type="dxa"/>
            <w:vAlign w:val="bottom"/>
          </w:tcPr>
          <w:p>
            <w:pPr>
              <w:spacing w:after="0"/>
              <w:rPr>
                <w:sz w:val="1"/>
                <w:szCs w:val="1"/>
                <w:color w:val="auto"/>
              </w:rPr>
            </w:pPr>
          </w:p>
        </w:tc>
      </w:tr>
      <w:tr>
        <w:trPr>
          <w:trHeight w:val="207"/>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1,111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1,111</w:t>
            </w:r>
          </w:p>
        </w:tc>
        <w:tc>
          <w:tcPr>
            <w:tcW w:w="0" w:type="dxa"/>
            <w:vAlign w:val="bottom"/>
          </w:tcPr>
          <w:p>
            <w:pPr>
              <w:spacing w:after="0"/>
              <w:rPr>
                <w:sz w:val="1"/>
                <w:szCs w:val="1"/>
                <w:color w:val="auto"/>
              </w:rPr>
            </w:pPr>
          </w:p>
        </w:tc>
      </w:tr>
      <w:tr>
        <w:trPr>
          <w:trHeight w:val="200"/>
        </w:trPr>
        <w:tc>
          <w:tcPr>
            <w:tcW w:w="3860" w:type="dxa"/>
            <w:vAlign w:val="bottom"/>
            <w:tcBorders>
              <w:top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60" w:type="dxa"/>
            <w:vAlign w:val="bottom"/>
            <w:tcBorders>
              <w:top w:val="single" w:sz="8" w:color="auto"/>
              <w:bottom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4,937</w:t>
            </w:r>
          </w:p>
        </w:tc>
        <w:tc>
          <w:tcPr>
            <w:tcW w:w="20" w:type="dxa"/>
            <w:vAlign w:val="bottom"/>
            <w:tcBorders>
              <w:top w:val="single" w:sz="8" w:color="CBEBF4"/>
            </w:tcBorders>
            <w:shd w:val="clear" w:color="auto" w:fill="CBEBF4"/>
          </w:tcPr>
          <w:p>
            <w:pPr>
              <w:spacing w:after="0"/>
              <w:rPr>
                <w:sz w:val="17"/>
                <w:szCs w:val="17"/>
                <w:color w:val="auto"/>
              </w:rPr>
            </w:pPr>
          </w:p>
        </w:tc>
        <w:tc>
          <w:tcPr>
            <w:tcW w:w="260" w:type="dxa"/>
            <w:vAlign w:val="bottom"/>
            <w:tcBorders>
              <w:top w:val="single" w:sz="8" w:color="CBEBF4"/>
            </w:tcBorders>
            <w:shd w:val="clear" w:color="auto" w:fill="CBEBF4"/>
          </w:tcPr>
          <w:p>
            <w:pPr>
              <w:spacing w:after="0"/>
              <w:rPr>
                <w:sz w:val="17"/>
                <w:szCs w:val="17"/>
                <w:color w:val="auto"/>
              </w:rPr>
            </w:pPr>
          </w:p>
        </w:tc>
        <w:tc>
          <w:tcPr>
            <w:tcW w:w="240" w:type="dxa"/>
            <w:vAlign w:val="bottom"/>
            <w:tcBorders>
              <w:top w:val="single" w:sz="8" w:color="auto"/>
              <w:bottom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60" w:type="dxa"/>
            <w:vAlign w:val="bottom"/>
            <w:tcBorders>
              <w:top w:val="single" w:sz="8" w:color="CBEBF4"/>
            </w:tcBorders>
            <w:shd w:val="clear" w:color="auto" w:fill="CBEBF4"/>
          </w:tcPr>
          <w:p>
            <w:pPr>
              <w:spacing w:after="0"/>
              <w:rPr>
                <w:sz w:val="17"/>
                <w:szCs w:val="17"/>
                <w:color w:val="auto"/>
              </w:rPr>
            </w:pPr>
          </w:p>
        </w:tc>
        <w:tc>
          <w:tcPr>
            <w:tcW w:w="540" w:type="dxa"/>
            <w:vAlign w:val="bottom"/>
            <w:tcBorders>
              <w:top w:val="single" w:sz="8" w:color="auto"/>
              <w:bottom w:val="single" w:sz="8" w:color="auto"/>
            </w:tcBorders>
            <w:shd w:val="clear" w:color="auto" w:fill="CBEBF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4,958</w:t>
            </w:r>
          </w:p>
        </w:tc>
        <w:tc>
          <w:tcPr>
            <w:tcW w:w="0" w:type="dxa"/>
            <w:vAlign w:val="bottom"/>
          </w:tcPr>
          <w:p>
            <w:pPr>
              <w:spacing w:after="0"/>
              <w:rPr>
                <w:sz w:val="1"/>
                <w:szCs w:val="1"/>
                <w:color w:val="auto"/>
              </w:rPr>
            </w:pPr>
          </w:p>
        </w:tc>
      </w:tr>
      <w:tr>
        <w:trPr>
          <w:trHeight w:val="200"/>
        </w:trPr>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260" w:type="dxa"/>
            <w:vAlign w:val="bottom"/>
            <w:tcBorders>
              <w:bottom w:val="single" w:sz="8" w:color="auto"/>
            </w:tcBorders>
            <w:shd w:val="clear" w:color="auto" w:fill="CBEBF4"/>
          </w:tcPr>
          <w:p>
            <w:pPr>
              <w:spacing w:after="0"/>
              <w:rPr>
                <w:sz w:val="18"/>
                <w:szCs w:val="18"/>
                <w:color w:val="auto"/>
              </w:rPr>
            </w:pPr>
          </w:p>
        </w:tc>
        <w:tc>
          <w:tcPr>
            <w:tcW w:w="1200" w:type="dxa"/>
            <w:vAlign w:val="bottom"/>
            <w:tcBorders>
              <w:bottom w:val="single" w:sz="8" w:color="auto"/>
            </w:tcBorders>
            <w:shd w:val="clear" w:color="auto" w:fill="CBEBF4"/>
          </w:tcPr>
          <w:p>
            <w:pPr>
              <w:spacing w:after="0"/>
              <w:rPr>
                <w:sz w:val="18"/>
                <w:szCs w:val="18"/>
                <w:color w:val="auto"/>
              </w:rPr>
            </w:pPr>
          </w:p>
        </w:tc>
        <w:tc>
          <w:tcPr>
            <w:tcW w:w="20" w:type="dxa"/>
            <w:vAlign w:val="bottom"/>
            <w:shd w:val="clear" w:color="auto" w:fill="CBEBF4"/>
          </w:tcPr>
          <w:p>
            <w:pPr>
              <w:spacing w:after="0"/>
              <w:rPr>
                <w:sz w:val="18"/>
                <w:szCs w:val="18"/>
                <w:color w:val="auto"/>
              </w:rPr>
            </w:pPr>
          </w:p>
        </w:tc>
        <w:tc>
          <w:tcPr>
            <w:tcW w:w="260" w:type="dxa"/>
            <w:vAlign w:val="bottom"/>
            <w:shd w:val="clear" w:color="auto" w:fill="CBEBF4"/>
          </w:tcPr>
          <w:p>
            <w:pPr>
              <w:spacing w:after="0"/>
              <w:rPr>
                <w:sz w:val="18"/>
                <w:szCs w:val="18"/>
                <w:color w:val="auto"/>
              </w:rPr>
            </w:pPr>
          </w:p>
        </w:tc>
        <w:tc>
          <w:tcPr>
            <w:tcW w:w="240" w:type="dxa"/>
            <w:vAlign w:val="bottom"/>
            <w:tcBorders>
              <w:bottom w:val="single" w:sz="8" w:color="auto"/>
            </w:tcBorders>
            <w:shd w:val="clear" w:color="auto" w:fill="CBEBF4"/>
          </w:tcPr>
          <w:p>
            <w:pPr>
              <w:spacing w:after="0"/>
              <w:rPr>
                <w:sz w:val="18"/>
                <w:szCs w:val="18"/>
                <w:color w:val="auto"/>
              </w:rPr>
            </w:pPr>
          </w:p>
        </w:tc>
        <w:tc>
          <w:tcPr>
            <w:tcW w:w="1240" w:type="dxa"/>
            <w:vAlign w:val="bottom"/>
            <w:tcBorders>
              <w:bottom w:val="single" w:sz="8" w:color="auto"/>
            </w:tcBorders>
            <w:shd w:val="clear" w:color="auto" w:fill="CBEBF4"/>
          </w:tcPr>
          <w:p>
            <w:pPr>
              <w:spacing w:after="0"/>
              <w:rPr>
                <w:sz w:val="18"/>
                <w:szCs w:val="18"/>
                <w:color w:val="auto"/>
              </w:rPr>
            </w:pPr>
          </w:p>
        </w:tc>
        <w:tc>
          <w:tcPr>
            <w:tcW w:w="260" w:type="dxa"/>
            <w:vAlign w:val="bottom"/>
            <w:shd w:val="clear" w:color="auto" w:fill="CBEBF4"/>
          </w:tcPr>
          <w:p>
            <w:pPr>
              <w:spacing w:after="0"/>
              <w:rPr>
                <w:sz w:val="18"/>
                <w:szCs w:val="18"/>
                <w:color w:val="auto"/>
              </w:rPr>
            </w:pPr>
          </w:p>
        </w:tc>
        <w:tc>
          <w:tcPr>
            <w:tcW w:w="540" w:type="dxa"/>
            <w:vAlign w:val="bottom"/>
            <w:tcBorders>
              <w:bottom w:val="single" w:sz="8" w:color="auto"/>
            </w:tcBorders>
            <w:shd w:val="clear" w:color="auto" w:fill="CBEBF4"/>
          </w:tcPr>
          <w:p>
            <w:pPr>
              <w:spacing w:after="0"/>
              <w:rPr>
                <w:sz w:val="18"/>
                <w:szCs w:val="18"/>
                <w:color w:val="auto"/>
              </w:rPr>
            </w:pPr>
          </w:p>
        </w:tc>
        <w:tc>
          <w:tcPr>
            <w:tcW w:w="960" w:type="dxa"/>
            <w:vAlign w:val="bottom"/>
            <w:tcBorders>
              <w:bottom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2021</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60" w:type="dxa"/>
            <w:vAlign w:val="bottom"/>
          </w:tcPr>
          <w:p>
            <w:pPr>
              <w:spacing w:after="0"/>
              <w:rPr>
                <w:sz w:val="17"/>
                <w:szCs w:val="17"/>
                <w:color w:val="auto"/>
              </w:rPr>
            </w:pP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w:t>
            </w: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Amortization for the year</w:t>
            </w:r>
          </w:p>
        </w:tc>
        <w:tc>
          <w:tcPr>
            <w:tcW w:w="260" w:type="dxa"/>
            <w:vAlign w:val="bottom"/>
            <w:shd w:val="clear" w:color="auto" w:fill="CBEBF4"/>
          </w:tcPr>
          <w:p>
            <w:pPr>
              <w:spacing w:after="0"/>
              <w:rPr>
                <w:sz w:val="18"/>
                <w:szCs w:val="18"/>
                <w:color w:val="auto"/>
              </w:rPr>
            </w:pPr>
          </w:p>
        </w:tc>
        <w:tc>
          <w:tcPr>
            <w:tcW w:w="1480" w:type="dxa"/>
            <w:vAlign w:val="bottom"/>
            <w:gridSpan w:val="3"/>
            <w:shd w:val="clear" w:color="auto" w:fill="CBEBF4"/>
          </w:tcPr>
          <w:p>
            <w:pPr>
              <w:jc w:val="right"/>
              <w:ind w:right="280"/>
              <w:spacing w:after="0"/>
              <w:rPr>
                <w:sz w:val="20"/>
                <w:szCs w:val="20"/>
                <w:color w:val="auto"/>
              </w:rPr>
            </w:pPr>
            <w:r>
              <w:rPr>
                <w:rFonts w:ascii="Times New Roman" w:cs="Times New Roman" w:eastAsia="Times New Roman" w:hAnsi="Times New Roman"/>
                <w:sz w:val="17"/>
                <w:szCs w:val="17"/>
                <w:color w:val="auto"/>
              </w:rPr>
              <w:t>(416)</w:t>
            </w:r>
          </w:p>
        </w:tc>
        <w:tc>
          <w:tcPr>
            <w:tcW w:w="240" w:type="dxa"/>
            <w:vAlign w:val="bottom"/>
            <w:shd w:val="clear" w:color="auto" w:fill="CBEBF4"/>
          </w:tcPr>
          <w:p>
            <w:pPr>
              <w:spacing w:after="0"/>
              <w:rPr>
                <w:sz w:val="18"/>
                <w:szCs w:val="18"/>
                <w:color w:val="auto"/>
              </w:rPr>
            </w:pPr>
          </w:p>
        </w:tc>
        <w:tc>
          <w:tcPr>
            <w:tcW w:w="1500" w:type="dxa"/>
            <w:vAlign w:val="bottom"/>
            <w:gridSpan w:val="2"/>
            <w:shd w:val="clear" w:color="auto" w:fill="CBEBF4"/>
          </w:tcPr>
          <w:p>
            <w:pPr>
              <w:jc w:val="right"/>
              <w:ind w:right="260"/>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shd w:val="clear" w:color="auto" w:fill="CBEBF4"/>
          </w:tcPr>
          <w:p>
            <w:pPr>
              <w:spacing w:after="0"/>
              <w:rPr>
                <w:sz w:val="18"/>
                <w:szCs w:val="18"/>
                <w:color w:val="auto"/>
              </w:rPr>
            </w:pP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0" w:type="dxa"/>
            <w:vAlign w:val="bottom"/>
          </w:tcPr>
          <w:p>
            <w:pPr>
              <w:spacing w:after="0"/>
              <w:rPr>
                <w:sz w:val="1"/>
                <w:szCs w:val="1"/>
                <w:color w:val="auto"/>
              </w:rPr>
            </w:pPr>
          </w:p>
        </w:tc>
      </w:tr>
      <w:tr>
        <w:trPr>
          <w:trHeight w:val="200"/>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(1,802)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60" w:type="dxa"/>
            <w:vAlign w:val="bottom"/>
          </w:tcPr>
          <w:p>
            <w:pPr>
              <w:spacing w:after="0"/>
              <w:rPr>
                <w:sz w:val="17"/>
                <w:szCs w:val="17"/>
                <w:color w:val="auto"/>
              </w:rPr>
            </w:pPr>
          </w:p>
        </w:tc>
        <w:tc>
          <w:tcPr>
            <w:tcW w:w="54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(1,822)</w:t>
            </w: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Amortization for the year</w:t>
            </w:r>
          </w:p>
        </w:tc>
        <w:tc>
          <w:tcPr>
            <w:tcW w:w="260" w:type="dxa"/>
            <w:vAlign w:val="bottom"/>
            <w:shd w:val="clear" w:color="auto" w:fill="CBEBF4"/>
          </w:tcPr>
          <w:p>
            <w:pPr>
              <w:spacing w:after="0"/>
              <w:rPr>
                <w:sz w:val="18"/>
                <w:szCs w:val="18"/>
                <w:color w:val="auto"/>
              </w:rPr>
            </w:pPr>
          </w:p>
        </w:tc>
        <w:tc>
          <w:tcPr>
            <w:tcW w:w="1480" w:type="dxa"/>
            <w:vAlign w:val="bottom"/>
            <w:gridSpan w:val="3"/>
            <w:shd w:val="clear" w:color="auto" w:fill="CBEBF4"/>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(359)</w:t>
            </w:r>
          </w:p>
        </w:tc>
        <w:tc>
          <w:tcPr>
            <w:tcW w:w="240" w:type="dxa"/>
            <w:vAlign w:val="bottom"/>
            <w:shd w:val="clear" w:color="auto" w:fill="CBEBF4"/>
          </w:tcPr>
          <w:p>
            <w:pPr>
              <w:spacing w:after="0"/>
              <w:rPr>
                <w:sz w:val="18"/>
                <w:szCs w:val="18"/>
                <w:color w:val="auto"/>
              </w:rPr>
            </w:pPr>
          </w:p>
        </w:tc>
        <w:tc>
          <w:tcPr>
            <w:tcW w:w="1500" w:type="dxa"/>
            <w:vAlign w:val="bottom"/>
            <w:gridSpan w:val="2"/>
            <w:shd w:val="clear" w:color="auto" w:fill="CBEBF4"/>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(1)</w:t>
            </w:r>
          </w:p>
        </w:tc>
        <w:tc>
          <w:tcPr>
            <w:tcW w:w="540" w:type="dxa"/>
            <w:vAlign w:val="bottom"/>
            <w:shd w:val="clear" w:color="auto" w:fill="CBEBF4"/>
          </w:tcPr>
          <w:p>
            <w:pPr>
              <w:spacing w:after="0"/>
              <w:rPr>
                <w:sz w:val="18"/>
                <w:szCs w:val="18"/>
                <w:color w:val="auto"/>
              </w:rPr>
            </w:pP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(360)</w:t>
            </w:r>
          </w:p>
        </w:tc>
        <w:tc>
          <w:tcPr>
            <w:tcW w:w="0" w:type="dxa"/>
            <w:vAlign w:val="bottom"/>
          </w:tcPr>
          <w:p>
            <w:pPr>
              <w:spacing w:after="0"/>
              <w:rPr>
                <w:sz w:val="1"/>
                <w:szCs w:val="1"/>
                <w:color w:val="auto"/>
              </w:rPr>
            </w:pPr>
          </w:p>
        </w:tc>
      </w:tr>
      <w:tr>
        <w:trPr>
          <w:trHeight w:val="200"/>
        </w:trPr>
        <w:tc>
          <w:tcPr>
            <w:tcW w:w="386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(2,161)</w:t>
            </w:r>
          </w:p>
        </w:tc>
        <w:tc>
          <w:tcPr>
            <w:tcW w:w="20" w:type="dxa"/>
            <w:vAlign w:val="bottom"/>
            <w:tcBorders>
              <w:bottom w:val="single" w:sz="8" w:color="CBEBF4"/>
            </w:tcBorders>
          </w:tcPr>
          <w:p>
            <w:pPr>
              <w:spacing w:after="0"/>
              <w:rPr>
                <w:sz w:val="17"/>
                <w:szCs w:val="17"/>
                <w:color w:val="auto"/>
              </w:rPr>
            </w:pPr>
          </w:p>
        </w:tc>
        <w:tc>
          <w:tcPr>
            <w:tcW w:w="260" w:type="dxa"/>
            <w:vAlign w:val="bottom"/>
            <w:tcBorders>
              <w:bottom w:val="single" w:sz="8" w:color="CBEBF4"/>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60" w:type="dxa"/>
            <w:vAlign w:val="bottom"/>
            <w:tcBorders>
              <w:bottom w:val="single" w:sz="8" w:color="CBEBF4"/>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(2,182)</w:t>
            </w:r>
          </w:p>
        </w:tc>
        <w:tc>
          <w:tcPr>
            <w:tcW w:w="0" w:type="dxa"/>
            <w:vAlign w:val="bottom"/>
          </w:tcPr>
          <w:p>
            <w:pPr>
              <w:spacing w:after="0"/>
              <w:rPr>
                <w:sz w:val="1"/>
                <w:szCs w:val="1"/>
                <w:color w:val="auto"/>
              </w:rPr>
            </w:pPr>
          </w:p>
        </w:tc>
      </w:tr>
      <w:tr>
        <w:trPr>
          <w:trHeight w:val="200"/>
        </w:trPr>
        <w:tc>
          <w:tcPr>
            <w:tcW w:w="3580" w:type="dxa"/>
            <w:vAlign w:val="bottom"/>
            <w:shd w:val="clear" w:color="auto" w:fill="CBEBF4"/>
          </w:tcPr>
          <w:p>
            <w:pPr>
              <w:spacing w:after="0"/>
              <w:rPr>
                <w:sz w:val="17"/>
                <w:szCs w:val="17"/>
                <w:color w:val="auto"/>
              </w:rPr>
            </w:pPr>
          </w:p>
        </w:tc>
        <w:tc>
          <w:tcPr>
            <w:tcW w:w="280" w:type="dxa"/>
            <w:vAlign w:val="bottom"/>
            <w:shd w:val="clear" w:color="auto" w:fill="CBEBF4"/>
          </w:tcPr>
          <w:p>
            <w:pPr>
              <w:spacing w:after="0"/>
              <w:rPr>
                <w:sz w:val="17"/>
                <w:szCs w:val="17"/>
                <w:color w:val="auto"/>
              </w:rPr>
            </w:pPr>
          </w:p>
        </w:tc>
        <w:tc>
          <w:tcPr>
            <w:tcW w:w="260" w:type="dxa"/>
            <w:vAlign w:val="bottom"/>
            <w:shd w:val="clear" w:color="auto" w:fill="CBEBF4"/>
          </w:tcPr>
          <w:p>
            <w:pPr>
              <w:spacing w:after="0"/>
              <w:rPr>
                <w:sz w:val="17"/>
                <w:szCs w:val="17"/>
                <w:color w:val="auto"/>
              </w:rPr>
            </w:pPr>
          </w:p>
        </w:tc>
        <w:tc>
          <w:tcPr>
            <w:tcW w:w="1200" w:type="dxa"/>
            <w:vAlign w:val="bottom"/>
            <w:shd w:val="clear" w:color="auto" w:fill="CBEBF4"/>
          </w:tcPr>
          <w:p>
            <w:pPr>
              <w:spacing w:after="0"/>
              <w:rPr>
                <w:sz w:val="17"/>
                <w:szCs w:val="17"/>
                <w:color w:val="auto"/>
              </w:rPr>
            </w:pPr>
          </w:p>
        </w:tc>
        <w:tc>
          <w:tcPr>
            <w:tcW w:w="20" w:type="dxa"/>
            <w:vAlign w:val="bottom"/>
            <w:shd w:val="clear" w:color="auto" w:fill="CBEBF4"/>
          </w:tcPr>
          <w:p>
            <w:pPr>
              <w:spacing w:after="0"/>
              <w:rPr>
                <w:sz w:val="17"/>
                <w:szCs w:val="17"/>
                <w:color w:val="auto"/>
              </w:rPr>
            </w:pPr>
          </w:p>
        </w:tc>
        <w:tc>
          <w:tcPr>
            <w:tcW w:w="260" w:type="dxa"/>
            <w:vAlign w:val="bottom"/>
            <w:shd w:val="clear" w:color="auto" w:fill="CBEBF4"/>
          </w:tcPr>
          <w:p>
            <w:pPr>
              <w:spacing w:after="0"/>
              <w:rPr>
                <w:sz w:val="17"/>
                <w:szCs w:val="17"/>
                <w:color w:val="auto"/>
              </w:rPr>
            </w:pPr>
          </w:p>
        </w:tc>
        <w:tc>
          <w:tcPr>
            <w:tcW w:w="240" w:type="dxa"/>
            <w:vAlign w:val="bottom"/>
            <w:shd w:val="clear" w:color="auto" w:fill="CBEBF4"/>
          </w:tcPr>
          <w:p>
            <w:pPr>
              <w:spacing w:after="0"/>
              <w:rPr>
                <w:sz w:val="17"/>
                <w:szCs w:val="17"/>
                <w:color w:val="auto"/>
              </w:rPr>
            </w:pPr>
          </w:p>
        </w:tc>
        <w:tc>
          <w:tcPr>
            <w:tcW w:w="1240" w:type="dxa"/>
            <w:vAlign w:val="bottom"/>
            <w:shd w:val="clear" w:color="auto" w:fill="CBEBF4"/>
          </w:tcPr>
          <w:p>
            <w:pPr>
              <w:spacing w:after="0"/>
              <w:rPr>
                <w:sz w:val="17"/>
                <w:szCs w:val="17"/>
                <w:color w:val="auto"/>
              </w:rPr>
            </w:pPr>
          </w:p>
        </w:tc>
        <w:tc>
          <w:tcPr>
            <w:tcW w:w="260" w:type="dxa"/>
            <w:vAlign w:val="bottom"/>
            <w:shd w:val="clear" w:color="auto" w:fill="CBEBF4"/>
          </w:tcPr>
          <w:p>
            <w:pPr>
              <w:spacing w:after="0"/>
              <w:rPr>
                <w:sz w:val="17"/>
                <w:szCs w:val="17"/>
                <w:color w:val="auto"/>
              </w:rPr>
            </w:pPr>
          </w:p>
        </w:tc>
        <w:tc>
          <w:tcPr>
            <w:tcW w:w="540" w:type="dxa"/>
            <w:vAlign w:val="bottom"/>
            <w:shd w:val="clear" w:color="auto" w:fill="CBEBF4"/>
          </w:tcPr>
          <w:p>
            <w:pPr>
              <w:spacing w:after="0"/>
              <w:rPr>
                <w:sz w:val="17"/>
                <w:szCs w:val="17"/>
                <w:color w:val="auto"/>
              </w:rPr>
            </w:pPr>
          </w:p>
        </w:tc>
        <w:tc>
          <w:tcPr>
            <w:tcW w:w="960" w:type="dxa"/>
            <w:vAlign w:val="bottom"/>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As at December 31, 2022</w:t>
            </w:r>
          </w:p>
        </w:tc>
        <w:tc>
          <w:tcPr>
            <w:tcW w:w="260" w:type="dxa"/>
            <w:vAlign w:val="bottom"/>
            <w:shd w:val="clear" w:color="auto" w:fill="CBEBF4"/>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20" w:type="dxa"/>
            <w:vAlign w:val="bottom"/>
            <w:shd w:val="clear" w:color="auto" w:fill="CBEBF4"/>
          </w:tcPr>
          <w:p>
            <w:pPr>
              <w:spacing w:after="0"/>
              <w:rPr>
                <w:sz w:val="18"/>
                <w:szCs w:val="18"/>
                <w:color w:val="auto"/>
              </w:rPr>
            </w:pPr>
          </w:p>
        </w:tc>
        <w:tc>
          <w:tcPr>
            <w:tcW w:w="260" w:type="dxa"/>
            <w:vAlign w:val="bottom"/>
            <w:shd w:val="clear" w:color="auto" w:fill="CBEBF4"/>
          </w:tcPr>
          <w:p>
            <w:pPr>
              <w:spacing w:after="0"/>
              <w:rPr>
                <w:sz w:val="18"/>
                <w:szCs w:val="18"/>
                <w:color w:val="auto"/>
              </w:rPr>
            </w:pPr>
          </w:p>
        </w:tc>
        <w:tc>
          <w:tcPr>
            <w:tcW w:w="240" w:type="dxa"/>
            <w:vAlign w:val="bottom"/>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BEBF4"/>
          </w:tcPr>
          <w:p>
            <w:pPr>
              <w:spacing w:after="0"/>
              <w:rPr>
                <w:sz w:val="18"/>
                <w:szCs w:val="18"/>
                <w:color w:val="auto"/>
              </w:rPr>
            </w:pPr>
          </w:p>
        </w:tc>
        <w:tc>
          <w:tcPr>
            <w:tcW w:w="540" w:type="dxa"/>
            <w:vAlign w:val="bottom"/>
            <w:shd w:val="clear" w:color="auto" w:fill="CBEBF4"/>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 at December 31, 2023</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2,776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2,776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07" w:right="6020" w:hanging="307"/>
        <w:spacing w:after="0" w:line="510" w:lineRule="auto"/>
        <w:tabs>
          <w:tab w:leader="none" w:pos="307"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Strategic Alliance with Allseas and Affiliates Pilot Mining Test Project</w:t>
      </w:r>
    </w:p>
    <w:p>
      <w:pPr>
        <w:spacing w:after="0" w:line="1" w:lineRule="exact"/>
        <w:rPr>
          <w:rFonts w:ascii="Times New Roman" w:cs="Times New Roman" w:eastAsia="Times New Roman" w:hAnsi="Times New Roman"/>
          <w:sz w:val="17"/>
          <w:szCs w:val="17"/>
          <w:b w:val="1"/>
          <w:bCs w:val="1"/>
          <w:color w:val="auto"/>
        </w:rPr>
      </w:pPr>
    </w:p>
    <w:p>
      <w:pPr>
        <w:jc w:val="both"/>
        <w:ind w:left="307"/>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Under the terms of the SAA, Allseas subscribed for and ultimately received 6.7 million common shares for a total of $20.0 million paid in cash to the Company.</w:t>
      </w:r>
    </w:p>
    <w:p>
      <w:pPr>
        <w:spacing w:after="0" w:line="166" w:lineRule="exact"/>
        <w:rPr>
          <w:rFonts w:ascii="Times New Roman" w:cs="Times New Roman" w:eastAsia="Times New Roman" w:hAnsi="Times New Roman"/>
          <w:sz w:val="17"/>
          <w:szCs w:val="17"/>
          <w:b w:val="1"/>
          <w:bCs w:val="1"/>
          <w:color w:val="auto"/>
        </w:rPr>
      </w:pPr>
    </w:p>
    <w:p>
      <w:pPr>
        <w:jc w:val="both"/>
        <w:ind w:left="307" w:firstLine="1"/>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 trial of the PMTS in NORI Area D by Allseas, the Company agreed to pay Allseas:</w:t>
      </w:r>
    </w:p>
    <w:p>
      <w:pPr>
        <w:spacing w:after="0" w:line="160" w:lineRule="exact"/>
        <w:rPr>
          <w:rFonts w:ascii="Times New Roman" w:cs="Times New Roman" w:eastAsia="Times New Roman" w:hAnsi="Times New Roman"/>
          <w:sz w:val="17"/>
          <w:szCs w:val="17"/>
          <w:b w:val="1"/>
          <w:bCs w:val="1"/>
          <w:color w:val="auto"/>
        </w:rPr>
      </w:pPr>
    </w:p>
    <w:p>
      <w:pPr>
        <w:ind w:left="647" w:hanging="310"/>
        <w:spacing w:after="0" w:line="298" w:lineRule="auto"/>
        <w:tabs>
          <w:tab w:leader="none" w:pos="647" w:val="left"/>
        </w:tabs>
        <w:numPr>
          <w:ilvl w:val="1"/>
          <w:numId w:val="61"/>
        </w:numPr>
        <w:rPr>
          <w:rFonts w:ascii="Arial" w:cs="Arial" w:eastAsia="Arial" w:hAnsi="Arial"/>
          <w:sz w:val="17"/>
          <w:szCs w:val="17"/>
          <w:color w:val="auto"/>
        </w:rPr>
      </w:pPr>
      <w:r>
        <w:rPr>
          <w:rFonts w:ascii="Times New Roman" w:cs="Times New Roman" w:eastAsia="Times New Roman" w:hAnsi="Times New Roman"/>
          <w:sz w:val="17"/>
          <w:szCs w:val="17"/>
          <w:color w:val="auto"/>
        </w:rPr>
        <w:t>First milestone payment: $10 million within 10 business days of the closing of the Business Combination and Allseas providing confirmation of placing an order for certain equipment and demonstrating certain progress on construction of the PMTS;</w:t>
      </w:r>
    </w:p>
    <w:p>
      <w:pPr>
        <w:spacing w:after="0" w:line="135" w:lineRule="exact"/>
        <w:rPr>
          <w:rFonts w:ascii="Arial" w:cs="Arial" w:eastAsia="Arial" w:hAnsi="Arial"/>
          <w:sz w:val="17"/>
          <w:szCs w:val="17"/>
          <w:color w:val="auto"/>
        </w:rPr>
      </w:pPr>
    </w:p>
    <w:p>
      <w:pPr>
        <w:ind w:left="647" w:hanging="309"/>
        <w:spacing w:after="0" w:line="298" w:lineRule="auto"/>
        <w:tabs>
          <w:tab w:leader="none" w:pos="646" w:val="left"/>
        </w:tabs>
        <w:numPr>
          <w:ilvl w:val="1"/>
          <w:numId w:val="61"/>
        </w:numPr>
        <w:rPr>
          <w:rFonts w:ascii="Arial" w:cs="Arial" w:eastAsia="Arial" w:hAnsi="Arial"/>
          <w:sz w:val="17"/>
          <w:szCs w:val="17"/>
          <w:color w:val="auto"/>
        </w:rPr>
      </w:pPr>
      <w:r>
        <w:rPr>
          <w:rFonts w:ascii="Times New Roman" w:cs="Times New Roman" w:eastAsia="Times New Roman" w:hAnsi="Times New Roman"/>
          <w:sz w:val="17"/>
          <w:szCs w:val="17"/>
          <w:color w:val="auto"/>
        </w:rPr>
        <w:t>Second milestone payment: $10 million on the later of (i) January 1, 2022, and (ii) confirmation of successful completion of the North Sea drive test;</w:t>
      </w:r>
    </w:p>
    <w:p>
      <w:pPr>
        <w:spacing w:after="0" w:line="135" w:lineRule="exact"/>
        <w:rPr>
          <w:rFonts w:ascii="Arial" w:cs="Arial" w:eastAsia="Arial" w:hAnsi="Arial"/>
          <w:sz w:val="17"/>
          <w:szCs w:val="17"/>
          <w:color w:val="auto"/>
        </w:rPr>
      </w:pPr>
    </w:p>
    <w:p>
      <w:pPr>
        <w:ind w:left="647" w:hanging="309"/>
        <w:spacing w:after="0"/>
        <w:tabs>
          <w:tab w:leader="none" w:pos="647" w:val="left"/>
        </w:tabs>
        <w:numPr>
          <w:ilvl w:val="1"/>
          <w:numId w:val="61"/>
        </w:numPr>
        <w:rPr>
          <w:rFonts w:ascii="Arial" w:cs="Arial" w:eastAsia="Arial" w:hAnsi="Arial"/>
          <w:sz w:val="17"/>
          <w:szCs w:val="17"/>
          <w:color w:val="auto"/>
        </w:rPr>
      </w:pPr>
      <w:r>
        <w:rPr>
          <w:rFonts w:ascii="Times New Roman" w:cs="Times New Roman" w:eastAsia="Times New Roman" w:hAnsi="Times New Roman"/>
          <w:sz w:val="17"/>
          <w:szCs w:val="17"/>
          <w:color w:val="auto"/>
        </w:rPr>
        <w:t>Third milestone payment: $10 million upon successful completion of the pilot trial of the PMTS in NORI Area D; and</w:t>
      </w:r>
    </w:p>
    <w:p>
      <w:pPr>
        <w:spacing w:after="0" w:line="218" w:lineRule="exact"/>
        <w:rPr>
          <w:rFonts w:ascii="Arial" w:cs="Arial" w:eastAsia="Arial" w:hAnsi="Arial"/>
          <w:sz w:val="17"/>
          <w:szCs w:val="17"/>
          <w:color w:val="auto"/>
        </w:rPr>
      </w:pPr>
    </w:p>
    <w:p>
      <w:pPr>
        <w:ind w:left="647" w:hanging="309"/>
        <w:spacing w:after="0"/>
        <w:tabs>
          <w:tab w:leader="none" w:pos="647" w:val="left"/>
        </w:tabs>
        <w:numPr>
          <w:ilvl w:val="1"/>
          <w:numId w:val="61"/>
        </w:numPr>
        <w:rPr>
          <w:rFonts w:ascii="Arial" w:cs="Arial" w:eastAsia="Arial" w:hAnsi="Arial"/>
          <w:sz w:val="17"/>
          <w:szCs w:val="17"/>
          <w:color w:val="auto"/>
        </w:rPr>
      </w:pPr>
      <w:r>
        <w:rPr>
          <w:rFonts w:ascii="Times New Roman" w:cs="Times New Roman" w:eastAsia="Times New Roman" w:hAnsi="Times New Roman"/>
          <w:sz w:val="17"/>
          <w:szCs w:val="17"/>
          <w:color w:val="auto"/>
        </w:rPr>
        <w:t>11.6 million warrants which would vest and become exercisable upon successful completion of the PMTS.</w:t>
      </w:r>
    </w:p>
    <w:p>
      <w:pPr>
        <w:sectPr>
          <w:pgSz w:w="12240" w:h="15840" w:orient="portrait"/>
          <w:cols w:equalWidth="0" w:num="1">
            <w:col w:w="9607"/>
          </w:cols>
          <w:pgMar w:left="1313" w:top="1324" w:right="132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367030</wp:posOffset>
                </wp:positionV>
                <wp:extent cx="6109970" cy="0"/>
                <wp:wrapNone/>
                <wp:docPr id="739" name="Shape 7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39" o:spid="_x0000_s17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28.9pt" to="480.9pt,28.9pt" o:allowincell="f" strokecolor="#000000" strokeweight="1.2956pt"/>
            </w:pict>
          </mc:Fallback>
        </mc:AlternateContent>
      </w:r>
    </w:p>
    <w:p>
      <w:pPr>
        <w:sectPr>
          <w:pgSz w:w="12240" w:h="15840" w:orient="portrait"/>
          <w:cols w:equalWidth="0" w:num="1">
            <w:col w:w="9607"/>
          </w:cols>
          <w:pgMar w:left="1313" w:top="1324" w:right="1320" w:bottom="1440" w:gutter="0" w:footer="0" w:header="0"/>
          <w:type w:val="continuous"/>
        </w:sectPr>
      </w:pPr>
    </w:p>
    <w:bookmarkStart w:id="142" w:name="page143"/>
    <w:bookmarkEnd w:id="142"/>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40" name="Shape 7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40" o:spid="_x0000_s17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41" name="Shape 7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41" o:spid="_x0000_s17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42" name="Shape 7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42" o:spid="_x0000_s176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180" w:firstLine="56"/>
        <w:spacing w:after="0" w:line="269" w:lineRule="auto"/>
        <w:rPr>
          <w:sz w:val="20"/>
          <w:szCs w:val="20"/>
          <w:color w:val="auto"/>
        </w:rPr>
      </w:pPr>
      <w:r>
        <w:rPr>
          <w:rFonts w:ascii="Times New Roman" w:cs="Times New Roman" w:eastAsia="Times New Roman" w:hAnsi="Times New Roman"/>
          <w:sz w:val="17"/>
          <w:szCs w:val="17"/>
          <w:color w:val="auto"/>
        </w:rPr>
        <w:t>On November 11, 2022, the Board approved the successful completion of the PMTS in NORI Area D and payment of the third milestone amounting to $10 million by issuing 10 million common shares as agreed with Allseas. Accordingly in relation to the third milestone payment, the Company has recorded an expense equal to $8.7 million based on the fair market value of the Company’s shares on November 11, 2022.</w:t>
      </w:r>
    </w:p>
    <w:p>
      <w:pPr>
        <w:spacing w:after="0" w:line="160" w:lineRule="exact"/>
        <w:rPr>
          <w:sz w:val="20"/>
          <w:szCs w:val="20"/>
          <w:color w:val="auto"/>
        </w:rPr>
      </w:pPr>
    </w:p>
    <w:p>
      <w:pPr>
        <w:jc w:val="both"/>
        <w:ind w:left="180" w:firstLine="1"/>
        <w:spacing w:after="0" w:line="262" w:lineRule="auto"/>
        <w:rPr>
          <w:sz w:val="20"/>
          <w:szCs w:val="20"/>
          <w:color w:val="auto"/>
        </w:rPr>
      </w:pPr>
      <w:r>
        <w:rPr>
          <w:rFonts w:ascii="Times New Roman" w:cs="Times New Roman" w:eastAsia="Times New Roman" w:hAnsi="Times New Roman"/>
          <w:sz w:val="17"/>
          <w:szCs w:val="17"/>
          <w:color w:val="auto"/>
        </w:rPr>
        <w:t>On February 13, 2023, the Company entered into a Fifth Amendment to the Pilot Mining Test Agreement (the “PMTA”) and Third Amendment to the Strategic Alliance Agreement (together with the PMTA, the “Amendments”), which was effective as of February 8, 2023, with DGE, DeepGreen Metals ULC. and Allseas. The Amendments relate to the Company’s settlement of the third and final payment of $10 million due to Allseas upon successful completion of the trial of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$0.9 million by issuing 10.85 million of its common shares to Allseas.</w:t>
      </w:r>
    </w:p>
    <w:p>
      <w:pPr>
        <w:spacing w:after="0" w:line="165"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On August 9, 2023, 11,578,620 common shares were issued to Allseas upon the exercise of the Allseas Warrant granted in March 2021, and receipt of the exercise fee of $115.8 thousand. The warrant vested and became exercisable on successful completion of the PMTS in November 2022 (refer Allseas Warrant, Note 13).</w:t>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Development of Project Zero Offshore Nodule Collection System</w:t>
      </w:r>
    </w:p>
    <w:p>
      <w:pPr>
        <w:spacing w:after="0" w:line="222"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7"/>
          <w:szCs w:val="17"/>
          <w:color w:val="auto"/>
        </w:rPr>
        <w:t>On March 16, 2022, NORI and Allseas entered into a non-binding term sheet for the development and operation of a commercial nodule collection system. During the year ended December 31, 2023, in relation to the development of the commercial nodule collection system, Allseas provided the Company with engineering, project management and vessel use services consisting of lay-up and transit costs totaling $12.1 million, recorded as mining, technological and process development within exploration and evaluation expenses (Note 10). For the year ended December 31, 2022, Allseas managed and delivered the PMTS project, with services totaling $15.7 million, recorded as PMTS within exploration and evaluation expenses (Note 10).</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Exclusive Vessel Use Agreement with Allseas</w:t>
      </w:r>
    </w:p>
    <w:p>
      <w:pPr>
        <w:spacing w:after="0" w:line="222" w:lineRule="exact"/>
        <w:rPr>
          <w:sz w:val="20"/>
          <w:szCs w:val="20"/>
          <w:color w:val="auto"/>
        </w:rPr>
      </w:pPr>
    </w:p>
    <w:p>
      <w:pPr>
        <w:jc w:val="both"/>
        <w:ind w:left="180"/>
        <w:spacing w:after="0" w:line="264" w:lineRule="auto"/>
        <w:rPr>
          <w:sz w:val="20"/>
          <w:szCs w:val="20"/>
          <w:color w:val="auto"/>
        </w:rPr>
      </w:pPr>
      <w:r>
        <w:rPr>
          <w:rFonts w:ascii="Times New Roman" w:cs="Times New Roman" w:eastAsia="Times New Roman" w:hAnsi="Times New Roman"/>
          <w:sz w:val="17"/>
          <w:szCs w:val="17"/>
          <w:color w:val="auto"/>
        </w:rPr>
        <w:t>On August 1, 2023, the Company entered into an Exclusive Vessel Use Agreement with Allseas pursuant to which Allseas will give exclusive use of the vessel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the Company in support of the development of the Project Zero Offshore Nodule Collection System until the system is completed or December 31, 2026, whichever is earlier. In consideration of the exclusivity term, the Company, on August 14, 2023, issued 4.15 million common shares to Allseas. Allseas can terminate the agreement if the Company ceases normal operations, assigns assets to creditors, initiates bankruptcy proceedings, or faces unresolved bankruptcy-related actions.</w:t>
      </w:r>
    </w:p>
    <w:p>
      <w:pPr>
        <w:spacing w:after="0" w:line="376"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 xml:space="preserve">The Company concluded that the agreement was a lease, as the Hidden Gem was considered an identified asset and the Company had the right to direct the use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for the development of the Project Zero System and obtain substantially all of the economic benefits from its use. The lease was determined to be an operating lease given that ownership of the vessel remained with Allseas, the duration of the lease is considerably shorter than the vessel’s economic life and the present value of lease payments is significantly lower than the fair value of the vessel.</w:t>
      </w:r>
    </w:p>
    <w:p>
      <w:pPr>
        <w:spacing w:after="0" w:line="165"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The Company recorded a lease liability and right-of-use asset of $6.5 million, which represents the fair value of 4.15 million common shares issued to Allseas on August 14, 2023, as consideration, and equal to the present value of the lease payments. As the entire lease liability was settled within 14 days of the commencement of the lease, the discount rate for calculating the present value of lease payments was determined to be insignificant.</w:t>
      </w:r>
    </w:p>
    <w:p>
      <w:pPr>
        <w:spacing w:after="0" w:line="161"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For the year ended December 31, 2023, the Company has recognized $0.8 million as lease expense recorded as exploration and evaluation expense.</w:t>
      </w:r>
    </w:p>
    <w:p>
      <w:pPr>
        <w:sectPr>
          <w:pgSz w:w="12240" w:h="15840" w:orient="portrait"/>
          <w:cols w:equalWidth="0" w:num="1">
            <w:col w:w="9480"/>
          </w:cols>
          <w:pgMar w:left="1440" w:top="1324" w:right="1320" w:bottom="1440" w:gutter="0" w:footer="0" w:header="0"/>
        </w:sect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367030</wp:posOffset>
                </wp:positionV>
                <wp:extent cx="6109970" cy="0"/>
                <wp:wrapNone/>
                <wp:docPr id="744" name="Shape 7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44" o:spid="_x0000_s17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9pt" to="474.55pt,28.9pt" o:allowincell="f" strokecolor="#000000" strokeweight="1.2956pt"/>
            </w:pict>
          </mc:Fallback>
        </mc:AlternateContent>
      </w:r>
    </w:p>
    <w:p>
      <w:pPr>
        <w:sectPr>
          <w:pgSz w:w="12240" w:h="15840" w:orient="portrait"/>
          <w:cols w:equalWidth="0" w:num="1">
            <w:col w:w="9480"/>
          </w:cols>
          <w:pgMar w:left="1440" w:top="1324" w:right="1320" w:bottom="1440" w:gutter="0" w:footer="0" w:header="0"/>
          <w:type w:val="continuous"/>
        </w:sectPr>
      </w:pPr>
    </w:p>
    <w:bookmarkStart w:id="143" w:name="page144"/>
    <w:bookmarkEnd w:id="143"/>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46" name="Shape 7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46" o:spid="_x0000_s17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47" name="Shape 7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47" o:spid="_x0000_s17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48" name="Shape 7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48" o:spid="_x0000_s17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As at December 31, 2023, the net amount of the lease liability and right-of-use asset is as follows: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560" w:type="dxa"/>
            <w:vAlign w:val="bottom"/>
            <w:tcBorders>
              <w:bottom w:val="single" w:sz="8" w:color="CBEBF4"/>
            </w:tcBorders>
          </w:tcPr>
          <w:p>
            <w:pPr>
              <w:spacing w:after="0"/>
              <w:rPr>
                <w:sz w:val="14"/>
                <w:szCs w:val="14"/>
                <w:color w:val="auto"/>
              </w:rPr>
            </w:pPr>
          </w:p>
        </w:tc>
        <w:tc>
          <w:tcPr>
            <w:tcW w:w="20" w:type="dxa"/>
            <w:vAlign w:val="bottom"/>
            <w:tcBorders>
              <w:bottom w:val="single" w:sz="8" w:color="CBEBF4"/>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 Liability</w:t>
            </w:r>
          </w:p>
        </w:tc>
      </w:tr>
      <w:tr>
        <w:trPr>
          <w:trHeight w:val="200"/>
        </w:trPr>
        <w:tc>
          <w:tcPr>
            <w:tcW w:w="75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Balance as at August 1, 2023</w:t>
            </w:r>
          </w:p>
        </w:tc>
        <w:tc>
          <w:tcPr>
            <w:tcW w:w="20" w:type="dxa"/>
            <w:vAlign w:val="bottom"/>
            <w:shd w:val="clear" w:color="auto" w:fill="CBEBF4"/>
          </w:tcPr>
          <w:p>
            <w:pPr>
              <w:spacing w:after="0"/>
              <w:rPr>
                <w:sz w:val="17"/>
                <w:szCs w:val="17"/>
                <w:color w:val="auto"/>
              </w:rPr>
            </w:pPr>
          </w:p>
        </w:tc>
        <w:tc>
          <w:tcPr>
            <w:tcW w:w="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6,515</w:t>
            </w:r>
          </w:p>
        </w:tc>
      </w:tr>
      <w:tr>
        <w:trPr>
          <w:trHeight w:val="207"/>
        </w:trPr>
        <w:tc>
          <w:tcPr>
            <w:tcW w:w="756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color w:val="auto"/>
              </w:rPr>
              <w:t>Payments made during the year by issuing 4.15 million common shares</w:t>
            </w:r>
          </w:p>
        </w:tc>
        <w:tc>
          <w:tcPr>
            <w:tcW w:w="20" w:type="dxa"/>
            <w:vAlign w:val="bottom"/>
            <w:tcBorders>
              <w:bottom w:val="single" w:sz="8" w:color="CBEB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6,515</w:t>
            </w:r>
          </w:p>
        </w:tc>
      </w:tr>
      <w:tr>
        <w:trPr>
          <w:trHeight w:val="200"/>
        </w:trPr>
        <w:tc>
          <w:tcPr>
            <w:tcW w:w="756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Balance as at December 31, 2023</w:t>
            </w:r>
          </w:p>
        </w:tc>
        <w:tc>
          <w:tcPr>
            <w:tcW w:w="20" w:type="dxa"/>
            <w:vAlign w:val="bottom"/>
            <w:tcBorders>
              <w:bottom w:val="single" w:sz="8" w:color="CBEBF4"/>
            </w:tcBorders>
            <w:shd w:val="clear" w:color="auto" w:fill="CBEBF4"/>
          </w:tcPr>
          <w:p>
            <w:pPr>
              <w:spacing w:after="0"/>
              <w:rPr>
                <w:sz w:val="17"/>
                <w:szCs w:val="17"/>
                <w:color w:val="auto"/>
              </w:rPr>
            </w:pPr>
          </w:p>
        </w:tc>
        <w:tc>
          <w:tcPr>
            <w:tcW w:w="1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42"/>
        </w:trPr>
        <w:tc>
          <w:tcPr>
            <w:tcW w:w="7560" w:type="dxa"/>
            <w:vAlign w:val="bottom"/>
            <w:tcBorders>
              <w:bottom w:val="single" w:sz="8" w:color="CBEBF4"/>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Right-of-use Asset</w:t>
            </w:r>
          </w:p>
        </w:tc>
      </w:tr>
      <w:tr>
        <w:trPr>
          <w:trHeight w:val="200"/>
        </w:trPr>
        <w:tc>
          <w:tcPr>
            <w:tcW w:w="75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Balance as on August 1, 2023</w:t>
            </w:r>
          </w:p>
        </w:tc>
        <w:tc>
          <w:tcPr>
            <w:tcW w:w="1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6,515</w:t>
            </w:r>
          </w:p>
        </w:tc>
      </w:tr>
      <w:tr>
        <w:trPr>
          <w:trHeight w:val="207"/>
        </w:trPr>
        <w:tc>
          <w:tcPr>
            <w:tcW w:w="756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color w:val="auto"/>
              </w:rPr>
              <w:t>Lease expense during the year</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794</w:t>
            </w:r>
          </w:p>
        </w:tc>
      </w:tr>
      <w:tr>
        <w:trPr>
          <w:trHeight w:val="200"/>
        </w:trPr>
        <w:tc>
          <w:tcPr>
            <w:tcW w:w="756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Balance as at December 31, 2023</w:t>
            </w:r>
          </w:p>
        </w:tc>
        <w:tc>
          <w:tcPr>
            <w:tcW w:w="140" w:type="dxa"/>
            <w:vAlign w:val="bottom"/>
            <w:tcBorders>
              <w:bottom w:val="single" w:sz="8" w:color="auto"/>
            </w:tcBorders>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5,721</w:t>
            </w:r>
          </w:p>
        </w:tc>
      </w:tr>
      <w:tr>
        <w:trPr>
          <w:trHeight w:val="20"/>
        </w:trPr>
        <w:tc>
          <w:tcPr>
            <w:tcW w:w="7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Credit Facility with Allseas Affiliate</w:t>
      </w:r>
    </w:p>
    <w:p>
      <w:pPr>
        <w:spacing w:after="0" w:line="222" w:lineRule="exact"/>
        <w:rPr>
          <w:sz w:val="20"/>
          <w:szCs w:val="20"/>
          <w:color w:val="auto"/>
        </w:rPr>
      </w:pPr>
    </w:p>
    <w:p>
      <w:pPr>
        <w:jc w:val="both"/>
        <w:ind w:left="180" w:firstLine="1"/>
        <w:spacing w:after="0" w:line="259" w:lineRule="auto"/>
        <w:rPr>
          <w:sz w:val="20"/>
          <w:szCs w:val="20"/>
          <w:color w:val="auto"/>
        </w:rPr>
      </w:pPr>
      <w:r>
        <w:rPr>
          <w:rFonts w:ascii="Times New Roman" w:cs="Times New Roman" w:eastAsia="Times New Roman" w:hAnsi="Times New Roman"/>
          <w:sz w:val="17"/>
          <w:szCs w:val="17"/>
          <w:color w:val="auto"/>
        </w:rPr>
        <w:t>On March 22, 2023, the Company entered into an Unsecured Credit Facility Agreement, which was amended on July 31, 2023 (“Credit Facility”), with Argentum Credit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The Company has the ability to settle the drawn credit facility, the interest on the drawn credit facility and underutilitzation fee in cash or in equity at discretion of the Company. On March 22, 2024, the maturity date of this Credit Facility was extended to August 31, 2025. The Credit Facility also contains customary events of default.</w:t>
      </w:r>
    </w:p>
    <w:p>
      <w:pPr>
        <w:spacing w:after="0" w:line="168" w:lineRule="exact"/>
        <w:rPr>
          <w:sz w:val="20"/>
          <w:szCs w:val="20"/>
          <w:color w:val="auto"/>
        </w:rPr>
      </w:pPr>
    </w:p>
    <w:p>
      <w:pPr>
        <w:jc w:val="both"/>
        <w:ind w:left="180" w:firstLine="1"/>
        <w:spacing w:after="0" w:line="276" w:lineRule="auto"/>
        <w:rPr>
          <w:sz w:val="20"/>
          <w:szCs w:val="20"/>
          <w:color w:val="auto"/>
        </w:rPr>
      </w:pPr>
      <w:r>
        <w:rPr>
          <w:rFonts w:ascii="Times New Roman" w:cs="Times New Roman" w:eastAsia="Times New Roman" w:hAnsi="Times New Roman"/>
          <w:sz w:val="17"/>
          <w:szCs w:val="17"/>
          <w:color w:val="auto"/>
        </w:rPr>
        <w:t>During the year ended December 31, 2023, the Company had not drawn any amount from the Credit Facility and had incurred $0.8 million as underutilization fees, which would be payable only in the event the Credit Facility is not drawn down upon at the time such fees are payable.</w:t>
      </w:r>
    </w:p>
    <w:p>
      <w:pPr>
        <w:spacing w:after="0" w:line="155" w:lineRule="exact"/>
        <w:rPr>
          <w:sz w:val="20"/>
          <w:szCs w:val="20"/>
          <w:color w:val="auto"/>
        </w:rPr>
      </w:pPr>
    </w:p>
    <w:p>
      <w:pPr>
        <w:ind w:left="180" w:right="360"/>
        <w:spacing w:after="0" w:line="509" w:lineRule="auto"/>
        <w:rPr>
          <w:sz w:val="20"/>
          <w:szCs w:val="20"/>
          <w:color w:val="auto"/>
        </w:rPr>
      </w:pPr>
      <w:r>
        <w:rPr>
          <w:rFonts w:ascii="Times New Roman" w:cs="Times New Roman" w:eastAsia="Times New Roman" w:hAnsi="Times New Roman"/>
          <w:sz w:val="17"/>
          <w:szCs w:val="17"/>
          <w:color w:val="auto"/>
        </w:rPr>
        <w:t xml:space="preserve">As at December 31, 2023, the amount payable to Allseas and its affiliates was $13.8 million (December 31, 2022: $10.2 million). </w:t>
      </w:r>
      <w:r>
        <w:rPr>
          <w:rFonts w:ascii="Times New Roman" w:cs="Times New Roman" w:eastAsia="Times New Roman" w:hAnsi="Times New Roman"/>
          <w:sz w:val="17"/>
          <w:szCs w:val="17"/>
          <w:b w:val="1"/>
          <w:bCs w:val="1"/>
          <w:color w:val="auto"/>
        </w:rPr>
        <w:t>Other Activity</w:t>
      </w: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As a part of the Registered Direct Offering in August 2023 (Note 12), Allseas purchased 3,500,000 common shares and accompanying Class A Warrants to purchase 1,750,000 Common Shares (Note 13) for a total purchase price of $7 million.</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As at December 31, 2023, Allseas and its affiliates owned 53.8 million TMC common shares (2022: 23.7 million TMC common</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shares) which constituted 17.6% (December 31, 2022: 8.9%) of total common shares outstanding.</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749" name="Shape 7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49" o:spid="_x0000_s17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56pt"/>
            </w:pict>
          </mc:Fallback>
        </mc:AlternateContent>
      </w:r>
    </w:p>
    <w:p>
      <w:pPr>
        <w:sectPr>
          <w:pgSz w:w="12240" w:h="15840" w:orient="portrait"/>
          <w:cols w:equalWidth="0" w:num="1">
            <w:col w:w="9480"/>
          </w:cols>
          <w:pgMar w:left="1440" w:top="1324" w:right="132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50" name="Shape 7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50" o:spid="_x0000_s17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51" name="Shape 7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51" o:spid="_x0000_s17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52" name="Shape 7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52" o:spid="_x0000_s177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53" name="Shape 7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53" o:spid="_x0000_s17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20" w:hanging="306"/>
        <w:spacing w:after="0"/>
        <w:tabs>
          <w:tab w:leader="none" w:pos="32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 in Low Carbon Royalties</w:t>
      </w:r>
    </w:p>
    <w:p>
      <w:pPr>
        <w:spacing w:after="0" w:line="222" w:lineRule="exact"/>
        <w:rPr>
          <w:rFonts w:ascii="Times New Roman" w:cs="Times New Roman" w:eastAsia="Times New Roman" w:hAnsi="Times New Roman"/>
          <w:sz w:val="17"/>
          <w:szCs w:val="17"/>
          <w:b w:val="1"/>
          <w:bCs w:val="1"/>
          <w:color w:val="auto"/>
        </w:rPr>
      </w:pPr>
    </w:p>
    <w:p>
      <w:pPr>
        <w:jc w:val="both"/>
        <w:ind w:left="320" w:right="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21, 2023 (the “Closing Date”), the Company and its wholly-owned subsidiary, NORI, entered into an investment agreement (the “Royalty Agreement”) with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Royalty Agreement, NORI contributed a 2% gross overriding royalty (the “NORI Royalty”) on the Company’s NORI project area in the CCZ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anniversaries of the Partnership. If both repurchase transactions are executed, the NORI Royalty will be reduced to 0.5%. At the Closing Date, Low Carbon Royalties also owned a 1.56% gross overriding royalty on a producing natural gas field in Latin America (the “LCR-owned Royalty”). In consideration of the NORI Royalty, TMC received 35.0% of the common shares issued by Low Carbon Royalties and $5 million in cash, as of the Closing Date. In connection with the Royalty Agreement the Company entered into an Investor Rights Agreement with Low Carbon Royalties and a shareholder of Low Carbon Royalties, pursuant to which the Company and this shareholder each have a right, subject to certain percentage maintenance, to nominate a director to Low Carbon Royalties’ board of directors, along with registration and information rights.</w:t>
      </w:r>
    </w:p>
    <w:p>
      <w:pPr>
        <w:spacing w:after="0" w:line="177" w:lineRule="exact"/>
        <w:rPr>
          <w:rFonts w:ascii="Times New Roman" w:cs="Times New Roman" w:eastAsia="Times New Roman" w:hAnsi="Times New Roman"/>
          <w:sz w:val="17"/>
          <w:szCs w:val="17"/>
          <w:b w:val="1"/>
          <w:bCs w:val="1"/>
          <w:color w:val="auto"/>
        </w:rPr>
      </w:pPr>
    </w:p>
    <w:p>
      <w:pPr>
        <w:jc w:val="both"/>
        <w:ind w:left="320" w:right="20" w:firstLine="1"/>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 condition of closing the Royalty Agreement, the parties entered into an agreement with Low Carbon Royalties to mitigate risks associated with the potential termination of the exploitation license granted for one of the royalty-producing natural gas fields in Latin America (the “Exploitation License”). As per the agreement, 5 million contingent value rights (“CVR”) were issued to NORI. The CVR would convert into 5 million additional shares of Low Carbon Royalties being issued to NORI, in the event the Exploitation License is found, in a final decision, to be invalid by the Colombian National Agency of Hydrocarbons prior to the earlier of (1) five years from the issuance of the CVR and (2) the date Low Carbon Royalties becomes a publicly listed entity.</w:t>
      </w:r>
    </w:p>
    <w:p>
      <w:pPr>
        <w:spacing w:after="0" w:line="166" w:lineRule="exact"/>
        <w:rPr>
          <w:rFonts w:ascii="Times New Roman" w:cs="Times New Roman" w:eastAsia="Times New Roman" w:hAnsi="Times New Roman"/>
          <w:sz w:val="17"/>
          <w:szCs w:val="17"/>
          <w:b w:val="1"/>
          <w:bCs w:val="1"/>
          <w:color w:val="auto"/>
        </w:rPr>
      </w:pPr>
    </w:p>
    <w:p>
      <w:pPr>
        <w:ind w:left="320" w:right="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Although the Company does not control Low Carbon Royalties (as per ASC 810), it does however exercise significant influence and therefore the equity method of accounting is applied (as per ASC 323).</w:t>
      </w:r>
    </w:p>
    <w:p>
      <w:pPr>
        <w:spacing w:after="0" w:line="136" w:lineRule="exact"/>
        <w:rPr>
          <w:rFonts w:ascii="Times New Roman" w:cs="Times New Roman" w:eastAsia="Times New Roman" w:hAnsi="Times New Roman"/>
          <w:sz w:val="17"/>
          <w:szCs w:val="17"/>
          <w:b w:val="1"/>
          <w:bCs w:val="1"/>
          <w:color w:val="auto"/>
        </w:rPr>
      </w:pPr>
    </w:p>
    <w:p>
      <w:pPr>
        <w:jc w:val="both"/>
        <w:ind w:left="320" w:right="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21, 2023, Low Carbon Royalties acquired additional gross overriding royalties on natural gas fields in Latin America, increasing its total gross overriding royalty on the existing first license block from 1.56% to 3.13% and acquiring a new gross overriding royalty of 1.44% on a second license block. The royalty acquisitions were financed through the issuance of Low Carbon Royalties common shares to the third-party vendor of such royalties, thereby reducing the Company’s ownership in the Partnership to 32% from 35%.</w:t>
      </w:r>
    </w:p>
    <w:p>
      <w:pPr>
        <w:spacing w:after="0" w:line="165" w:lineRule="exact"/>
        <w:rPr>
          <w:rFonts w:ascii="Times New Roman" w:cs="Times New Roman" w:eastAsia="Times New Roman" w:hAnsi="Times New Roman"/>
          <w:sz w:val="17"/>
          <w:szCs w:val="17"/>
          <w:b w:val="1"/>
          <w:bCs w:val="1"/>
          <w:color w:val="auto"/>
        </w:rPr>
      </w:pPr>
    </w:p>
    <w:p>
      <w:pPr>
        <w:jc w:val="both"/>
        <w:ind w:left="320" w:right="20" w:firstLine="1"/>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Based on the fair value of the NORI Royalty granted and the cash received, the Company recorded $9 million as investment in Low Carbon Royalties on the Closing Date. For the year ended December 31, 2023, the Company’s share of the net loss generated by the Low Carbon Royalties was $ 0.6 million.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7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Fair value of NORI Royalty</w:t>
            </w:r>
          </w:p>
        </w:tc>
        <w:tc>
          <w:tcPr>
            <w:tcW w:w="3800" w:type="dxa"/>
            <w:vAlign w:val="bottom"/>
            <w:tcBorders>
              <w:top w:val="single" w:sz="8" w:color="CBEBF4"/>
            </w:tcBorders>
            <w:shd w:val="clear" w:color="auto" w:fill="CBEBF4"/>
          </w:tcPr>
          <w:p>
            <w:pPr>
              <w:spacing w:after="0"/>
              <w:rPr>
                <w:sz w:val="17"/>
                <w:szCs w:val="17"/>
                <w:color w:val="auto"/>
              </w:rPr>
            </w:pPr>
          </w:p>
        </w:tc>
        <w:tc>
          <w:tcPr>
            <w:tcW w:w="320" w:type="dxa"/>
            <w:vAlign w:val="bottom"/>
            <w:tcBorders>
              <w:top w:val="single" w:sz="8" w:color="auto"/>
            </w:tcBorders>
            <w:shd w:val="clear" w:color="auto" w:fill="CBEBF4"/>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14,000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color w:val="auto"/>
              </w:rPr>
              <w:t>Cash received</w:t>
            </w:r>
          </w:p>
        </w:tc>
        <w:tc>
          <w:tcPr>
            <w:tcW w:w="41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7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Cost of Investment on Closing Date</w:t>
            </w:r>
          </w:p>
        </w:tc>
        <w:tc>
          <w:tcPr>
            <w:tcW w:w="3800" w:type="dxa"/>
            <w:vAlign w:val="bottom"/>
            <w:tcBorders>
              <w:top w:val="single" w:sz="8" w:color="CBEBF4"/>
            </w:tcBorders>
            <w:shd w:val="clear" w:color="auto" w:fill="CBEBF4"/>
          </w:tcPr>
          <w:p>
            <w:pPr>
              <w:spacing w:after="0"/>
              <w:rPr>
                <w:sz w:val="17"/>
                <w:szCs w:val="17"/>
                <w:color w:val="auto"/>
              </w:rPr>
            </w:pPr>
          </w:p>
        </w:tc>
        <w:tc>
          <w:tcPr>
            <w:tcW w:w="320" w:type="dxa"/>
            <w:vAlign w:val="bottom"/>
            <w:tcBorders>
              <w:top w:val="single" w:sz="8" w:color="auto"/>
            </w:tcBorders>
            <w:shd w:val="clear" w:color="auto" w:fill="CBEBF4"/>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78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color w:val="auto"/>
              </w:rPr>
              <w:t>Equity-accounted investment loss for the year</w:t>
            </w:r>
          </w:p>
        </w:tc>
        <w:tc>
          <w:tcPr>
            <w:tcW w:w="3800" w:type="dxa"/>
            <w:vAlign w:val="bottom"/>
            <w:tcBorders>
              <w:bottom w:val="single" w:sz="8" w:color="CBEBF4"/>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78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Investment as at December 31, 2023</w:t>
            </w:r>
          </w:p>
        </w:tc>
        <w:tc>
          <w:tcPr>
            <w:tcW w:w="3800" w:type="dxa"/>
            <w:vAlign w:val="bottom"/>
            <w:tcBorders>
              <w:bottom w:val="single" w:sz="8" w:color="CBEBF4"/>
            </w:tcBorders>
            <w:shd w:val="clear" w:color="auto" w:fill="CBEBF4"/>
          </w:tcPr>
          <w:p>
            <w:pPr>
              <w:spacing w:after="0"/>
              <w:rPr>
                <w:sz w:val="17"/>
                <w:szCs w:val="17"/>
                <w:color w:val="auto"/>
              </w:rPr>
            </w:pPr>
          </w:p>
        </w:tc>
        <w:tc>
          <w:tcPr>
            <w:tcW w:w="320" w:type="dxa"/>
            <w:vAlign w:val="bottom"/>
            <w:tcBorders>
              <w:bottom w:val="single" w:sz="8" w:color="auto"/>
            </w:tcBorders>
            <w:shd w:val="clear" w:color="auto" w:fill="CBEBF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8,429</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800" w:type="dxa"/>
            <w:vAlign w:val="bottom"/>
            <w:vMerge w:val="restart"/>
          </w:tcPr>
          <w:p>
            <w:pPr>
              <w:jc w:val="right"/>
              <w:ind w:right="2874"/>
              <w:spacing w:after="0"/>
              <w:rPr>
                <w:sz w:val="20"/>
                <w:szCs w:val="20"/>
                <w:color w:val="auto"/>
              </w:rPr>
            </w:pPr>
            <w:r>
              <w:rPr>
                <w:rFonts w:ascii="Times New Roman" w:cs="Times New Roman" w:eastAsia="Times New Roman" w:hAnsi="Times New Roman"/>
                <w:sz w:val="17"/>
                <w:szCs w:val="17"/>
                <w:color w:val="auto"/>
              </w:rPr>
              <w:t>139</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9"/>
        </w:trPr>
        <w:tc>
          <w:tcPr>
            <w:tcW w:w="3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3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40"/>
          </w:cols>
          <w:pgMar w:left="1300" w:top="1324" w:right="1300" w:bottom="1440" w:gutter="0" w:footer="0" w:header="0"/>
        </w:sectPr>
      </w:pPr>
    </w:p>
    <w:bookmarkStart w:id="145" w:name="page146"/>
    <w:bookmarkEnd w:id="145"/>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54" name="Shape 7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54" o:spid="_x0000_s17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55" name="Shape 7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55" o:spid="_x0000_s17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56" name="Shape 7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56" o:spid="_x0000_s17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57" name="Shape 7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57" o:spid="_x0000_s17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06" w:firstLine="1"/>
        <w:spacing w:after="0" w:line="263" w:lineRule="auto"/>
        <w:rPr>
          <w:sz w:val="20"/>
          <w:szCs w:val="20"/>
          <w:color w:val="auto"/>
        </w:rPr>
      </w:pPr>
      <w:r>
        <w:rPr>
          <w:rFonts w:ascii="Times New Roman" w:cs="Times New Roman" w:eastAsia="Times New Roman" w:hAnsi="Times New Roman"/>
          <w:sz w:val="17"/>
          <w:szCs w:val="17"/>
          <w:color w:val="auto"/>
        </w:rPr>
        <w:t>The NORI Royalty was recorded as a royalty liability in the consolidated Balance Sheet as this represented a sale of future revenues which falls within the scope of ASC 470, Debt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December 31, 2023, remained unchanged at $14 million.</w:t>
      </w:r>
    </w:p>
    <w:p>
      <w:pPr>
        <w:spacing w:after="0" w:line="166"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color w:val="auto"/>
        </w:rPr>
        <w:t>Financial results of Low Carbon Royalties are summarized below:</w:t>
      </w:r>
    </w:p>
    <w:p>
      <w:pPr>
        <w:spacing w:after="0" w:line="212" w:lineRule="exact"/>
        <w:rPr>
          <w:sz w:val="20"/>
          <w:szCs w:val="20"/>
          <w:color w:val="auto"/>
        </w:rPr>
      </w:pPr>
    </w:p>
    <w:tbl>
      <w:tblPr>
        <w:tblLayout w:type="fixed"/>
        <w:tblInd w:w="966"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13"/>
                <w:szCs w:val="13"/>
                <w:color w:val="auto"/>
              </w:rPr>
            </w:pPr>
          </w:p>
        </w:tc>
        <w:tc>
          <w:tcPr>
            <w:tcW w:w="96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w w:val="99"/>
              </w:rPr>
              <w:t>December 31</w:t>
            </w:r>
          </w:p>
        </w:tc>
        <w:tc>
          <w:tcPr>
            <w:tcW w:w="0" w:type="dxa"/>
            <w:vAlign w:val="bottom"/>
          </w:tcPr>
          <w:p>
            <w:pPr>
              <w:spacing w:after="0"/>
              <w:rPr>
                <w:sz w:val="1"/>
                <w:szCs w:val="1"/>
                <w:color w:val="auto"/>
              </w:rPr>
            </w:pPr>
          </w:p>
        </w:tc>
      </w:tr>
      <w:tr>
        <w:trPr>
          <w:trHeight w:val="168"/>
        </w:trPr>
        <w:tc>
          <w:tcPr>
            <w:tcW w:w="6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5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Non-Current Assets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shd w:val="clear" w:color="auto" w:fill="CBEBF4"/>
          </w:tcPr>
          <w:p>
            <w:pPr>
              <w:spacing w:after="0"/>
              <w:rPr>
                <w:sz w:val="18"/>
                <w:szCs w:val="18"/>
                <w:color w:val="auto"/>
              </w:rPr>
            </w:pP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65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Royalty Income</w:t>
            </w:r>
          </w:p>
        </w:tc>
        <w:tc>
          <w:tcPr>
            <w:tcW w:w="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Comprehensive Income (Loss) for the year</w:t>
            </w:r>
          </w:p>
        </w:tc>
        <w:tc>
          <w:tcPr>
            <w:tcW w:w="1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06" w:hanging="306"/>
        <w:spacing w:after="0"/>
        <w:tabs>
          <w:tab w:leader="none" w:pos="306"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Exploration Contracts</w:t>
      </w:r>
    </w:p>
    <w:p>
      <w:pPr>
        <w:spacing w:after="0" w:line="219" w:lineRule="exact"/>
        <w:rPr>
          <w:rFonts w:ascii="Times New Roman" w:cs="Times New Roman" w:eastAsia="Times New Roman" w:hAnsi="Times New Roman"/>
          <w:sz w:val="17"/>
          <w:szCs w:val="17"/>
          <w:b w:val="1"/>
          <w:bCs w:val="1"/>
          <w:color w:val="auto"/>
        </w:rPr>
      </w:pPr>
    </w:p>
    <w:p>
      <w:pPr>
        <w:ind w:left="306" w:right="6660"/>
        <w:spacing w:after="0" w:line="51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7"/>
          <w:szCs w:val="17"/>
          <w:b w:val="1"/>
          <w:bCs w:val="1"/>
          <w:color w:val="auto"/>
        </w:rPr>
      </w:pPr>
    </w:p>
    <w:p>
      <w:pPr>
        <w:jc w:val="both"/>
        <w:ind w:left="306"/>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19) and provides NORI with the priority right to apply for an exploitation contract to collect polymetallic nodules in the same area.</w:t>
      </w:r>
    </w:p>
    <w:p>
      <w:pPr>
        <w:spacing w:after="0" w:line="164" w:lineRule="exact"/>
        <w:rPr>
          <w:rFonts w:ascii="Times New Roman" w:cs="Times New Roman" w:eastAsia="Times New Roman" w:hAnsi="Times New Roman"/>
          <w:sz w:val="17"/>
          <w:szCs w:val="17"/>
          <w:b w:val="1"/>
          <w:bCs w:val="1"/>
          <w:color w:val="auto"/>
        </w:rPr>
      </w:pPr>
    </w:p>
    <w:p>
      <w:pPr>
        <w:ind w:left="306"/>
        <w:spacing w:after="0" w:line="29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NORI has a right to renounce, without penalty, in whole or part of its rights in the NORI Area at any time and therefore does not have a fixed commitment with relation to the NORI Exploration Contract (Note 19).</w:t>
      </w:r>
    </w:p>
    <w:p>
      <w:pPr>
        <w:spacing w:after="0" w:line="136"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Marawa Agreements:</w:t>
      </w:r>
    </w:p>
    <w:p>
      <w:pPr>
        <w:spacing w:after="0" w:line="217" w:lineRule="exact"/>
        <w:rPr>
          <w:rFonts w:ascii="Times New Roman" w:cs="Times New Roman" w:eastAsia="Times New Roman" w:hAnsi="Times New Roman"/>
          <w:sz w:val="17"/>
          <w:szCs w:val="17"/>
          <w:b w:val="1"/>
          <w:bCs w:val="1"/>
          <w:color w:val="auto"/>
        </w:rPr>
      </w:pPr>
    </w:p>
    <w:p>
      <w:pPr>
        <w:jc w:val="both"/>
        <w:ind w:left="306"/>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60" w:lineRule="exact"/>
        <w:rPr>
          <w:rFonts w:ascii="Times New Roman" w:cs="Times New Roman" w:eastAsia="Times New Roman" w:hAnsi="Times New Roman"/>
          <w:sz w:val="17"/>
          <w:szCs w:val="17"/>
          <w:b w:val="1"/>
          <w:bCs w:val="1"/>
          <w:color w:val="auto"/>
        </w:rPr>
      </w:pPr>
    </w:p>
    <w:p>
      <w:pPr>
        <w:jc w:val="both"/>
        <w:ind w:left="306"/>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17, 2012, the Company’s wholly-owned subsidiary, DeepGreen Engineering Pte. Ltd. (“DGE”), entered into an Option Agreement (“Marawa Option Agreement”) with Marawa and Kiribati. 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w:t>
      </w:r>
    </w:p>
    <w:p>
      <w:pPr>
        <w:spacing w:after="0" w:line="3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758" name="Shape 7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58" o:spid="_x0000_s17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324" w:right="1320" w:bottom="1440" w:gutter="0" w:footer="0" w:header="0"/>
        </w:sectPr>
      </w:pPr>
    </w:p>
    <w:bookmarkStart w:id="146" w:name="page147"/>
    <w:bookmarkEnd w:id="146"/>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60" name="Shape 7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60" o:spid="_x0000_s17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61" name="Shape 7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61" o:spid="_x0000_s17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62" name="Shape 7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62" o:spid="_x0000_s17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TOML Exploration Contract:</w:t>
      </w:r>
    </w:p>
    <w:p>
      <w:pPr>
        <w:spacing w:after="0" w:line="218"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60"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On March 31, 2020, the Company entered into an acquisition agreement with Deep Sea Mining Finance Ltd. to acquire TOML and other related entities in the group (the “TOML Acquisition”). Total purchase price of the TOML Acquisition, before transaction costs, was $32.0 million comprising of $42.7 million for exploration contracts offset by $10.7 million for deferred tax liability. TOML holds an ISA exploration contract in the CCZ (“TOML Exploration Contract”) and some exploration related equipment.</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Reconciliation – Exploration Contracts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 reconciliation of the Company’s capitalized exploration contracts is as follows: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NORI</w:t>
            </w:r>
          </w:p>
        </w:tc>
        <w:tc>
          <w:tcPr>
            <w:tcW w:w="30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36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TOML</w:t>
            </w: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Option</w:t>
            </w: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0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December 31, 2022</w:t>
            </w:r>
          </w:p>
        </w:tc>
        <w:tc>
          <w:tcPr>
            <w:tcW w:w="360" w:type="dxa"/>
            <w:vAlign w:val="bottom"/>
            <w:tcBorders>
              <w:top w:val="single" w:sz="8" w:color="auto"/>
            </w:tcBorders>
            <w:shd w:val="clear" w:color="auto" w:fill="CBEBF4"/>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60" w:type="dxa"/>
            <w:vAlign w:val="bottom"/>
            <w:tcBorders>
              <w:top w:val="single" w:sz="8" w:color="CBEBF4"/>
            </w:tcBorders>
            <w:shd w:val="clear" w:color="auto" w:fill="CBEBF4"/>
          </w:tcPr>
          <w:p>
            <w:pPr>
              <w:spacing w:after="0"/>
              <w:rPr>
                <w:sz w:val="17"/>
                <w:szCs w:val="17"/>
                <w:color w:val="auto"/>
              </w:rPr>
            </w:pPr>
          </w:p>
        </w:tc>
        <w:tc>
          <w:tcPr>
            <w:tcW w:w="300" w:type="dxa"/>
            <w:vAlign w:val="bottom"/>
            <w:tcBorders>
              <w:top w:val="single" w:sz="8" w:color="auto"/>
            </w:tcBorders>
            <w:shd w:val="clear" w:color="auto" w:fill="CBEBF4"/>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60" w:type="dxa"/>
            <w:vAlign w:val="bottom"/>
            <w:tcBorders>
              <w:top w:val="single" w:sz="8" w:color="CBEBF4"/>
            </w:tcBorders>
            <w:shd w:val="clear" w:color="auto" w:fill="CBEBF4"/>
          </w:tcPr>
          <w:p>
            <w:pPr>
              <w:spacing w:after="0"/>
              <w:rPr>
                <w:sz w:val="17"/>
                <w:szCs w:val="17"/>
                <w:color w:val="auto"/>
              </w:rPr>
            </w:pPr>
          </w:p>
        </w:tc>
        <w:tc>
          <w:tcPr>
            <w:tcW w:w="360" w:type="dxa"/>
            <w:vAlign w:val="bottom"/>
            <w:tcBorders>
              <w:top w:val="single" w:sz="8" w:color="auto"/>
            </w:tcBorders>
            <w:shd w:val="clear" w:color="auto" w:fill="CBEBF4"/>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42,701</w:t>
            </w:r>
          </w:p>
        </w:tc>
        <w:tc>
          <w:tcPr>
            <w:tcW w:w="260" w:type="dxa"/>
            <w:vAlign w:val="bottom"/>
            <w:tcBorders>
              <w:top w:val="single" w:sz="8" w:color="CBEBF4"/>
            </w:tcBorders>
            <w:shd w:val="clear" w:color="auto" w:fill="CBEBF4"/>
          </w:tcPr>
          <w:p>
            <w:pPr>
              <w:spacing w:after="0"/>
              <w:rPr>
                <w:sz w:val="17"/>
                <w:szCs w:val="17"/>
                <w:color w:val="auto"/>
              </w:rPr>
            </w:pPr>
          </w:p>
        </w:tc>
        <w:tc>
          <w:tcPr>
            <w:tcW w:w="400" w:type="dxa"/>
            <w:vAlign w:val="bottom"/>
            <w:tcBorders>
              <w:top w:val="single" w:sz="8" w:color="auto"/>
            </w:tcBorders>
            <w:shd w:val="clear" w:color="auto" w:fill="CBEBF4"/>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w:t>
            </w:r>
          </w:p>
        </w:tc>
        <w:tc>
          <w:tcPr>
            <w:tcW w:w="26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199</w:t>
            </w:r>
          </w:p>
        </w:tc>
        <w:tc>
          <w:tcPr>
            <w:tcW w:w="260" w:type="dxa"/>
            <w:vAlign w:val="bottom"/>
          </w:tcPr>
          <w:p>
            <w:pPr>
              <w:spacing w:after="0"/>
              <w:rPr>
                <w:sz w:val="20"/>
                <w:szCs w:val="20"/>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42,701</w:t>
            </w:r>
          </w:p>
        </w:tc>
        <w:tc>
          <w:tcPr>
            <w:tcW w:w="26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43,150</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Exploration and Evaluation Expenses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detail of exploration and evaluation expenses is as follows: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NORI</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90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20" w:type="dxa"/>
            <w:vAlign w:val="bottom"/>
            <w:tcBorders>
              <w:top w:val="single" w:sz="8" w:color="auto"/>
            </w:tcBorders>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Environmental Studies</w:t>
            </w:r>
          </w:p>
        </w:tc>
        <w:tc>
          <w:tcPr>
            <w:tcW w:w="160" w:type="dxa"/>
            <w:vAlign w:val="bottom"/>
            <w:tcBorders>
              <w:top w:val="single" w:sz="8" w:color="CBEBF4"/>
            </w:tcBorders>
            <w:shd w:val="clear" w:color="auto" w:fill="CBEBF4"/>
          </w:tcPr>
          <w:p>
            <w:pPr>
              <w:spacing w:after="0"/>
              <w:rPr>
                <w:sz w:val="17"/>
                <w:szCs w:val="17"/>
                <w:color w:val="auto"/>
              </w:rPr>
            </w:pPr>
          </w:p>
        </w:tc>
        <w:tc>
          <w:tcPr>
            <w:tcW w:w="12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16,421</w:t>
            </w:r>
          </w:p>
        </w:tc>
        <w:tc>
          <w:tcPr>
            <w:tcW w:w="160" w:type="dxa"/>
            <w:vAlign w:val="bottom"/>
            <w:tcBorders>
              <w:top w:val="single" w:sz="8" w:color="CBEBF4"/>
            </w:tcBorders>
            <w:shd w:val="clear" w:color="auto" w:fill="CBEBF4"/>
          </w:tcPr>
          <w:p>
            <w:pPr>
              <w:spacing w:after="0"/>
              <w:rPr>
                <w:sz w:val="17"/>
                <w:szCs w:val="17"/>
                <w:color w:val="auto"/>
              </w:rPr>
            </w:pPr>
          </w:p>
        </w:tc>
        <w:tc>
          <w:tcPr>
            <w:tcW w:w="1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tcBorders>
            <w:shd w:val="clear" w:color="auto" w:fill="CBEBF4"/>
          </w:tcPr>
          <w:p>
            <w:pPr>
              <w:spacing w:after="0"/>
              <w:rPr>
                <w:sz w:val="17"/>
                <w:szCs w:val="17"/>
                <w:color w:val="auto"/>
              </w:rPr>
            </w:pPr>
          </w:p>
        </w:tc>
        <w:tc>
          <w:tcPr>
            <w:tcW w:w="5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BEBF4"/>
            </w:tcBorders>
            <w:shd w:val="clear" w:color="auto" w:fill="CBEBF4"/>
          </w:tcPr>
          <w:p>
            <w:pPr>
              <w:spacing w:after="0"/>
              <w:rPr>
                <w:sz w:val="17"/>
                <w:szCs w:val="17"/>
                <w:color w:val="auto"/>
              </w:rPr>
            </w:pPr>
          </w:p>
        </w:tc>
        <w:tc>
          <w:tcPr>
            <w:tcW w:w="1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16,421</w:t>
            </w:r>
          </w:p>
        </w:tc>
        <w:tc>
          <w:tcPr>
            <w:tcW w:w="0" w:type="dxa"/>
            <w:vAlign w:val="bottom"/>
          </w:tcPr>
          <w:p>
            <w:pPr>
              <w:spacing w:after="0"/>
              <w:rPr>
                <w:sz w:val="1"/>
                <w:szCs w:val="1"/>
                <w:color w:val="auto"/>
              </w:rPr>
            </w:pPr>
          </w:p>
        </w:tc>
      </w:tr>
      <w:tr>
        <w:trPr>
          <w:trHeight w:val="207"/>
        </w:trPr>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Exploration Labor</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8,206</w:t>
            </w:r>
          </w:p>
        </w:tc>
        <w:tc>
          <w:tcPr>
            <w:tcW w:w="0" w:type="dxa"/>
            <w:vAlign w:val="bottom"/>
          </w:tcPr>
          <w:p>
            <w:pPr>
              <w:spacing w:after="0"/>
              <w:rPr>
                <w:sz w:val="1"/>
                <w:szCs w:val="1"/>
                <w:color w:val="auto"/>
              </w:rPr>
            </w:pPr>
          </w:p>
        </w:tc>
      </w:tr>
      <w:tr>
        <w:trPr>
          <w:trHeight w:val="207"/>
        </w:trPr>
        <w:tc>
          <w:tcPr>
            <w:tcW w:w="5380" w:type="dxa"/>
            <w:vAlign w:val="bottom"/>
            <w:gridSpan w:val="3"/>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17"/>
                <w:szCs w:val="17"/>
                <w:i w:val="1"/>
                <w:iCs w:val="1"/>
                <w:color w:val="auto"/>
              </w:rPr>
              <w:t>(Note 15)</w:t>
            </w: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4,444</w:t>
            </w:r>
          </w:p>
        </w:tc>
        <w:tc>
          <w:tcPr>
            <w:tcW w:w="16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40" w:type="dxa"/>
            <w:vAlign w:val="bottom"/>
            <w:shd w:val="clear" w:color="auto" w:fill="CBEBF4"/>
          </w:tcPr>
          <w:p>
            <w:pPr>
              <w:spacing w:after="0"/>
              <w:rPr>
                <w:sz w:val="18"/>
                <w:szCs w:val="18"/>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146</w:t>
            </w: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443</w:t>
            </w:r>
          </w:p>
        </w:tc>
        <w:tc>
          <w:tcPr>
            <w:tcW w:w="1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5,033</w:t>
            </w:r>
          </w:p>
        </w:tc>
        <w:tc>
          <w:tcPr>
            <w:tcW w:w="0" w:type="dxa"/>
            <w:vAlign w:val="bottom"/>
          </w:tcPr>
          <w:p>
            <w:pPr>
              <w:spacing w:after="0"/>
              <w:rPr>
                <w:sz w:val="1"/>
                <w:szCs w:val="1"/>
                <w:color w:val="auto"/>
              </w:rPr>
            </w:pPr>
          </w:p>
        </w:tc>
      </w:tr>
      <w:tr>
        <w:trPr>
          <w:trHeight w:val="207"/>
        </w:trPr>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Mining, Technological and Process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13,694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14,956</w:t>
            </w:r>
          </w:p>
        </w:tc>
        <w:tc>
          <w:tcPr>
            <w:tcW w:w="0" w:type="dxa"/>
            <w:vAlign w:val="bottom"/>
          </w:tcPr>
          <w:p>
            <w:pPr>
              <w:spacing w:after="0"/>
              <w:rPr>
                <w:sz w:val="1"/>
                <w:szCs w:val="1"/>
                <w:color w:val="auto"/>
              </w:rPr>
            </w:pPr>
          </w:p>
        </w:tc>
      </w:tr>
      <w:tr>
        <w:trPr>
          <w:trHeight w:val="207"/>
        </w:trPr>
        <w:tc>
          <w:tcPr>
            <w:tcW w:w="5380" w:type="dxa"/>
            <w:vAlign w:val="bottom"/>
            <w:gridSpan w:val="3"/>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Prefeasibility Studies</w:t>
            </w: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1,345</w:t>
            </w:r>
          </w:p>
        </w:tc>
        <w:tc>
          <w:tcPr>
            <w:tcW w:w="16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40" w:type="dxa"/>
            <w:vAlign w:val="bottom"/>
            <w:shd w:val="clear" w:color="auto" w:fill="CBEBF4"/>
          </w:tcPr>
          <w:p>
            <w:pPr>
              <w:spacing w:after="0"/>
              <w:rPr>
                <w:sz w:val="18"/>
                <w:szCs w:val="18"/>
                <w:color w:val="auto"/>
              </w:rPr>
            </w:pP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1,345</w:t>
            </w:r>
          </w:p>
        </w:tc>
        <w:tc>
          <w:tcPr>
            <w:tcW w:w="0" w:type="dxa"/>
            <w:vAlign w:val="bottom"/>
          </w:tcPr>
          <w:p>
            <w:pPr>
              <w:spacing w:after="0"/>
              <w:rPr>
                <w:sz w:val="1"/>
                <w:szCs w:val="1"/>
                <w:color w:val="auto"/>
              </w:rPr>
            </w:pPr>
          </w:p>
        </w:tc>
      </w:tr>
      <w:tr>
        <w:trPr>
          <w:trHeight w:val="207"/>
        </w:trPr>
        <w:tc>
          <w:tcPr>
            <w:tcW w:w="5380" w:type="dxa"/>
            <w:vAlign w:val="bottom"/>
            <w:gridSpan w:val="3"/>
          </w:tcPr>
          <w:p>
            <w:pPr>
              <w:ind w:left="100"/>
              <w:spacing w:after="0" w:line="207" w:lineRule="exact"/>
              <w:rPr>
                <w:sz w:val="20"/>
                <w:szCs w:val="20"/>
                <w:color w:val="auto"/>
              </w:rPr>
            </w:pPr>
            <w:r>
              <w:rPr>
                <w:rFonts w:ascii="Times New Roman" w:cs="Times New Roman" w:eastAsia="Times New Roman" w:hAnsi="Times New Roman"/>
                <w:sz w:val="17"/>
                <w:szCs w:val="17"/>
                <w:color w:val="auto"/>
              </w:rPr>
              <w:t xml:space="preserve">Sponsorship, Training and Stakeholder Engagement </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2,248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3,446</w:t>
            </w:r>
          </w:p>
        </w:tc>
        <w:tc>
          <w:tcPr>
            <w:tcW w:w="0" w:type="dxa"/>
            <w:vAlign w:val="bottom"/>
          </w:tcPr>
          <w:p>
            <w:pPr>
              <w:spacing w:after="0"/>
              <w:rPr>
                <w:sz w:val="1"/>
                <w:szCs w:val="1"/>
                <w:color w:val="auto"/>
              </w:rPr>
            </w:pPr>
          </w:p>
        </w:tc>
      </w:tr>
      <w:tr>
        <w:trPr>
          <w:trHeight w:val="227"/>
        </w:trPr>
        <w:tc>
          <w:tcPr>
            <w:tcW w:w="5380" w:type="dxa"/>
            <w:vAlign w:val="bottom"/>
            <w:gridSpan w:val="3"/>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shd w:val="clear" w:color="auto" w:fill="CBEBF4"/>
          </w:tcPr>
          <w:p>
            <w:pPr>
              <w:spacing w:after="0"/>
              <w:rPr>
                <w:sz w:val="19"/>
                <w:szCs w:val="19"/>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433</w:t>
            </w:r>
          </w:p>
        </w:tc>
        <w:tc>
          <w:tcPr>
            <w:tcW w:w="160" w:type="dxa"/>
            <w:vAlign w:val="bottom"/>
            <w:shd w:val="clear" w:color="auto" w:fill="CBEBF4"/>
          </w:tcPr>
          <w:p>
            <w:pPr>
              <w:spacing w:after="0"/>
              <w:rPr>
                <w:sz w:val="19"/>
                <w:szCs w:val="19"/>
                <w:color w:val="auto"/>
              </w:rPr>
            </w:pPr>
          </w:p>
        </w:tc>
        <w:tc>
          <w:tcPr>
            <w:tcW w:w="100" w:type="dxa"/>
            <w:vAlign w:val="bottom"/>
            <w:shd w:val="clear" w:color="auto" w:fill="CBEBF4"/>
          </w:tcPr>
          <w:p>
            <w:pPr>
              <w:spacing w:after="0"/>
              <w:rPr>
                <w:sz w:val="19"/>
                <w:szCs w:val="19"/>
                <w:color w:val="auto"/>
              </w:rPr>
            </w:pPr>
          </w:p>
        </w:tc>
        <w:tc>
          <w:tcPr>
            <w:tcW w:w="40" w:type="dxa"/>
            <w:vAlign w:val="bottom"/>
            <w:shd w:val="clear" w:color="auto" w:fill="CBEBF4"/>
          </w:tcPr>
          <w:p>
            <w:pPr>
              <w:spacing w:after="0"/>
              <w:rPr>
                <w:sz w:val="19"/>
                <w:szCs w:val="19"/>
                <w:color w:val="auto"/>
              </w:rPr>
            </w:pPr>
          </w:p>
        </w:tc>
        <w:tc>
          <w:tcPr>
            <w:tcW w:w="74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BEBF4"/>
          </w:tcPr>
          <w:p>
            <w:pPr>
              <w:spacing w:after="0"/>
              <w:rPr>
                <w:sz w:val="19"/>
                <w:szCs w:val="19"/>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9</w:t>
            </w:r>
          </w:p>
        </w:tc>
        <w:tc>
          <w:tcPr>
            <w:tcW w:w="160" w:type="dxa"/>
            <w:vAlign w:val="bottom"/>
            <w:shd w:val="clear" w:color="auto" w:fill="CBEBF4"/>
          </w:tcPr>
          <w:p>
            <w:pPr>
              <w:spacing w:after="0"/>
              <w:rPr>
                <w:sz w:val="19"/>
                <w:szCs w:val="19"/>
                <w:color w:val="auto"/>
              </w:rPr>
            </w:pPr>
          </w:p>
        </w:tc>
        <w:tc>
          <w:tcPr>
            <w:tcW w:w="160" w:type="dxa"/>
            <w:vAlign w:val="bottom"/>
            <w:shd w:val="clear" w:color="auto" w:fill="CBEBF4"/>
          </w:tcPr>
          <w:p>
            <w:pPr>
              <w:spacing w:after="0"/>
              <w:rPr>
                <w:sz w:val="19"/>
                <w:szCs w:val="19"/>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442</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45,853</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575</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3,421</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49,849</w:t>
            </w:r>
          </w:p>
        </w:tc>
        <w:tc>
          <w:tcPr>
            <w:tcW w:w="0" w:type="dxa"/>
            <w:vAlign w:val="bottom"/>
          </w:tcPr>
          <w:p>
            <w:pPr>
              <w:spacing w:after="0"/>
              <w:rPr>
                <w:sz w:val="1"/>
                <w:szCs w:val="1"/>
                <w:color w:val="auto"/>
              </w:rPr>
            </w:pPr>
          </w:p>
        </w:tc>
      </w:tr>
      <w:tr>
        <w:trPr>
          <w:trHeight w:val="97"/>
        </w:trPr>
        <w:tc>
          <w:tcPr>
            <w:tcW w:w="240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560" w:right="60" w:hanging="4375"/>
        <w:spacing w:after="0" w:line="681" w:lineRule="auto"/>
        <w:tabs>
          <w:tab w:leader="none" w:pos="525" w:val="left"/>
        </w:tabs>
        <w:numPr>
          <w:ilvl w:val="0"/>
          <w:numId w:val="6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Sponsorship, Training and Stakeholder Engagement include $80 thousand of equity (RSU) settled expenses in 2023 (2022: $ nil) 141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-11430</wp:posOffset>
                </wp:positionV>
                <wp:extent cx="6109970" cy="0"/>
                <wp:wrapNone/>
                <wp:docPr id="763" name="Shape 7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763" o:spid="_x0000_s17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0.8999pt" to="474.55pt,-0.8999pt" o:allowincell="f" strokecolor="#000000" strokeweight="1.2947pt"/>
            </w:pict>
          </mc:Fallback>
        </mc:AlternateContent>
      </w:r>
    </w:p>
    <w:p>
      <w:pPr>
        <w:sectPr>
          <w:pgSz w:w="12240" w:h="15840" w:orient="portrait"/>
          <w:cols w:equalWidth="0" w:num="1">
            <w:col w:w="9480"/>
          </w:cols>
          <w:pgMar w:left="1440" w:top="1324" w:right="1320" w:bottom="1440" w:gutter="0" w:footer="0" w:header="0"/>
        </w:sectPr>
      </w:pPr>
    </w:p>
    <w:bookmarkStart w:id="147" w:name="page148"/>
    <w:bookmarkEnd w:id="147"/>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64" name="Shape 7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64" o:spid="_x0000_s17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65" name="Shape 7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65" o:spid="_x0000_s17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66" name="Shape 7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66" o:spid="_x0000_s17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67" name="Shape 7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67" o:spid="_x0000_s17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00" w:lineRule="exact"/>
        <w:rPr>
          <w:sz w:val="20"/>
          <w:szCs w:val="20"/>
          <w:color w:val="auto"/>
        </w:rPr>
      </w:pPr>
    </w:p>
    <w:p>
      <w:pPr>
        <w:spacing w:after="0" w:line="222"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5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4"/>
              </w:rPr>
              <w:t>Exploration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4"/>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7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1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65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46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4"/>
                <w:szCs w:val="14"/>
                <w:color w:val="auto"/>
              </w:rPr>
            </w:pPr>
          </w:p>
        </w:tc>
        <w:tc>
          <w:tcPr>
            <w:tcW w:w="8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5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4660" w:type="dxa"/>
            <w:vAlign w:val="bottom"/>
            <w:tcBorders>
              <w:top w:val="single" w:sz="8" w:color="auto"/>
            </w:tcBorders>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Environmental Studies</w:t>
            </w:r>
          </w:p>
        </w:tc>
        <w:tc>
          <w:tcPr>
            <w:tcW w:w="560" w:type="dxa"/>
            <w:vAlign w:val="bottom"/>
            <w:tcBorders>
              <w:top w:val="single" w:sz="8" w:color="auto"/>
            </w:tcBorders>
            <w:shd w:val="clear" w:color="auto" w:fill="CBEBF4"/>
          </w:tcPr>
          <w:p>
            <w:pPr>
              <w:spacing w:after="0"/>
              <w:rPr>
                <w:sz w:val="17"/>
                <w:szCs w:val="17"/>
                <w:color w:val="auto"/>
              </w:rPr>
            </w:pPr>
          </w:p>
        </w:tc>
        <w:tc>
          <w:tcPr>
            <w:tcW w:w="160" w:type="dxa"/>
            <w:vAlign w:val="bottom"/>
            <w:tcBorders>
              <w:top w:val="single" w:sz="8" w:color="CBEBF4"/>
            </w:tcBorders>
            <w:shd w:val="clear" w:color="auto" w:fill="CBEBF4"/>
          </w:tcPr>
          <w:p>
            <w:pPr>
              <w:spacing w:after="0"/>
              <w:rPr>
                <w:sz w:val="17"/>
                <w:szCs w:val="17"/>
                <w:color w:val="auto"/>
              </w:rPr>
            </w:pPr>
          </w:p>
        </w:tc>
        <w:tc>
          <w:tcPr>
            <w:tcW w:w="1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38,022</w:t>
            </w:r>
          </w:p>
        </w:tc>
        <w:tc>
          <w:tcPr>
            <w:tcW w:w="160" w:type="dxa"/>
            <w:vAlign w:val="bottom"/>
            <w:tcBorders>
              <w:top w:val="single" w:sz="8" w:color="CBEBF4"/>
            </w:tcBorders>
            <w:shd w:val="clear" w:color="auto" w:fill="CBEBF4"/>
          </w:tcPr>
          <w:p>
            <w:pPr>
              <w:spacing w:after="0"/>
              <w:rPr>
                <w:sz w:val="17"/>
                <w:szCs w:val="17"/>
                <w:color w:val="auto"/>
              </w:rPr>
            </w:pPr>
          </w:p>
        </w:tc>
        <w:tc>
          <w:tcPr>
            <w:tcW w:w="1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top w:val="single" w:sz="8" w:color="auto"/>
            </w:tcBorders>
            <w:shd w:val="clear" w:color="auto" w:fill="CBEBF4"/>
          </w:tcPr>
          <w:p>
            <w:pPr>
              <w:spacing w:after="0"/>
              <w:rPr>
                <w:sz w:val="17"/>
                <w:szCs w:val="17"/>
                <w:color w:val="auto"/>
              </w:rPr>
            </w:pPr>
          </w:p>
        </w:tc>
        <w:tc>
          <w:tcPr>
            <w:tcW w:w="60" w:type="dxa"/>
            <w:vAlign w:val="bottom"/>
            <w:tcBorders>
              <w:top w:val="single" w:sz="8" w:color="auto"/>
            </w:tcBorders>
            <w:shd w:val="clear" w:color="auto" w:fill="CBEBF4"/>
          </w:tcPr>
          <w:p>
            <w:pPr>
              <w:spacing w:after="0"/>
              <w:rPr>
                <w:sz w:val="17"/>
                <w:szCs w:val="17"/>
                <w:color w:val="auto"/>
              </w:rPr>
            </w:pPr>
          </w:p>
        </w:tc>
        <w:tc>
          <w:tcPr>
            <w:tcW w:w="400" w:type="dxa"/>
            <w:vAlign w:val="bottom"/>
            <w:tcBorders>
              <w:top w:val="single" w:sz="8" w:color="auto"/>
            </w:tcBorders>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BEBF4"/>
            </w:tcBorders>
            <w:shd w:val="clear" w:color="auto" w:fill="CBEBF4"/>
          </w:tcPr>
          <w:p>
            <w:pPr>
              <w:spacing w:after="0"/>
              <w:rPr>
                <w:sz w:val="17"/>
                <w:szCs w:val="17"/>
                <w:color w:val="auto"/>
              </w:rPr>
            </w:pPr>
          </w:p>
        </w:tc>
        <w:tc>
          <w:tcPr>
            <w:tcW w:w="11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5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38,022</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Exploration Labor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6,020</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17"/>
                <w:szCs w:val="17"/>
                <w:i w:val="1"/>
                <w:iCs w:val="1"/>
                <w:color w:val="auto"/>
              </w:rPr>
              <w:t>(Note 15)</w:t>
            </w:r>
          </w:p>
        </w:tc>
        <w:tc>
          <w:tcPr>
            <w:tcW w:w="5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6,086</w:t>
            </w:r>
          </w:p>
        </w:tc>
        <w:tc>
          <w:tcPr>
            <w:tcW w:w="16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46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60" w:type="dxa"/>
            <w:vAlign w:val="bottom"/>
            <w:shd w:val="clear" w:color="auto" w:fill="CBEBF4"/>
          </w:tcPr>
          <w:p>
            <w:pPr>
              <w:spacing w:after="0"/>
              <w:rPr>
                <w:sz w:val="18"/>
                <w:szCs w:val="18"/>
                <w:color w:val="auto"/>
              </w:rPr>
            </w:pPr>
          </w:p>
        </w:tc>
        <w:tc>
          <w:tcPr>
            <w:tcW w:w="110" w:type="dxa"/>
            <w:vAlign w:val="bottom"/>
            <w:shd w:val="clear" w:color="auto" w:fill="CBEBF4"/>
          </w:tcPr>
          <w:p>
            <w:pPr>
              <w:spacing w:after="0"/>
              <w:rPr>
                <w:sz w:val="18"/>
                <w:szCs w:val="18"/>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8,488</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Mining, Technological and Process Development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PMTS</w:t>
            </w:r>
          </w:p>
        </w:tc>
        <w:tc>
          <w:tcPr>
            <w:tcW w:w="5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15,603</w:t>
            </w:r>
          </w:p>
        </w:tc>
        <w:tc>
          <w:tcPr>
            <w:tcW w:w="16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46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1,546</w:t>
            </w:r>
          </w:p>
        </w:tc>
        <w:tc>
          <w:tcPr>
            <w:tcW w:w="160" w:type="dxa"/>
            <w:vAlign w:val="bottom"/>
            <w:shd w:val="clear" w:color="auto" w:fill="CBEBF4"/>
          </w:tcPr>
          <w:p>
            <w:pPr>
              <w:spacing w:after="0"/>
              <w:rPr>
                <w:sz w:val="18"/>
                <w:szCs w:val="18"/>
                <w:color w:val="auto"/>
              </w:rPr>
            </w:pPr>
          </w:p>
        </w:tc>
        <w:tc>
          <w:tcPr>
            <w:tcW w:w="110" w:type="dxa"/>
            <w:vAlign w:val="bottom"/>
            <w:shd w:val="clear" w:color="auto" w:fill="CBEBF4"/>
          </w:tcPr>
          <w:p>
            <w:pPr>
              <w:spacing w:after="0"/>
              <w:rPr>
                <w:sz w:val="18"/>
                <w:szCs w:val="18"/>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17,819</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xml:space="preserve">Allseas Warrant </w:t>
            </w:r>
            <w:r>
              <w:rPr>
                <w:rFonts w:ascii="Times New Roman" w:cs="Times New Roman" w:eastAsia="Times New Roman" w:hAnsi="Times New Roman"/>
                <w:sz w:val="17"/>
                <w:szCs w:val="17"/>
                <w:i w:val="1"/>
                <w:iCs w:val="1"/>
                <w:color w:val="auto"/>
              </w:rPr>
              <w:t>(Note 13)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w:t>
            </w: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69,900</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Sponsorship, Training and Stakeholder Engagement</w:t>
            </w:r>
          </w:p>
        </w:tc>
        <w:tc>
          <w:tcPr>
            <w:tcW w:w="5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891</w:t>
            </w:r>
          </w:p>
        </w:tc>
        <w:tc>
          <w:tcPr>
            <w:tcW w:w="16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46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60" w:type="dxa"/>
            <w:vAlign w:val="bottom"/>
            <w:shd w:val="clear" w:color="auto" w:fill="CBEBF4"/>
          </w:tcPr>
          <w:p>
            <w:pPr>
              <w:spacing w:after="0"/>
              <w:rPr>
                <w:sz w:val="18"/>
                <w:szCs w:val="18"/>
                <w:color w:val="auto"/>
              </w:rPr>
            </w:pPr>
          </w:p>
        </w:tc>
        <w:tc>
          <w:tcPr>
            <w:tcW w:w="110" w:type="dxa"/>
            <w:vAlign w:val="bottom"/>
            <w:shd w:val="clear" w:color="auto" w:fill="CBEBF4"/>
          </w:tcPr>
          <w:p>
            <w:pPr>
              <w:spacing w:after="0"/>
              <w:rPr>
                <w:sz w:val="18"/>
                <w:szCs w:val="18"/>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1,561</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tcBorders>
              <w:bottom w:val="single" w:sz="8" w:color="CBEBF4"/>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560" w:type="dxa"/>
            <w:vAlign w:val="bottom"/>
            <w:tcBorders>
              <w:bottom w:val="single" w:sz="8" w:color="CBEBF4"/>
            </w:tcBorders>
          </w:tcPr>
          <w:p>
            <w:pPr>
              <w:spacing w:after="0"/>
              <w:rPr>
                <w:sz w:val="18"/>
                <w:szCs w:val="18"/>
                <w:color w:val="auto"/>
              </w:rPr>
            </w:pPr>
          </w:p>
        </w:tc>
        <w:tc>
          <w:tcPr>
            <w:tcW w:w="160" w:type="dxa"/>
            <w:vAlign w:val="bottom"/>
            <w:tcBorders>
              <w:bottom w:val="single" w:sz="8" w:color="CBEBF4"/>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160" w:type="dxa"/>
            <w:vAlign w:val="bottom"/>
            <w:tcBorders>
              <w:bottom w:val="single" w:sz="8" w:color="CBEB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60" w:type="dxa"/>
            <w:vAlign w:val="bottom"/>
            <w:tcBorders>
              <w:bottom w:val="single" w:sz="8" w:color="CBEB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60" w:type="dxa"/>
            <w:vAlign w:val="bottom"/>
            <w:tcBorders>
              <w:bottom w:val="single" w:sz="8" w:color="CBEBF4"/>
            </w:tcBorders>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6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2400" w:type="dxa"/>
            <w:vAlign w:val="bottom"/>
            <w:shd w:val="clear" w:color="auto" w:fill="CBEBF4"/>
          </w:tcPr>
          <w:p>
            <w:pPr>
              <w:spacing w:after="0"/>
              <w:rPr>
                <w:sz w:val="17"/>
                <w:szCs w:val="17"/>
                <w:color w:val="auto"/>
              </w:rPr>
            </w:pPr>
          </w:p>
        </w:tc>
        <w:tc>
          <w:tcPr>
            <w:tcW w:w="2260" w:type="dxa"/>
            <w:vAlign w:val="bottom"/>
            <w:shd w:val="clear" w:color="auto" w:fill="CBEBF4"/>
          </w:tcPr>
          <w:p>
            <w:pPr>
              <w:spacing w:after="0"/>
              <w:rPr>
                <w:sz w:val="17"/>
                <w:szCs w:val="17"/>
                <w:color w:val="auto"/>
              </w:rPr>
            </w:pPr>
          </w:p>
        </w:tc>
        <w:tc>
          <w:tcPr>
            <w:tcW w:w="560" w:type="dxa"/>
            <w:vAlign w:val="bottom"/>
            <w:shd w:val="clear" w:color="auto" w:fill="CBEBF4"/>
          </w:tcPr>
          <w:p>
            <w:pPr>
              <w:spacing w:after="0"/>
              <w:rPr>
                <w:sz w:val="17"/>
                <w:szCs w:val="17"/>
                <w:color w:val="auto"/>
              </w:rPr>
            </w:pPr>
          </w:p>
        </w:tc>
        <w:tc>
          <w:tcPr>
            <w:tcW w:w="160" w:type="dxa"/>
            <w:vAlign w:val="bottom"/>
            <w:shd w:val="clear" w:color="auto" w:fill="CBEBF4"/>
          </w:tcPr>
          <w:p>
            <w:pPr>
              <w:spacing w:after="0"/>
              <w:rPr>
                <w:sz w:val="17"/>
                <w:szCs w:val="17"/>
                <w:color w:val="auto"/>
              </w:rPr>
            </w:pPr>
          </w:p>
        </w:tc>
        <w:tc>
          <w:tcPr>
            <w:tcW w:w="740" w:type="dxa"/>
            <w:vAlign w:val="bottom"/>
            <w:tcBorders>
              <w:bottom w:val="single" w:sz="8" w:color="auto"/>
            </w:tcBorders>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$ 130,461</w:t>
            </w:r>
          </w:p>
        </w:tc>
        <w:tc>
          <w:tcPr>
            <w:tcW w:w="160" w:type="dxa"/>
            <w:vAlign w:val="bottom"/>
            <w:shd w:val="clear" w:color="auto" w:fill="CBEBF4"/>
          </w:tcPr>
          <w:p>
            <w:pPr>
              <w:spacing w:after="0"/>
              <w:rPr>
                <w:sz w:val="17"/>
                <w:szCs w:val="17"/>
                <w:color w:val="auto"/>
              </w:rPr>
            </w:pPr>
          </w:p>
        </w:tc>
        <w:tc>
          <w:tcPr>
            <w:tcW w:w="1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 w:type="dxa"/>
            <w:vAlign w:val="bottom"/>
            <w:tcBorders>
              <w:bottom w:val="single" w:sz="8" w:color="auto"/>
            </w:tcBorders>
            <w:shd w:val="clear" w:color="auto" w:fill="CBEBF4"/>
          </w:tcPr>
          <w:p>
            <w:pPr>
              <w:spacing w:after="0"/>
              <w:rPr>
                <w:sz w:val="17"/>
                <w:szCs w:val="17"/>
                <w:color w:val="auto"/>
              </w:rPr>
            </w:pPr>
          </w:p>
        </w:tc>
        <w:tc>
          <w:tcPr>
            <w:tcW w:w="460" w:type="dxa"/>
            <w:vAlign w:val="bottom"/>
            <w:tcBorders>
              <w:bottom w:val="single" w:sz="8" w:color="auto"/>
            </w:tcBorders>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2,852</w:t>
            </w:r>
          </w:p>
        </w:tc>
        <w:tc>
          <w:tcPr>
            <w:tcW w:w="160" w:type="dxa"/>
            <w:vAlign w:val="bottom"/>
            <w:shd w:val="clear" w:color="auto" w:fill="CBEBF4"/>
          </w:tcPr>
          <w:p>
            <w:pPr>
              <w:spacing w:after="0"/>
              <w:rPr>
                <w:sz w:val="17"/>
                <w:szCs w:val="17"/>
                <w:color w:val="auto"/>
              </w:rPr>
            </w:pPr>
          </w:p>
        </w:tc>
        <w:tc>
          <w:tcPr>
            <w:tcW w:w="1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11,286</w:t>
            </w:r>
          </w:p>
        </w:tc>
        <w:tc>
          <w:tcPr>
            <w:tcW w:w="160" w:type="dxa"/>
            <w:vAlign w:val="bottom"/>
            <w:shd w:val="clear" w:color="auto" w:fill="CBEBF4"/>
          </w:tcPr>
          <w:p>
            <w:pPr>
              <w:spacing w:after="0"/>
              <w:rPr>
                <w:sz w:val="17"/>
                <w:szCs w:val="17"/>
                <w:color w:val="auto"/>
              </w:rPr>
            </w:pPr>
          </w:p>
        </w:tc>
        <w:tc>
          <w:tcPr>
            <w:tcW w:w="11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5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shd w:val="clear" w:color="auto" w:fill="CBEBF4"/>
              </w:rPr>
              <w:t>144,599</w:t>
            </w:r>
          </w:p>
        </w:tc>
        <w:tc>
          <w:tcPr>
            <w:tcW w:w="0" w:type="dxa"/>
            <w:vAlign w:val="bottom"/>
          </w:tcPr>
          <w:p>
            <w:pPr>
              <w:spacing w:after="0"/>
              <w:rPr>
                <w:sz w:val="1"/>
                <w:szCs w:val="1"/>
                <w:color w:val="auto"/>
              </w:rPr>
            </w:pPr>
          </w:p>
        </w:tc>
      </w:tr>
      <w:tr>
        <w:trPr>
          <w:trHeight w:val="425"/>
        </w:trPr>
        <w:tc>
          <w:tcPr>
            <w:tcW w:w="4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11. General and Administrative Expenses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3"/>
        </w:trPr>
        <w:tc>
          <w:tcPr>
            <w:tcW w:w="3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2400" w:type="dxa"/>
            <w:vAlign w:val="bottom"/>
            <w:tcBorders>
              <w:bottom w:val="single" w:sz="8" w:color="CBEBF4"/>
            </w:tcBorders>
          </w:tcPr>
          <w:p>
            <w:pPr>
              <w:spacing w:after="0"/>
              <w:rPr>
                <w:sz w:val="14"/>
                <w:szCs w:val="14"/>
                <w:color w:val="auto"/>
              </w:rPr>
            </w:pPr>
          </w:p>
        </w:tc>
        <w:tc>
          <w:tcPr>
            <w:tcW w:w="2260" w:type="dxa"/>
            <w:vAlign w:val="bottom"/>
            <w:tcBorders>
              <w:bottom w:val="single" w:sz="8" w:color="CBEBF4"/>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CBEBF4"/>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6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4660" w:type="dxa"/>
            <w:vAlign w:val="bottom"/>
            <w:gridSpan w:val="2"/>
            <w:shd w:val="clear" w:color="auto" w:fill="CBEBF4"/>
          </w:tcPr>
          <w:p>
            <w:pPr>
              <w:spacing w:after="0" w:line="200" w:lineRule="exact"/>
              <w:rPr>
                <w:sz w:val="20"/>
                <w:szCs w:val="20"/>
                <w:color w:val="auto"/>
              </w:rPr>
            </w:pPr>
            <w:r>
              <w:rPr>
                <w:rFonts w:ascii="Times New Roman" w:cs="Times New Roman" w:eastAsia="Times New Roman" w:hAnsi="Times New Roman"/>
                <w:sz w:val="16"/>
                <w:szCs w:val="16"/>
                <w:color w:val="auto"/>
              </w:rPr>
              <w:t>Professional and consulting fees</w:t>
            </w:r>
            <w:r>
              <w:rPr>
                <w:rFonts w:ascii="Times New Roman" w:cs="Times New Roman" w:eastAsia="Times New Roman" w:hAnsi="Times New Roman"/>
                <w:sz w:val="23"/>
                <w:szCs w:val="23"/>
                <w:color w:val="auto"/>
                <w:vertAlign w:val="superscript"/>
              </w:rPr>
              <w:t>(1)</w:t>
            </w:r>
          </w:p>
        </w:tc>
        <w:tc>
          <w:tcPr>
            <w:tcW w:w="560" w:type="dxa"/>
            <w:vAlign w:val="bottom"/>
            <w:shd w:val="clear" w:color="auto" w:fill="CBEBF4"/>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 w:type="dxa"/>
            <w:vAlign w:val="bottom"/>
            <w:shd w:val="clear" w:color="auto" w:fill="CBEBF4"/>
          </w:tcPr>
          <w:p>
            <w:pPr>
              <w:spacing w:after="0"/>
              <w:rPr>
                <w:sz w:val="17"/>
                <w:szCs w:val="17"/>
                <w:color w:val="auto"/>
              </w:rPr>
            </w:pPr>
          </w:p>
        </w:tc>
        <w:tc>
          <w:tcPr>
            <w:tcW w:w="120" w:type="dxa"/>
            <w:vAlign w:val="bottom"/>
            <w:shd w:val="clear" w:color="auto" w:fill="CBEBF4"/>
          </w:tcPr>
          <w:p>
            <w:pPr>
              <w:spacing w:after="0"/>
              <w:rPr>
                <w:sz w:val="17"/>
                <w:szCs w:val="17"/>
                <w:color w:val="auto"/>
              </w:rPr>
            </w:pPr>
          </w:p>
        </w:tc>
        <w:tc>
          <w:tcPr>
            <w:tcW w:w="620" w:type="dxa"/>
            <w:vAlign w:val="bottom"/>
            <w:shd w:val="clear" w:color="auto" w:fill="CBEBF4"/>
          </w:tcPr>
          <w:p>
            <w:pPr>
              <w:spacing w:after="0"/>
              <w:rPr>
                <w:sz w:val="17"/>
                <w:szCs w:val="17"/>
                <w:color w:val="auto"/>
              </w:rPr>
            </w:pPr>
          </w:p>
        </w:tc>
        <w:tc>
          <w:tcPr>
            <w:tcW w:w="42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6,584</w:t>
            </w:r>
          </w:p>
        </w:tc>
        <w:tc>
          <w:tcPr>
            <w:tcW w:w="60" w:type="dxa"/>
            <w:vAlign w:val="bottom"/>
            <w:shd w:val="clear" w:color="auto" w:fill="CBEBF4"/>
          </w:tcPr>
          <w:p>
            <w:pPr>
              <w:spacing w:after="0"/>
              <w:rPr>
                <w:sz w:val="17"/>
                <w:szCs w:val="17"/>
                <w:color w:val="auto"/>
              </w:rPr>
            </w:pPr>
          </w:p>
        </w:tc>
        <w:tc>
          <w:tcPr>
            <w:tcW w:w="300" w:type="dxa"/>
            <w:vAlign w:val="bottom"/>
            <w:shd w:val="clear" w:color="auto" w:fill="CBEBF4"/>
          </w:tcPr>
          <w:p>
            <w:pPr>
              <w:spacing w:after="0"/>
              <w:rPr>
                <w:sz w:val="17"/>
                <w:szCs w:val="17"/>
                <w:color w:val="auto"/>
              </w:rPr>
            </w:pPr>
          </w:p>
        </w:tc>
        <w:tc>
          <w:tcPr>
            <w:tcW w:w="1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620" w:type="dxa"/>
            <w:vAlign w:val="bottom"/>
            <w:shd w:val="clear" w:color="auto" w:fill="CBEBF4"/>
          </w:tcPr>
          <w:p>
            <w:pPr>
              <w:spacing w:after="0"/>
              <w:rPr>
                <w:sz w:val="17"/>
                <w:szCs w:val="17"/>
                <w:color w:val="auto"/>
              </w:rPr>
            </w:pPr>
          </w:p>
        </w:tc>
        <w:tc>
          <w:tcPr>
            <w:tcW w:w="160" w:type="dxa"/>
            <w:vAlign w:val="bottom"/>
            <w:shd w:val="clear" w:color="auto" w:fill="CBEBF4"/>
          </w:tcPr>
          <w:p>
            <w:pPr>
              <w:spacing w:after="0"/>
              <w:rPr>
                <w:sz w:val="17"/>
                <w:szCs w:val="17"/>
                <w:color w:val="auto"/>
              </w:rPr>
            </w:pPr>
          </w:p>
        </w:tc>
        <w:tc>
          <w:tcPr>
            <w:tcW w:w="110" w:type="dxa"/>
            <w:vAlign w:val="bottom"/>
            <w:shd w:val="clear" w:color="auto" w:fill="CBEBF4"/>
          </w:tcPr>
          <w:p>
            <w:pPr>
              <w:spacing w:after="0"/>
              <w:rPr>
                <w:sz w:val="17"/>
                <w:szCs w:val="17"/>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6,795</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 xml:space="preserve">Investor relations </w:t>
            </w:r>
            <w:r>
              <w:rPr>
                <w:rFonts w:ascii="Times New Roman" w:cs="Times New Roman" w:eastAsia="Times New Roman" w:hAnsi="Times New Roman"/>
                <w:sz w:val="24"/>
                <w:szCs w:val="24"/>
                <w:color w:val="auto"/>
                <w:vertAlign w:val="superscript"/>
              </w:rPr>
              <w:t>(2)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1,547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Office and sundry</w:t>
            </w:r>
          </w:p>
        </w:tc>
        <w:tc>
          <w:tcPr>
            <w:tcW w:w="5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42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3,503</w:t>
            </w:r>
          </w:p>
        </w:tc>
        <w:tc>
          <w:tcPr>
            <w:tcW w:w="6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10" w:type="dxa"/>
            <w:vAlign w:val="bottom"/>
            <w:shd w:val="clear" w:color="auto" w:fill="CBEBF4"/>
          </w:tcPr>
          <w:p>
            <w:pPr>
              <w:spacing w:after="0"/>
              <w:rPr>
                <w:sz w:val="18"/>
                <w:szCs w:val="18"/>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Salaries and wages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4,995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5,921</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Director fees</w:t>
            </w:r>
          </w:p>
        </w:tc>
        <w:tc>
          <w:tcPr>
            <w:tcW w:w="5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42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774</w:t>
            </w:r>
          </w:p>
        </w:tc>
        <w:tc>
          <w:tcPr>
            <w:tcW w:w="6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10" w:type="dxa"/>
            <w:vAlign w:val="bottom"/>
            <w:shd w:val="clear" w:color="auto" w:fill="CBEBF4"/>
          </w:tcPr>
          <w:p>
            <w:pPr>
              <w:spacing w:after="0"/>
              <w:rPr>
                <w:sz w:val="18"/>
                <w:szCs w:val="18"/>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4,122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8,596</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Transfer agent and filing fees</w:t>
            </w:r>
          </w:p>
        </w:tc>
        <w:tc>
          <w:tcPr>
            <w:tcW w:w="56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420" w:type="dxa"/>
            <w:vAlign w:val="bottom"/>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363</w:t>
            </w:r>
          </w:p>
        </w:tc>
        <w:tc>
          <w:tcPr>
            <w:tcW w:w="6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0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620" w:type="dxa"/>
            <w:vAlign w:val="bottom"/>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110" w:type="dxa"/>
            <w:vAlign w:val="bottom"/>
            <w:shd w:val="clear" w:color="auto" w:fill="CBEBF4"/>
          </w:tcPr>
          <w:p>
            <w:pPr>
              <w:spacing w:after="0"/>
              <w:rPr>
                <w:sz w:val="18"/>
                <w:szCs w:val="18"/>
                <w:color w:val="auto"/>
              </w:rPr>
            </w:pPr>
          </w:p>
        </w:tc>
        <w:tc>
          <w:tcPr>
            <w:tcW w:w="65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Travel expenses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609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5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0" w:type="dxa"/>
            <w:vAlign w:val="bottom"/>
          </w:tcPr>
          <w:p>
            <w:pPr>
              <w:spacing w:after="0"/>
              <w:rPr>
                <w:sz w:val="1"/>
                <w:szCs w:val="1"/>
                <w:color w:val="auto"/>
              </w:rPr>
            </w:pPr>
          </w:p>
        </w:tc>
      </w:tr>
      <w:tr>
        <w:trPr>
          <w:trHeight w:val="207"/>
        </w:trPr>
        <w:tc>
          <w:tcPr>
            <w:tcW w:w="300" w:type="dxa"/>
            <w:vAlign w:val="bottom"/>
          </w:tcPr>
          <w:p>
            <w:pPr>
              <w:spacing w:after="0"/>
              <w:rPr>
                <w:sz w:val="18"/>
                <w:szCs w:val="18"/>
                <w:color w:val="auto"/>
              </w:rPr>
            </w:pPr>
          </w:p>
        </w:tc>
        <w:tc>
          <w:tcPr>
            <w:tcW w:w="46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560" w:type="dxa"/>
            <w:vAlign w:val="bottom"/>
            <w:tcBorders>
              <w:bottom w:val="single" w:sz="8" w:color="auto"/>
            </w:tcBorders>
            <w:shd w:val="clear" w:color="auto" w:fill="CBEBF4"/>
          </w:tcPr>
          <w:p>
            <w:pPr>
              <w:spacing w:after="0"/>
              <w:rPr>
                <w:sz w:val="18"/>
                <w:szCs w:val="18"/>
                <w:color w:val="auto"/>
              </w:rPr>
            </w:pPr>
          </w:p>
        </w:tc>
        <w:tc>
          <w:tcPr>
            <w:tcW w:w="160" w:type="dxa"/>
            <w:vAlign w:val="bottom"/>
            <w:tcBorders>
              <w:bottom w:val="single" w:sz="8" w:color="auto"/>
            </w:tcBorders>
            <w:shd w:val="clear" w:color="auto" w:fill="CBEBF4"/>
          </w:tcPr>
          <w:p>
            <w:pPr>
              <w:spacing w:after="0"/>
              <w:rPr>
                <w:sz w:val="18"/>
                <w:szCs w:val="18"/>
                <w:color w:val="auto"/>
              </w:rPr>
            </w:pPr>
          </w:p>
        </w:tc>
        <w:tc>
          <w:tcPr>
            <w:tcW w:w="120" w:type="dxa"/>
            <w:vAlign w:val="bottom"/>
            <w:tcBorders>
              <w:bottom w:val="single" w:sz="8" w:color="auto"/>
            </w:tcBorders>
            <w:shd w:val="clear" w:color="auto" w:fill="CBEBF4"/>
          </w:tcPr>
          <w:p>
            <w:pPr>
              <w:spacing w:after="0"/>
              <w:rPr>
                <w:sz w:val="18"/>
                <w:szCs w:val="18"/>
                <w:color w:val="auto"/>
              </w:rPr>
            </w:pPr>
          </w:p>
        </w:tc>
        <w:tc>
          <w:tcPr>
            <w:tcW w:w="620" w:type="dxa"/>
            <w:vAlign w:val="bottom"/>
            <w:tcBorders>
              <w:bottom w:val="single" w:sz="8" w:color="auto"/>
            </w:tcBorders>
            <w:shd w:val="clear" w:color="auto" w:fill="CBEBF4"/>
          </w:tcPr>
          <w:p>
            <w:pPr>
              <w:spacing w:after="0"/>
              <w:rPr>
                <w:sz w:val="18"/>
                <w:szCs w:val="18"/>
                <w:color w:val="auto"/>
              </w:rPr>
            </w:pPr>
          </w:p>
        </w:tc>
        <w:tc>
          <w:tcPr>
            <w:tcW w:w="420" w:type="dxa"/>
            <w:vAlign w:val="bottom"/>
            <w:tcBorders>
              <w:bottom w:val="single" w:sz="8" w:color="auto"/>
            </w:tcBorders>
            <w:gridSpan w:val="3"/>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43</w:t>
            </w:r>
          </w:p>
        </w:tc>
        <w:tc>
          <w:tcPr>
            <w:tcW w:w="60" w:type="dxa"/>
            <w:vAlign w:val="bottom"/>
            <w:tcBorders>
              <w:bottom w:val="single" w:sz="8" w:color="auto"/>
            </w:tcBorders>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100" w:type="dxa"/>
            <w:vAlign w:val="bottom"/>
            <w:tcBorders>
              <w:bottom w:val="single" w:sz="8" w:color="auto"/>
            </w:tcBorders>
            <w:shd w:val="clear" w:color="auto" w:fill="CBEBF4"/>
          </w:tcPr>
          <w:p>
            <w:pPr>
              <w:spacing w:after="0"/>
              <w:rPr>
                <w:sz w:val="18"/>
                <w:szCs w:val="18"/>
                <w:color w:val="auto"/>
              </w:rPr>
            </w:pPr>
          </w:p>
        </w:tc>
        <w:tc>
          <w:tcPr>
            <w:tcW w:w="160" w:type="dxa"/>
            <w:vAlign w:val="bottom"/>
            <w:tcBorders>
              <w:bottom w:val="single" w:sz="8" w:color="auto"/>
            </w:tcBorders>
            <w:shd w:val="clear" w:color="auto" w:fill="CBEBF4"/>
          </w:tcPr>
          <w:p>
            <w:pPr>
              <w:spacing w:after="0"/>
              <w:rPr>
                <w:sz w:val="18"/>
                <w:szCs w:val="18"/>
                <w:color w:val="auto"/>
              </w:rPr>
            </w:pPr>
          </w:p>
        </w:tc>
        <w:tc>
          <w:tcPr>
            <w:tcW w:w="140" w:type="dxa"/>
            <w:vAlign w:val="bottom"/>
            <w:tcBorders>
              <w:bottom w:val="single" w:sz="8" w:color="auto"/>
            </w:tcBorders>
            <w:shd w:val="clear" w:color="auto" w:fill="CBEBF4"/>
          </w:tcPr>
          <w:p>
            <w:pPr>
              <w:spacing w:after="0"/>
              <w:rPr>
                <w:sz w:val="18"/>
                <w:szCs w:val="18"/>
                <w:color w:val="auto"/>
              </w:rPr>
            </w:pPr>
          </w:p>
        </w:tc>
        <w:tc>
          <w:tcPr>
            <w:tcW w:w="620" w:type="dxa"/>
            <w:vAlign w:val="bottom"/>
            <w:tcBorders>
              <w:bottom w:val="single" w:sz="8" w:color="auto"/>
            </w:tcBorders>
            <w:shd w:val="clear" w:color="auto" w:fill="CBEBF4"/>
          </w:tcPr>
          <w:p>
            <w:pPr>
              <w:spacing w:after="0"/>
              <w:rPr>
                <w:sz w:val="18"/>
                <w:szCs w:val="18"/>
                <w:color w:val="auto"/>
              </w:rPr>
            </w:pPr>
          </w:p>
        </w:tc>
        <w:tc>
          <w:tcPr>
            <w:tcW w:w="160" w:type="dxa"/>
            <w:vAlign w:val="bottom"/>
            <w:tcBorders>
              <w:bottom w:val="single" w:sz="8" w:color="auto"/>
            </w:tcBorders>
            <w:shd w:val="clear" w:color="auto" w:fill="CBEBF4"/>
          </w:tcPr>
          <w:p>
            <w:pPr>
              <w:spacing w:after="0"/>
              <w:rPr>
                <w:sz w:val="18"/>
                <w:szCs w:val="18"/>
                <w:color w:val="auto"/>
              </w:rPr>
            </w:pPr>
          </w:p>
        </w:tc>
        <w:tc>
          <w:tcPr>
            <w:tcW w:w="110" w:type="dxa"/>
            <w:vAlign w:val="bottom"/>
            <w:tcBorders>
              <w:bottom w:val="single" w:sz="8" w:color="auto"/>
            </w:tcBorders>
            <w:shd w:val="clear" w:color="auto" w:fill="CBEBF4"/>
          </w:tcPr>
          <w:p>
            <w:pPr>
              <w:spacing w:after="0"/>
              <w:rPr>
                <w:sz w:val="18"/>
                <w:szCs w:val="18"/>
                <w:color w:val="auto"/>
              </w:rPr>
            </w:pPr>
          </w:p>
        </w:tc>
        <w:tc>
          <w:tcPr>
            <w:tcW w:w="65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22,540</w:t>
            </w:r>
          </w:p>
        </w:tc>
        <w:tc>
          <w:tcPr>
            <w:tcW w:w="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6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29,518</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 w:type="dxa"/>
            <w:vAlign w:val="bottom"/>
          </w:tcPr>
          <w:p>
            <w:pPr>
              <w:spacing w:after="0"/>
              <w:rPr>
                <w:sz w:val="8"/>
                <w:szCs w:val="8"/>
                <w:color w:val="auto"/>
              </w:rPr>
            </w:pPr>
          </w:p>
        </w:tc>
        <w:tc>
          <w:tcPr>
            <w:tcW w:w="65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46" w:hanging="335"/>
        <w:spacing w:after="0"/>
        <w:tabs>
          <w:tab w:leader="none" w:pos="646" w:val="left"/>
        </w:tabs>
        <w:numPr>
          <w:ilvl w:val="1"/>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Professional and consulting fees include $0.4 million of equity (RSU) settled expenses in 2023 (2022: $1 million).</w:t>
      </w:r>
    </w:p>
    <w:p>
      <w:pPr>
        <w:spacing w:after="0" w:line="135" w:lineRule="exact"/>
        <w:rPr>
          <w:rFonts w:ascii="Times New Roman" w:cs="Times New Roman" w:eastAsia="Times New Roman" w:hAnsi="Times New Roman"/>
          <w:sz w:val="26"/>
          <w:szCs w:val="26"/>
          <w:color w:val="auto"/>
          <w:vertAlign w:val="superscript"/>
        </w:rPr>
      </w:pPr>
    </w:p>
    <w:p>
      <w:pPr>
        <w:ind w:left="646" w:hanging="335"/>
        <w:spacing w:after="0" w:line="223" w:lineRule="auto"/>
        <w:tabs>
          <w:tab w:leader="none" w:pos="646" w:val="left"/>
        </w:tabs>
        <w:numPr>
          <w:ilvl w:val="1"/>
          <w:numId w:val="6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Investor relations include $nil million of equity (RSU) settled expenses in 2023 (2022: $0.3 million).</w:t>
      </w:r>
    </w:p>
    <w:p>
      <w:pPr>
        <w:spacing w:after="0" w:line="180" w:lineRule="exact"/>
        <w:rPr>
          <w:rFonts w:ascii="Times New Roman" w:cs="Times New Roman" w:eastAsia="Times New Roman" w:hAnsi="Times New Roman"/>
          <w:sz w:val="26"/>
          <w:szCs w:val="26"/>
          <w:color w:val="auto"/>
          <w:vertAlign w:val="superscript"/>
        </w:rPr>
      </w:pPr>
    </w:p>
    <w:p>
      <w:pPr>
        <w:ind w:left="306" w:right="7340" w:hanging="306"/>
        <w:spacing w:after="0" w:line="510" w:lineRule="auto"/>
        <w:tabs>
          <w:tab w:leader="none" w:pos="306"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Financing Activity Registered Direct Offering</w:t>
      </w:r>
    </w:p>
    <w:p>
      <w:pPr>
        <w:spacing w:after="0" w:line="1" w:lineRule="exact"/>
        <w:rPr>
          <w:rFonts w:ascii="Times New Roman" w:cs="Times New Roman" w:eastAsia="Times New Roman" w:hAnsi="Times New Roman"/>
          <w:sz w:val="17"/>
          <w:szCs w:val="17"/>
          <w:b w:val="1"/>
          <w:bCs w:val="1"/>
          <w:color w:val="auto"/>
        </w:rPr>
      </w:pPr>
    </w:p>
    <w:p>
      <w:pPr>
        <w:jc w:val="both"/>
        <w:ind w:left="306"/>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August 14, 2023, the Company entered into a securities purchase agreement with certain investors, pursuant to which the Company agreed to sell and issue, in a registered direct offering (the “Registered Direct Offering”) 12,461,540 common shares and issue Class A Warrants to purchase 6,230,770 common shares (Note 13). Each common share and accompanying Class A Warrant were sold at a price of $2.00 per unit. The exercise price to purchase one common share under the Class A warrants is $3.00, subject to adjustment as provided in the warrant agreement. The aggregate gross proceeds to the Company from the Registered Direct Offering were expected to be approximately $24.9 million, before deducting fees payable to financial advisors and other estimated offering expenses payable by the Company ($23.6 million net of fees).</w:t>
      </w:r>
    </w:p>
    <w:p>
      <w:pPr>
        <w:spacing w:after="0" w:line="165" w:lineRule="exact"/>
        <w:rPr>
          <w:rFonts w:ascii="Times New Roman" w:cs="Times New Roman" w:eastAsia="Times New Roman" w:hAnsi="Times New Roman"/>
          <w:sz w:val="17"/>
          <w:szCs w:val="17"/>
          <w:b w:val="1"/>
          <w:bCs w:val="1"/>
          <w:color w:val="auto"/>
        </w:rPr>
      </w:pPr>
    </w:p>
    <w:p>
      <w:pPr>
        <w:jc w:val="both"/>
        <w:ind w:left="306"/>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at December 31, 2023, 7,961,540 common shares and Class A Warrants to purchase 3,980,770 common shares had been issued and the Company received gross proceeds amounting to $15.9 million. The Company incurred $1.3 million as offering expenses, resulting in net proceeds received of $14.6 million. Out of the total net proceeds received of $14.6 million, the net proceeds attributable to common shares were $11.4 million and the net proceeds attributable to Class A Warrants were $3.2 million.</w:t>
      </w:r>
    </w:p>
    <w:p>
      <w:pPr>
        <w:sectPr>
          <w:pgSz w:w="12240" w:h="15840" w:orient="portrait"/>
          <w:cols w:equalWidth="0" w:num="1">
            <w:col w:w="9606"/>
          </w:cols>
          <w:pgMar w:left="1314" w:top="1324" w:right="1320" w:bottom="1440" w:gutter="0" w:footer="0" w:header="0"/>
        </w:sectPr>
      </w:pPr>
    </w:p>
    <w:p>
      <w:pPr>
        <w:spacing w:after="0" w:line="36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367030</wp:posOffset>
                </wp:positionV>
                <wp:extent cx="6109970" cy="0"/>
                <wp:wrapNone/>
                <wp:docPr id="768" name="Shape 7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768" o:spid="_x0000_s17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9pt" to="480.85pt,28.9pt" o:allowincell="f" strokecolor="#000000" strokeweight="1.2956pt"/>
            </w:pict>
          </mc:Fallback>
        </mc:AlternateContent>
      </w:r>
    </w:p>
    <w:p>
      <w:pPr>
        <w:sectPr>
          <w:pgSz w:w="12240" w:h="15840" w:orient="portrait"/>
          <w:cols w:equalWidth="0" w:num="1">
            <w:col w:w="9606"/>
          </w:cols>
          <w:pgMar w:left="1314" w:top="1324" w:right="1320" w:bottom="1440" w:gutter="0" w:footer="0" w:header="0"/>
          <w:type w:val="continuous"/>
        </w:sectPr>
      </w:pPr>
    </w:p>
    <w:bookmarkStart w:id="148" w:name="page149"/>
    <w:bookmarkEnd w:id="148"/>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69" name="Shape 7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69" o:spid="_x0000_s17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0" o:spid="_x0000_s17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71" name="Shape 7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71" o:spid="_x0000_s17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06"/>
        <w:spacing w:after="0" w:line="276" w:lineRule="auto"/>
        <w:rPr>
          <w:sz w:val="20"/>
          <w:szCs w:val="20"/>
          <w:color w:val="auto"/>
        </w:rPr>
      </w:pPr>
      <w:r>
        <w:rPr>
          <w:rFonts w:ascii="Times New Roman" w:cs="Times New Roman" w:eastAsia="Times New Roman" w:hAnsi="Times New Roman"/>
          <w:sz w:val="17"/>
          <w:szCs w:val="17"/>
          <w:color w:val="auto"/>
        </w:rPr>
        <w:t>On January 30, 2024, the Company received the remaining committed funding of $9 million (representing 4,500,000 common shares and 2,250,000 warrants) from an investor affiliated with the Company. The common shares and warrants were issued on January 31, 2024.</w:t>
      </w:r>
    </w:p>
    <w:p>
      <w:pPr>
        <w:spacing w:after="0" w:line="152"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b w:val="1"/>
          <w:bCs w:val="1"/>
          <w:color w:val="auto"/>
        </w:rPr>
        <w:t>PIPE Financing</w:t>
      </w:r>
    </w:p>
    <w:p>
      <w:pPr>
        <w:spacing w:after="0" w:line="222" w:lineRule="exact"/>
        <w:rPr>
          <w:sz w:val="20"/>
          <w:szCs w:val="20"/>
          <w:color w:val="auto"/>
        </w:rPr>
      </w:pPr>
    </w:p>
    <w:p>
      <w:pPr>
        <w:jc w:val="both"/>
        <w:ind w:left="306"/>
        <w:spacing w:after="0" w:line="269" w:lineRule="auto"/>
        <w:rPr>
          <w:sz w:val="20"/>
          <w:szCs w:val="20"/>
          <w:color w:val="auto"/>
        </w:rPr>
      </w:pPr>
      <w:r>
        <w:rPr>
          <w:rFonts w:ascii="Times New Roman" w:cs="Times New Roman" w:eastAsia="Times New Roman" w:hAnsi="Times New Roman"/>
          <w:sz w:val="17"/>
          <w:szCs w:val="17"/>
          <w:color w:val="auto"/>
        </w:rPr>
        <w:t>On August 12, 2022, the Company entered into three securities purchase agreements for the private placement of an aggregate of 37,978,680 of the Company’s common shares. As at December 31, 2022, all of the 37,978,680 shares were issued and the Company received gross proceeds amounting to $30.4 million. The Company incurred $1.0 million as placement agent fees and offering expenses out of which expenses amounting to $0.2 million were settled by issuing 287,500 shares at an issue price of $0.80 per share.</w:t>
      </w:r>
    </w:p>
    <w:p>
      <w:pPr>
        <w:spacing w:after="0" w:line="171" w:lineRule="exact"/>
        <w:rPr>
          <w:sz w:val="20"/>
          <w:szCs w:val="20"/>
          <w:color w:val="auto"/>
        </w:rPr>
      </w:pPr>
    </w:p>
    <w:p>
      <w:pPr>
        <w:ind w:left="306" w:right="8140" w:hanging="306"/>
        <w:spacing w:after="0" w:line="510" w:lineRule="auto"/>
        <w:tabs>
          <w:tab w:leader="none" w:pos="306"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b w:val="1"/>
          <w:bCs w:val="1"/>
          <w:i w:val="1"/>
          <w:iCs w:val="1"/>
          <w:color w:val="auto"/>
        </w:rPr>
        <w:t>Public Warrants</w:t>
      </w:r>
    </w:p>
    <w:p>
      <w:pPr>
        <w:spacing w:after="0" w:line="1" w:lineRule="exact"/>
        <w:rPr>
          <w:rFonts w:ascii="Times New Roman" w:cs="Times New Roman" w:eastAsia="Times New Roman" w:hAnsi="Times New Roman"/>
          <w:sz w:val="17"/>
          <w:szCs w:val="17"/>
          <w:b w:val="1"/>
          <w:bCs w:val="1"/>
          <w:color w:val="auto"/>
        </w:rPr>
      </w:pPr>
    </w:p>
    <w:p>
      <w:pPr>
        <w:jc w:val="both"/>
        <w:ind w:left="306" w:firstLine="1"/>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whole Public Warrant entitles the holder to purchase one TMC common share at a price of $11.50 per share beginning on October 9, 2021, subject to restrictions described below. As at December 31, 2023,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66" w:lineRule="exact"/>
        <w:rPr>
          <w:rFonts w:ascii="Times New Roman" w:cs="Times New Roman" w:eastAsia="Times New Roman" w:hAnsi="Times New Roman"/>
          <w:sz w:val="17"/>
          <w:szCs w:val="17"/>
          <w:b w:val="1"/>
          <w:bCs w:val="1"/>
          <w:color w:val="auto"/>
        </w:rPr>
      </w:pPr>
    </w:p>
    <w:p>
      <w:pPr>
        <w:jc w:val="both"/>
        <w:ind w:left="306"/>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The Company may call the Public Warrants for redemption:</w:t>
      </w:r>
    </w:p>
    <w:p>
      <w:pPr>
        <w:spacing w:after="0" w:line="174" w:lineRule="exact"/>
        <w:rPr>
          <w:rFonts w:ascii="Times New Roman" w:cs="Times New Roman" w:eastAsia="Times New Roman" w:hAnsi="Times New Roman"/>
          <w:sz w:val="17"/>
          <w:szCs w:val="17"/>
          <w:b w:val="1"/>
          <w:bCs w:val="1"/>
          <w:color w:val="auto"/>
        </w:rPr>
      </w:pPr>
    </w:p>
    <w:p>
      <w:pPr>
        <w:ind w:left="966" w:hanging="319"/>
        <w:spacing w:after="0"/>
        <w:tabs>
          <w:tab w:leader="none" w:pos="966" w:val="left"/>
        </w:tabs>
        <w:numPr>
          <w:ilvl w:val="1"/>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in whole and not in part;</w:t>
      </w:r>
    </w:p>
    <w:p>
      <w:pPr>
        <w:spacing w:after="0" w:line="11" w:lineRule="exact"/>
        <w:rPr>
          <w:rFonts w:ascii="Arial" w:cs="Arial" w:eastAsia="Arial" w:hAnsi="Arial"/>
          <w:sz w:val="17"/>
          <w:szCs w:val="17"/>
          <w:color w:val="auto"/>
        </w:rPr>
      </w:pPr>
    </w:p>
    <w:p>
      <w:pPr>
        <w:ind w:left="966" w:hanging="319"/>
        <w:spacing w:after="0"/>
        <w:tabs>
          <w:tab w:leader="none" w:pos="966" w:val="left"/>
        </w:tabs>
        <w:numPr>
          <w:ilvl w:val="1"/>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at a price of $0.01 per warrant;</w:t>
      </w:r>
    </w:p>
    <w:p>
      <w:pPr>
        <w:spacing w:after="0" w:line="11" w:lineRule="exact"/>
        <w:rPr>
          <w:rFonts w:ascii="Arial" w:cs="Arial" w:eastAsia="Arial" w:hAnsi="Arial"/>
          <w:sz w:val="17"/>
          <w:szCs w:val="17"/>
          <w:color w:val="auto"/>
        </w:rPr>
      </w:pPr>
    </w:p>
    <w:p>
      <w:pPr>
        <w:ind w:left="966" w:hanging="319"/>
        <w:spacing w:after="0"/>
        <w:tabs>
          <w:tab w:leader="none" w:pos="966" w:val="left"/>
        </w:tabs>
        <w:numPr>
          <w:ilvl w:val="1"/>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upon a minimum of 30 days’ prior written notice of redemption; and</w:t>
      </w:r>
    </w:p>
    <w:p>
      <w:pPr>
        <w:spacing w:after="0" w:line="11" w:lineRule="exact"/>
        <w:rPr>
          <w:rFonts w:ascii="Arial" w:cs="Arial" w:eastAsia="Arial" w:hAnsi="Arial"/>
          <w:sz w:val="17"/>
          <w:szCs w:val="17"/>
          <w:color w:val="auto"/>
        </w:rPr>
      </w:pPr>
    </w:p>
    <w:p>
      <w:pPr>
        <w:jc w:val="both"/>
        <w:ind w:left="966" w:hanging="318"/>
        <w:spacing w:after="0" w:line="272" w:lineRule="auto"/>
        <w:tabs>
          <w:tab w:leader="none" w:pos="966" w:val="left"/>
        </w:tabs>
        <w:numPr>
          <w:ilvl w:val="1"/>
          <w:numId w:val="67"/>
        </w:numPr>
        <w:rPr>
          <w:rFonts w:ascii="Arial" w:cs="Arial" w:eastAsia="Arial" w:hAnsi="Arial"/>
          <w:sz w:val="17"/>
          <w:szCs w:val="17"/>
          <w:color w:val="auto"/>
        </w:rPr>
      </w:pPr>
      <w:r>
        <w:rPr>
          <w:rFonts w:ascii="Times New Roman" w:cs="Times New Roman" w:eastAsia="Times New Roman" w:hAnsi="Times New Roman"/>
          <w:sz w:val="17"/>
          <w:szCs w:val="17"/>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200" w:lineRule="exact"/>
        <w:rPr>
          <w:sz w:val="20"/>
          <w:szCs w:val="20"/>
          <w:color w:val="auto"/>
        </w:rPr>
      </w:pPr>
    </w:p>
    <w:p>
      <w:pPr>
        <w:spacing w:after="0" w:line="37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773" name="Shape 7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42">
                          <a:solidFill>
                            <a:srgbClr val="000000"/>
                          </a:solidFill>
                          <a:miter lim="800000"/>
                          <a:headEnd/>
                          <a:tailEnd/>
                        </a:ln>
                      </wps:spPr>
                      <wps:bodyPr/>
                    </wps:wsp>
                  </a:graphicData>
                </a:graphic>
              </wp:anchor>
            </w:drawing>
          </mc:Choice>
          <mc:Fallback>
            <w:pict>
              <v:line id="Shape 773" o:spid="_x0000_s17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3025pt"/>
            </w:pict>
          </mc:Fallback>
        </mc:AlternateContent>
      </w:r>
    </w:p>
    <w:p>
      <w:pPr>
        <w:sectPr>
          <w:pgSz w:w="12240" w:h="15840" w:orient="portrait"/>
          <w:cols w:equalWidth="0" w:num="1">
            <w:col w:w="9606"/>
          </w:cols>
          <w:pgMar w:left="1314" w:top="1324" w:right="1320" w:bottom="1440" w:gutter="0" w:footer="0" w:header="0"/>
        </w:sectPr>
      </w:pPr>
    </w:p>
    <w:bookmarkStart w:id="149" w:name="page150"/>
    <w:bookmarkEnd w:id="149"/>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74" name="Shape 7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74" o:spid="_x0000_s17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75" name="Shape 7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5" o:spid="_x0000_s18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76" name="Shape 7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76" o:spid="_x0000_s18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77" name="Shape 7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77" o:spid="_x0000_s180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180" w:firstLine="1"/>
        <w:spacing w:after="0" w:line="276" w:lineRule="auto"/>
        <w:rPr>
          <w:sz w:val="20"/>
          <w:szCs w:val="20"/>
          <w:color w:val="auto"/>
        </w:rPr>
      </w:pPr>
      <w:r>
        <w:rPr>
          <w:rFonts w:ascii="Times New Roman" w:cs="Times New Roman" w:eastAsia="Times New Roman" w:hAnsi="Times New Roman"/>
          <w:sz w:val="17"/>
          <w:szCs w:val="17"/>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55" w:lineRule="exact"/>
        <w:rPr>
          <w:sz w:val="20"/>
          <w:szCs w:val="20"/>
          <w:color w:val="auto"/>
        </w:rPr>
      </w:pPr>
    </w:p>
    <w:p>
      <w:pPr>
        <w:jc w:val="both"/>
        <w:ind w:left="840" w:hanging="318"/>
        <w:spacing w:after="0" w:line="254" w:lineRule="auto"/>
        <w:tabs>
          <w:tab w:leader="none" w:pos="840" w:val="left"/>
        </w:tabs>
        <w:numPr>
          <w:ilvl w:val="0"/>
          <w:numId w:val="68"/>
        </w:numPr>
        <w:rPr>
          <w:rFonts w:ascii="Arial" w:cs="Arial" w:eastAsia="Arial" w:hAnsi="Arial"/>
          <w:sz w:val="17"/>
          <w:szCs w:val="17"/>
          <w:color w:val="auto"/>
        </w:rPr>
      </w:pPr>
      <w:r>
        <w:rPr>
          <w:rFonts w:ascii="Times New Roman" w:cs="Times New Roman" w:eastAsia="Times New Roman" w:hAnsi="Times New Roman"/>
          <w:sz w:val="17"/>
          <w:szCs w:val="17"/>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ind w:left="840"/>
        <w:spacing w:after="0"/>
        <w:rPr>
          <w:rFonts w:ascii="Arial" w:cs="Arial" w:eastAsia="Arial" w:hAnsi="Arial"/>
          <w:sz w:val="17"/>
          <w:szCs w:val="17"/>
          <w:color w:val="auto"/>
        </w:rPr>
      </w:pPr>
      <w:r>
        <w:rPr>
          <w:rFonts w:ascii="Times New Roman" w:cs="Times New Roman" w:eastAsia="Times New Roman" w:hAnsi="Times New Roman"/>
          <w:sz w:val="17"/>
          <w:szCs w:val="17"/>
          <w:color w:val="auto"/>
        </w:rPr>
        <w:t>(y) the Fair Market Value, and</w:t>
      </w:r>
    </w:p>
    <w:p>
      <w:pPr>
        <w:spacing w:after="0" w:line="11" w:lineRule="exact"/>
        <w:rPr>
          <w:rFonts w:ascii="Arial" w:cs="Arial" w:eastAsia="Arial" w:hAnsi="Arial"/>
          <w:sz w:val="17"/>
          <w:szCs w:val="17"/>
          <w:color w:val="auto"/>
        </w:rPr>
      </w:pPr>
    </w:p>
    <w:p>
      <w:pPr>
        <w:ind w:left="840" w:hanging="318"/>
        <w:spacing w:after="0"/>
        <w:tabs>
          <w:tab w:leader="none" w:pos="840" w:val="left"/>
        </w:tabs>
        <w:numPr>
          <w:ilvl w:val="0"/>
          <w:numId w:val="68"/>
        </w:numPr>
        <w:rPr>
          <w:rFonts w:ascii="Arial" w:cs="Arial" w:eastAsia="Arial" w:hAnsi="Arial"/>
          <w:sz w:val="17"/>
          <w:szCs w:val="17"/>
          <w:color w:val="auto"/>
        </w:rPr>
      </w:pPr>
      <w:r>
        <w:rPr>
          <w:rFonts w:ascii="Times New Roman" w:cs="Times New Roman" w:eastAsia="Times New Roman" w:hAnsi="Times New Roman"/>
          <w:sz w:val="17"/>
          <w:szCs w:val="17"/>
          <w:color w:val="auto"/>
        </w:rPr>
        <w:t>0.365.</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218"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As at December 31, 2023,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60" w:lineRule="exact"/>
        <w:rPr>
          <w:sz w:val="20"/>
          <w:szCs w:val="20"/>
          <w:color w:val="auto"/>
        </w:rPr>
      </w:pPr>
    </w:p>
    <w:p>
      <w:pPr>
        <w:ind w:left="840" w:hanging="319"/>
        <w:spacing w:after="0"/>
        <w:tabs>
          <w:tab w:leader="none" w:pos="8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Private Warrants are exercisable for cash or on a cashless basis, at the holder’s option, and</w:t>
      </w:r>
    </w:p>
    <w:p>
      <w:pPr>
        <w:spacing w:after="0" w:line="11" w:lineRule="exact"/>
        <w:rPr>
          <w:rFonts w:ascii="Times New Roman" w:cs="Times New Roman" w:eastAsia="Times New Roman" w:hAnsi="Times New Roman"/>
          <w:sz w:val="17"/>
          <w:szCs w:val="17"/>
          <w:color w:val="auto"/>
        </w:rPr>
      </w:pPr>
    </w:p>
    <w:p>
      <w:pPr>
        <w:ind w:left="840" w:hanging="319"/>
        <w:spacing w:after="0"/>
        <w:tabs>
          <w:tab w:leader="none" w:pos="8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Private Warrants are not redeemable by the Company.</w:t>
      </w:r>
    </w:p>
    <w:p>
      <w:pPr>
        <w:spacing w:after="0" w:line="219"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60" w:lineRule="exact"/>
        <w:rPr>
          <w:sz w:val="20"/>
          <w:szCs w:val="20"/>
          <w:color w:val="auto"/>
        </w:rPr>
      </w:pPr>
    </w:p>
    <w:p>
      <w:pPr>
        <w:jc w:val="both"/>
        <w:ind w:left="840" w:hanging="319"/>
        <w:spacing w:after="0" w:line="269" w:lineRule="auto"/>
        <w:tabs>
          <w:tab w:leader="none" w:pos="840" w:val="left"/>
        </w:tabs>
        <w:numPr>
          <w:ilvl w:val="0"/>
          <w:numId w:val="70"/>
        </w:numPr>
        <w:rPr>
          <w:rFonts w:ascii="Arial" w:cs="Arial" w:eastAsia="Arial" w:hAnsi="Arial"/>
          <w:sz w:val="17"/>
          <w:szCs w:val="17"/>
          <w:color w:val="auto"/>
        </w:rPr>
      </w:pPr>
      <w:r>
        <w:rPr>
          <w:rFonts w:ascii="Times New Roman" w:cs="Times New Roman" w:eastAsia="Times New Roman" w:hAnsi="Times New Roman"/>
          <w:sz w:val="17"/>
          <w:szCs w:val="17"/>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60"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w:t>
      </w:r>
    </w:p>
    <w:p>
      <w:pPr>
        <w:spacing w:after="0" w:line="155"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The Company evaluated the Private Warrants under ASC 815-40, in conjunction with the SEC Statement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65" w:lineRule="exact"/>
        <w:rPr>
          <w:sz w:val="20"/>
          <w:szCs w:val="20"/>
          <w:color w:val="auto"/>
        </w:rPr>
      </w:pPr>
    </w:p>
    <w:p>
      <w:pPr>
        <w:jc w:val="both"/>
        <w:ind w:left="180" w:firstLine="1"/>
        <w:spacing w:after="0" w:line="260" w:lineRule="auto"/>
        <w:rPr>
          <w:sz w:val="20"/>
          <w:szCs w:val="20"/>
          <w:color w:val="auto"/>
        </w:rPr>
      </w:pPr>
      <w:r>
        <w:rPr>
          <w:rFonts w:ascii="Times New Roman" w:cs="Times New Roman" w:eastAsia="Times New Roman" w:hAnsi="Times New Roman"/>
          <w:sz w:val="17"/>
          <w:szCs w:val="17"/>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As the Company’s shares reached their two-year trading anniversary on September 9, 2023, the Company changed its approach in calculating volatility from solely the implied volatility of the Company’s Public Warrants to now include an equal weight blend of the Public Warrants volatility and the historical volatility of the Company’s share price. The expected volatility was estimated using a binomial model based on consideration of the implied volatility from the Company’s Public Warrants adjusted to account for the call feature of the Public Warrants at prices above $18.00 during 20 trading days within any 30-day trading period and historical volatility of the share price of the common shares.</w:t>
      </w:r>
    </w:p>
    <w:p>
      <w:pPr>
        <w:sectPr>
          <w:pgSz w:w="12240" w:h="15840" w:orient="portrait"/>
          <w:cols w:equalWidth="0" w:num="1">
            <w:col w:w="9480"/>
          </w:cols>
          <w:pgMar w:left="1440" w:top="1324" w:right="1320" w:bottom="1440" w:gutter="0" w:footer="0" w:header="0"/>
        </w:sectPr>
      </w:pPr>
    </w:p>
    <w:p>
      <w:pPr>
        <w:spacing w:after="0" w:line="38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367030</wp:posOffset>
                </wp:positionV>
                <wp:extent cx="6109970" cy="0"/>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778" o:spid="_x0000_s18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9pt" to="474.55pt,28.9pt" o:allowincell="f" strokecolor="#000000" strokeweight="1.2947pt"/>
            </w:pict>
          </mc:Fallback>
        </mc:AlternateContent>
      </w:r>
    </w:p>
    <w:p>
      <w:pPr>
        <w:sectPr>
          <w:pgSz w:w="12240" w:h="15840" w:orient="portrait"/>
          <w:cols w:equalWidth="0" w:num="1">
            <w:col w:w="9480"/>
          </w:cols>
          <w:pgMar w:left="1440" w:top="1324" w:right="1320" w:bottom="1440" w:gutter="0" w:footer="0" w:header="0"/>
          <w:type w:val="continuous"/>
        </w:sectPr>
      </w:pPr>
    </w:p>
    <w:bookmarkStart w:id="150" w:name="page151"/>
    <w:bookmarkEnd w:id="150"/>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81" o:spid="_x0000_s18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82" name="Shape 7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82" o:spid="_x0000_s180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As at December 31, 2023, the fair value of outstanding Private Warrants of approximately $2 million is recorded as warrants liability.</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changes in the fair value of warrants liability:</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Private</w:t>
            </w:r>
          </w:p>
        </w:tc>
      </w:tr>
      <w:tr>
        <w:trPr>
          <w:trHeight w:val="168"/>
        </w:trPr>
        <w:tc>
          <w:tcPr>
            <w:tcW w:w="7760" w:type="dxa"/>
            <w:vAlign w:val="bottom"/>
            <w:tcBorders>
              <w:bottom w:val="single" w:sz="8" w:color="CBEBF4"/>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200"/>
        </w:trPr>
        <w:tc>
          <w:tcPr>
            <w:tcW w:w="77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Warrants liability as at December 31, 2022</w:t>
            </w:r>
          </w:p>
        </w:tc>
        <w:tc>
          <w:tcPr>
            <w:tcW w:w="280" w:type="dxa"/>
            <w:vAlign w:val="bottom"/>
            <w:shd w:val="clear" w:color="auto" w:fill="CBEBF4"/>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983</w:t>
            </w:r>
          </w:p>
        </w:tc>
      </w:tr>
      <w:tr>
        <w:trPr>
          <w:trHeight w:val="207"/>
        </w:trPr>
        <w:tc>
          <w:tcPr>
            <w:tcW w:w="7760" w:type="dxa"/>
            <w:vAlign w:val="bottom"/>
            <w:tcBorders>
              <w:bottom w:val="single" w:sz="8" w:color="CBEBF4"/>
            </w:tcBorders>
          </w:tcPr>
          <w:p>
            <w:pPr>
              <w:spacing w:after="0"/>
              <w:rPr>
                <w:sz w:val="20"/>
                <w:szCs w:val="20"/>
                <w:color w:val="auto"/>
              </w:rPr>
            </w:pPr>
            <w:r>
              <w:rPr>
                <w:rFonts w:ascii="Times New Roman" w:cs="Times New Roman" w:eastAsia="Times New Roman" w:hAnsi="Times New Roman"/>
                <w:sz w:val="17"/>
                <w:szCs w:val="17"/>
                <w:color w:val="auto"/>
              </w:rPr>
              <w:t>Increase in fair value of warrants liability</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w:t>
            </w:r>
          </w:p>
        </w:tc>
      </w:tr>
      <w:tr>
        <w:trPr>
          <w:trHeight w:val="200"/>
        </w:trPr>
        <w:tc>
          <w:tcPr>
            <w:tcW w:w="776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Warrants liability as at December 31, 2023</w:t>
            </w:r>
          </w:p>
        </w:tc>
        <w:tc>
          <w:tcPr>
            <w:tcW w:w="280" w:type="dxa"/>
            <w:vAlign w:val="bottom"/>
            <w:tcBorders>
              <w:bottom w:val="single" w:sz="8" w:color="auto"/>
            </w:tcBorders>
            <w:shd w:val="clear" w:color="auto" w:fill="CBEBF4"/>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1,969</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As at December 31, 2023, the fair value of the Private Warrants was estimated using the following assumptions: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0"/>
        </w:trPr>
        <w:tc>
          <w:tcPr>
            <w:tcW w:w="572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3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11.50</w:t>
            </w:r>
          </w:p>
        </w:tc>
        <w:tc>
          <w:tcPr>
            <w:tcW w:w="420" w:type="dxa"/>
            <w:vAlign w:val="bottom"/>
            <w:tcBorders>
              <w:top w:val="single" w:sz="8" w:color="CBEBF4"/>
            </w:tcBorders>
            <w:shd w:val="clear" w:color="auto" w:fill="CBEBF4"/>
          </w:tcPr>
          <w:p>
            <w:pPr>
              <w:spacing w:after="0"/>
              <w:rPr>
                <w:sz w:val="17"/>
                <w:szCs w:val="17"/>
                <w:color w:val="auto"/>
              </w:rPr>
            </w:pPr>
          </w:p>
        </w:tc>
        <w:tc>
          <w:tcPr>
            <w:tcW w:w="40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80" w:type="dxa"/>
            <w:vAlign w:val="bottom"/>
            <w:tcBorders>
              <w:top w:val="single" w:sz="8" w:color="CBEBF4"/>
            </w:tcBorders>
            <w:shd w:val="clear" w:color="auto" w:fill="CBEBF4"/>
          </w:tcPr>
          <w:p>
            <w:pPr>
              <w:spacing w:after="0"/>
              <w:rPr>
                <w:sz w:val="17"/>
                <w:szCs w:val="17"/>
                <w:color w:val="auto"/>
              </w:rPr>
            </w:pP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Share price</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1.10</w:t>
            </w:r>
          </w:p>
        </w:tc>
        <w:tc>
          <w:tcPr>
            <w:tcW w:w="4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0.77</w:t>
            </w:r>
          </w:p>
        </w:tc>
        <w:tc>
          <w:tcPr>
            <w:tcW w:w="380" w:type="dxa"/>
            <w:vAlign w:val="bottom"/>
          </w:tcPr>
          <w:p>
            <w:pPr>
              <w:spacing w:after="0"/>
              <w:rPr>
                <w:sz w:val="18"/>
                <w:szCs w:val="18"/>
                <w:color w:val="auto"/>
              </w:rPr>
            </w:pPr>
          </w:p>
        </w:tc>
      </w:tr>
      <w:tr>
        <w:trPr>
          <w:trHeight w:val="220"/>
        </w:trPr>
        <w:tc>
          <w:tcPr>
            <w:tcW w:w="5720" w:type="dxa"/>
            <w:vAlign w:val="bottom"/>
            <w:shd w:val="clear" w:color="auto" w:fill="CBEBF4"/>
          </w:tcPr>
          <w:p>
            <w:pPr>
              <w:spacing w:after="0" w:line="220" w:lineRule="exact"/>
              <w:rPr>
                <w:sz w:val="20"/>
                <w:szCs w:val="20"/>
                <w:color w:val="auto"/>
              </w:rPr>
            </w:pPr>
            <w:r>
              <w:rPr>
                <w:rFonts w:ascii="Times New Roman" w:cs="Times New Roman" w:eastAsia="Times New Roman" w:hAnsi="Times New Roman"/>
                <w:sz w:val="17"/>
                <w:szCs w:val="17"/>
                <w:color w:val="auto"/>
              </w:rPr>
              <w:t>Volatility</w:t>
            </w:r>
            <w:r>
              <w:rPr>
                <w:rFonts w:ascii="Times New Roman" w:cs="Times New Roman" w:eastAsia="Times New Roman" w:hAnsi="Times New Roman"/>
                <w:sz w:val="25"/>
                <w:szCs w:val="25"/>
                <w:color w:val="auto"/>
                <w:vertAlign w:val="superscript"/>
              </w:rPr>
              <w:t>(1)</w:t>
            </w:r>
          </w:p>
        </w:tc>
        <w:tc>
          <w:tcPr>
            <w:tcW w:w="380" w:type="dxa"/>
            <w:vAlign w:val="bottom"/>
            <w:shd w:val="clear" w:color="auto" w:fill="CBEBF4"/>
          </w:tcPr>
          <w:p>
            <w:pPr>
              <w:spacing w:after="0"/>
              <w:rPr>
                <w:sz w:val="19"/>
                <w:szCs w:val="19"/>
                <w:color w:val="auto"/>
              </w:rPr>
            </w:pPr>
          </w:p>
        </w:tc>
        <w:tc>
          <w:tcPr>
            <w:tcW w:w="1200" w:type="dxa"/>
            <w:vAlign w:val="bottom"/>
            <w:gridSpan w:val="2"/>
            <w:shd w:val="clear" w:color="auto" w:fill="CBEBF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105.34 %</w:t>
            </w:r>
          </w:p>
        </w:tc>
        <w:tc>
          <w:tcPr>
            <w:tcW w:w="400" w:type="dxa"/>
            <w:vAlign w:val="bottom"/>
            <w:shd w:val="clear" w:color="auto" w:fill="CBEBF4"/>
          </w:tcPr>
          <w:p>
            <w:pPr>
              <w:spacing w:after="0"/>
              <w:rPr>
                <w:sz w:val="19"/>
                <w:szCs w:val="19"/>
                <w:color w:val="auto"/>
              </w:rPr>
            </w:pPr>
          </w:p>
        </w:tc>
        <w:tc>
          <w:tcPr>
            <w:tcW w:w="1140" w:type="dxa"/>
            <w:vAlign w:val="bottom"/>
            <w:gridSpan w:val="2"/>
            <w:shd w:val="clear" w:color="auto" w:fill="CBEBF4"/>
          </w:tcPr>
          <w:p>
            <w:pPr>
              <w:jc w:val="right"/>
              <w:ind w:right="240"/>
              <w:spacing w:after="0"/>
              <w:rPr>
                <w:sz w:val="20"/>
                <w:szCs w:val="20"/>
                <w:color w:val="auto"/>
              </w:rPr>
            </w:pPr>
            <w:r>
              <w:rPr>
                <w:rFonts w:ascii="Times New Roman" w:cs="Times New Roman" w:eastAsia="Times New Roman" w:hAnsi="Times New Roman"/>
                <w:sz w:val="17"/>
                <w:szCs w:val="17"/>
                <w:color w:val="auto"/>
              </w:rPr>
              <w:t>88.05 %</w:t>
            </w: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Term</w:t>
            </w: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2.69 years</w:t>
            </w:r>
          </w:p>
        </w:tc>
        <w:tc>
          <w:tcPr>
            <w:tcW w:w="4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3.69 years</w:t>
            </w:r>
          </w:p>
        </w:tc>
      </w:tr>
      <w:tr>
        <w:trPr>
          <w:trHeight w:val="220"/>
        </w:trPr>
        <w:tc>
          <w:tcPr>
            <w:tcW w:w="57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380" w:type="dxa"/>
            <w:vAlign w:val="bottom"/>
            <w:shd w:val="clear" w:color="auto" w:fill="CBEBF4"/>
          </w:tcPr>
          <w:p>
            <w:pPr>
              <w:spacing w:after="0"/>
              <w:rPr>
                <w:sz w:val="19"/>
                <w:szCs w:val="19"/>
                <w:color w:val="auto"/>
              </w:rPr>
            </w:pPr>
          </w:p>
        </w:tc>
        <w:tc>
          <w:tcPr>
            <w:tcW w:w="1200" w:type="dxa"/>
            <w:vAlign w:val="bottom"/>
            <w:gridSpan w:val="2"/>
            <w:shd w:val="clear" w:color="auto" w:fill="CBEBF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3.98 %</w:t>
            </w:r>
          </w:p>
        </w:tc>
        <w:tc>
          <w:tcPr>
            <w:tcW w:w="400" w:type="dxa"/>
            <w:vAlign w:val="bottom"/>
            <w:shd w:val="clear" w:color="auto" w:fill="CBEBF4"/>
          </w:tcPr>
          <w:p>
            <w:pPr>
              <w:spacing w:after="0"/>
              <w:rPr>
                <w:sz w:val="19"/>
                <w:szCs w:val="19"/>
                <w:color w:val="auto"/>
              </w:rPr>
            </w:pPr>
          </w:p>
        </w:tc>
        <w:tc>
          <w:tcPr>
            <w:tcW w:w="1140" w:type="dxa"/>
            <w:vAlign w:val="bottom"/>
            <w:gridSpan w:val="2"/>
            <w:shd w:val="clear" w:color="auto" w:fill="CBEBF4"/>
          </w:tcPr>
          <w:p>
            <w:pPr>
              <w:jc w:val="right"/>
              <w:ind w:right="240"/>
              <w:spacing w:after="0"/>
              <w:rPr>
                <w:sz w:val="20"/>
                <w:szCs w:val="20"/>
                <w:color w:val="auto"/>
              </w:rPr>
            </w:pPr>
            <w:r>
              <w:rPr>
                <w:rFonts w:ascii="Times New Roman" w:cs="Times New Roman" w:eastAsia="Times New Roman" w:hAnsi="Times New Roman"/>
                <w:sz w:val="17"/>
                <w:szCs w:val="17"/>
                <w:color w:val="auto"/>
              </w:rPr>
              <w:t>4.04 %</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0.0 %</w:t>
            </w:r>
          </w:p>
        </w:tc>
        <w:tc>
          <w:tcPr>
            <w:tcW w:w="40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0.0 %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113665</wp:posOffset>
                </wp:positionH>
                <wp:positionV relativeFrom="paragraph">
                  <wp:posOffset>58420</wp:posOffset>
                </wp:positionV>
                <wp:extent cx="1529715" cy="0"/>
                <wp:wrapNone/>
                <wp:docPr id="783" name="Shape 7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27">
                          <a:solidFill>
                            <a:srgbClr val="000000"/>
                          </a:solidFill>
                          <a:miter lim="800000"/>
                          <a:headEnd/>
                          <a:tailEnd/>
                        </a:ln>
                      </wps:spPr>
                      <wps:bodyPr/>
                    </wps:wsp>
                  </a:graphicData>
                </a:graphic>
              </wp:anchor>
            </w:drawing>
          </mc:Choice>
          <mc:Fallback>
            <w:pict>
              <v:line id="Shape 783" o:spid="_x0000_s18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95pt,4.6pt" to="129.4pt,4.6pt" o:allowincell="f" strokecolor="#000000" strokeweight="0.6478pt"/>
            </w:pict>
          </mc:Fallback>
        </mc:AlternateContent>
      </w:r>
    </w:p>
    <w:p>
      <w:pPr>
        <w:spacing w:after="0" w:line="145" w:lineRule="exact"/>
        <w:rPr>
          <w:sz w:val="20"/>
          <w:szCs w:val="20"/>
          <w:color w:val="auto"/>
        </w:rPr>
      </w:pPr>
    </w:p>
    <w:p>
      <w:pPr>
        <w:jc w:val="both"/>
        <w:ind w:left="500" w:hanging="315"/>
        <w:spacing w:after="0" w:line="269" w:lineRule="auto"/>
        <w:tabs>
          <w:tab w:leader="none" w:pos="50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used a blended volatility approach to calculate the fair value of the warrants on December 31, 2023 by assigning equal weights to both implied volatility of the Company’s Public Warrants and the historical volatility of the share price. The volatility used in calculating the fair value of the warrants as at December 31, 2022 comprised only of the implied volatility of the Company’s Public Warrants.</w:t>
      </w:r>
    </w:p>
    <w:p>
      <w:pPr>
        <w:spacing w:after="0" w:line="161" w:lineRule="exact"/>
        <w:rPr>
          <w:sz w:val="20"/>
          <w:szCs w:val="20"/>
          <w:color w:val="auto"/>
        </w:rPr>
      </w:pPr>
    </w:p>
    <w:p>
      <w:pPr>
        <w:ind w:left="180" w:right="580"/>
        <w:spacing w:after="0" w:line="509" w:lineRule="auto"/>
        <w:rPr>
          <w:sz w:val="20"/>
          <w:szCs w:val="20"/>
          <w:color w:val="auto"/>
        </w:rPr>
      </w:pPr>
      <w:r>
        <w:rPr>
          <w:rFonts w:ascii="Times New Roman" w:cs="Times New Roman" w:eastAsia="Times New Roman" w:hAnsi="Times New Roman"/>
          <w:sz w:val="17"/>
          <w:szCs w:val="17"/>
          <w:color w:val="auto"/>
        </w:rPr>
        <w:t xml:space="preserve">There were no exercises or redemptions of the Public Warrants or Private Warrants during the year ended December 31, 2023. </w:t>
      </w:r>
      <w:r>
        <w:rPr>
          <w:rFonts w:ascii="Times New Roman" w:cs="Times New Roman" w:eastAsia="Times New Roman" w:hAnsi="Times New Roman"/>
          <w:sz w:val="17"/>
          <w:szCs w:val="17"/>
          <w:b w:val="1"/>
          <w:bCs w:val="1"/>
          <w:i w:val="1"/>
          <w:iCs w:val="1"/>
          <w:color w:val="auto"/>
        </w:rPr>
        <w:t>Allseas Warrant</w:t>
      </w: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The Allseas Warrant that was granted on March 4, 2021, vested and became exercisable for 11.6 million common shares upon successful completion of the PMTS in November 2022. The Company recognized a charge of $69.9 million in the fourth quarter of 2022, representing the fair market value of the Allseas Warrant on the date it was granted.</w:t>
      </w:r>
    </w:p>
    <w:p>
      <w:pPr>
        <w:spacing w:after="0" w:line="155" w:lineRule="exact"/>
        <w:rPr>
          <w:sz w:val="20"/>
          <w:szCs w:val="20"/>
          <w:color w:val="auto"/>
        </w:rPr>
      </w:pPr>
    </w:p>
    <w:p>
      <w:pPr>
        <w:jc w:val="both"/>
        <w:ind w:left="180" w:firstLine="1"/>
        <w:spacing w:after="0" w:line="298" w:lineRule="auto"/>
        <w:rPr>
          <w:sz w:val="20"/>
          <w:szCs w:val="20"/>
          <w:color w:val="auto"/>
        </w:rPr>
      </w:pPr>
      <w:r>
        <w:rPr>
          <w:rFonts w:ascii="Times New Roman" w:cs="Times New Roman" w:eastAsia="Times New Roman" w:hAnsi="Times New Roman"/>
          <w:sz w:val="17"/>
          <w:szCs w:val="17"/>
          <w:color w:val="auto"/>
        </w:rPr>
        <w:t>On July 26, 2023, the Allseas Warrant was exercised resulting in the issuance of 11,578,620 common shares of the Company on August 9, 2023, once the exercise amount of $115.8 thousand was received from Allseas (Note 8).</w:t>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Class A Warrants</w:t>
      </w:r>
    </w:p>
    <w:p>
      <w:pPr>
        <w:spacing w:after="0" w:line="218"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As a part of the Registered Direct Offering (Note 12), the Company issued 3,980,770 Class A Warrants for the purchase of common shares at an exercise price of $3.00 per share. The Class A Warrants expire on December 31, 2027. The valuation of these Class A Warrants was determined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784" name="Shape 7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784" o:spid="_x0000_s18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47pt"/>
            </w:pict>
          </mc:Fallback>
        </mc:AlternateContent>
      </w:r>
    </w:p>
    <w:p>
      <w:pPr>
        <w:sectPr>
          <w:pgSz w:w="12240" w:h="15840" w:orient="portrait"/>
          <w:cols w:equalWidth="0" w:num="1">
            <w:col w:w="9480"/>
          </w:cols>
          <w:pgMar w:left="1440" w:top="1324" w:right="1320" w:bottom="1440" w:gutter="0" w:footer="0" w:header="0"/>
        </w:sectPr>
      </w:pPr>
    </w:p>
    <w:bookmarkStart w:id="151" w:name="page152"/>
    <w:bookmarkEnd w:id="151"/>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85" name="Shape 7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85" o:spid="_x0000_s18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86" name="Shape 7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86" o:spid="_x0000_s18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87" name="Shape 7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87" o:spid="_x0000_s18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88" name="Shape 7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88" o:spid="_x0000_s18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06"/>
        <w:spacing w:after="0" w:line="298" w:lineRule="auto"/>
        <w:rPr>
          <w:sz w:val="20"/>
          <w:szCs w:val="20"/>
          <w:color w:val="auto"/>
        </w:rPr>
      </w:pPr>
      <w:r>
        <w:rPr>
          <w:rFonts w:ascii="Times New Roman" w:cs="Times New Roman" w:eastAsia="Times New Roman" w:hAnsi="Times New Roman"/>
          <w:sz w:val="17"/>
          <w:szCs w:val="17"/>
          <w:color w:val="auto"/>
        </w:rPr>
        <w:t>The Class A Warrants were valued on August 14, 2023, at a fair value of $0.80 per warrant. The fair value of the Class A Warrants was estimated using the following assumptions:</w:t>
      </w:r>
    </w:p>
    <w:p>
      <w:pPr>
        <w:spacing w:after="0" w:line="129" w:lineRule="exact"/>
        <w:rPr>
          <w:sz w:val="20"/>
          <w:szCs w:val="20"/>
          <w:color w:val="auto"/>
        </w:rPr>
      </w:pPr>
    </w:p>
    <w:tbl>
      <w:tblPr>
        <w:tblLayout w:type="fixed"/>
        <w:tblInd w:w="306"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August 14,</w:t>
            </w:r>
          </w:p>
        </w:tc>
      </w:tr>
      <w:tr>
        <w:trPr>
          <w:trHeight w:val="168"/>
        </w:trPr>
        <w:tc>
          <w:tcPr>
            <w:tcW w:w="7640" w:type="dxa"/>
            <w:vAlign w:val="bottom"/>
            <w:tcBorders>
              <w:bottom w:val="single" w:sz="8" w:color="CBEBF4"/>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BEBF4"/>
            </w:tcBorders>
          </w:tcPr>
          <w:p>
            <w:pPr>
              <w:spacing w:after="0"/>
              <w:rPr>
                <w:sz w:val="14"/>
                <w:szCs w:val="14"/>
                <w:color w:val="auto"/>
              </w:rPr>
            </w:pPr>
          </w:p>
        </w:tc>
      </w:tr>
      <w:tr>
        <w:trPr>
          <w:trHeight w:val="200"/>
        </w:trPr>
        <w:tc>
          <w:tcPr>
            <w:tcW w:w="76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20" w:type="dxa"/>
            <w:vAlign w:val="bottom"/>
            <w:shd w:val="clear" w:color="auto" w:fill="CBEBF4"/>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60" w:type="dxa"/>
            <w:vAlign w:val="bottom"/>
            <w:shd w:val="clear" w:color="auto" w:fill="CBEBF4"/>
          </w:tcPr>
          <w:p>
            <w:pPr>
              <w:spacing w:after="0"/>
              <w:rPr>
                <w:sz w:val="17"/>
                <w:szCs w:val="17"/>
                <w:color w:val="auto"/>
              </w:rPr>
            </w:pPr>
          </w:p>
        </w:tc>
      </w:tr>
      <w:tr>
        <w:trPr>
          <w:trHeight w:val="207"/>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Share price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60" w:type="dxa"/>
            <w:vAlign w:val="bottom"/>
          </w:tcPr>
          <w:p>
            <w:pPr>
              <w:spacing w:after="0"/>
              <w:rPr>
                <w:sz w:val="18"/>
                <w:szCs w:val="18"/>
                <w:color w:val="auto"/>
              </w:rPr>
            </w:pPr>
          </w:p>
        </w:tc>
      </w:tr>
      <w:tr>
        <w:trPr>
          <w:trHeight w:val="207"/>
        </w:trPr>
        <w:tc>
          <w:tcPr>
            <w:tcW w:w="76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Call price threshold</w:t>
            </w:r>
          </w:p>
        </w:tc>
        <w:tc>
          <w:tcPr>
            <w:tcW w:w="220" w:type="dxa"/>
            <w:vAlign w:val="bottom"/>
            <w:shd w:val="clear" w:color="auto" w:fill="CBEBF4"/>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60" w:type="dxa"/>
            <w:vAlign w:val="bottom"/>
            <w:shd w:val="clear" w:color="auto" w:fill="CBEBF4"/>
          </w:tcPr>
          <w:p>
            <w:pPr>
              <w:spacing w:after="0"/>
              <w:rPr>
                <w:sz w:val="18"/>
                <w:szCs w:val="18"/>
                <w:color w:val="auto"/>
              </w:rPr>
            </w:pPr>
          </w:p>
        </w:tc>
      </w:tr>
      <w:tr>
        <w:trPr>
          <w:trHeight w:val="207"/>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7"/>
        </w:trPr>
        <w:tc>
          <w:tcPr>
            <w:tcW w:w="76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Term (years)</w:t>
            </w:r>
          </w:p>
        </w:tc>
        <w:tc>
          <w:tcPr>
            <w:tcW w:w="220" w:type="dxa"/>
            <w:vAlign w:val="bottom"/>
            <w:shd w:val="clear" w:color="auto" w:fill="CBEBF4"/>
          </w:tcPr>
          <w:p>
            <w:pPr>
              <w:spacing w:after="0"/>
              <w:rPr>
                <w:sz w:val="18"/>
                <w:szCs w:val="18"/>
                <w:color w:val="auto"/>
              </w:rPr>
            </w:pP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4.38</w:t>
            </w:r>
          </w:p>
        </w:tc>
        <w:tc>
          <w:tcPr>
            <w:tcW w:w="160" w:type="dxa"/>
            <w:vAlign w:val="bottom"/>
            <w:shd w:val="clear" w:color="auto" w:fill="CBEBF4"/>
          </w:tcPr>
          <w:p>
            <w:pPr>
              <w:spacing w:after="0"/>
              <w:rPr>
                <w:sz w:val="18"/>
                <w:szCs w:val="18"/>
                <w:color w:val="auto"/>
              </w:rPr>
            </w:pPr>
          </w:p>
        </w:tc>
      </w:tr>
      <w:tr>
        <w:trPr>
          <w:trHeight w:val="207"/>
        </w:trPr>
        <w:tc>
          <w:tcPr>
            <w:tcW w:w="764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7"/>
        </w:trPr>
        <w:tc>
          <w:tcPr>
            <w:tcW w:w="764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220" w:type="dxa"/>
            <w:vAlign w:val="bottom"/>
            <w:shd w:val="clear" w:color="auto" w:fill="CBEBF4"/>
          </w:tcPr>
          <w:p>
            <w:pPr>
              <w:spacing w:after="0"/>
              <w:rPr>
                <w:sz w:val="18"/>
                <w:szCs w:val="18"/>
                <w:color w:val="auto"/>
              </w:rPr>
            </w:pP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84"/>
                <w:shd w:val="clear" w:color="auto" w:fill="CBEBF4"/>
              </w:rPr>
              <w:t>%</w:t>
            </w:r>
          </w:p>
        </w:tc>
      </w:tr>
    </w:tbl>
    <w:p>
      <w:pPr>
        <w:spacing w:after="0" w:line="183" w:lineRule="exact"/>
        <w:rPr>
          <w:sz w:val="20"/>
          <w:szCs w:val="20"/>
          <w:color w:val="auto"/>
        </w:rPr>
      </w:pPr>
    </w:p>
    <w:p>
      <w:pPr>
        <w:jc w:val="both"/>
        <w:ind w:left="306"/>
        <w:spacing w:after="0" w:line="269" w:lineRule="auto"/>
        <w:rPr>
          <w:sz w:val="20"/>
          <w:szCs w:val="20"/>
          <w:color w:val="auto"/>
        </w:rPr>
      </w:pPr>
      <w:r>
        <w:rPr>
          <w:rFonts w:ascii="Times New Roman" w:cs="Times New Roman" w:eastAsia="Times New Roman" w:hAnsi="Times New Roman"/>
          <w:sz w:val="17"/>
          <w:szCs w:val="17"/>
          <w:color w:val="auto"/>
        </w:rPr>
        <w:t>The Class A Warrants contain a call provision under which if the Volume Weighted Average Price “VWAP” for 30 consecutive trading days exceeds $6.50, and the warrant holder does not possess material non-public information provided by the Company, the Company may call for cancellation of the unexercised warrants, offering $0.0001 per Warrant Share. If conditions for the call are met, the unexercised portion of these warrants will be cancelled ten Trading Days after the call notice is received.</w:t>
      </w:r>
    </w:p>
    <w:p>
      <w:pPr>
        <w:spacing w:after="0" w:line="161" w:lineRule="exact"/>
        <w:rPr>
          <w:sz w:val="20"/>
          <w:szCs w:val="20"/>
          <w:color w:val="auto"/>
        </w:rPr>
      </w:pPr>
    </w:p>
    <w:p>
      <w:pPr>
        <w:jc w:val="both"/>
        <w:ind w:left="306"/>
        <w:spacing w:after="0" w:line="269" w:lineRule="auto"/>
        <w:rPr>
          <w:sz w:val="20"/>
          <w:szCs w:val="20"/>
          <w:color w:val="auto"/>
        </w:rPr>
      </w:pPr>
      <w:r>
        <w:rPr>
          <w:rFonts w:ascii="Times New Roman" w:cs="Times New Roman" w:eastAsia="Times New Roman" w:hAnsi="Times New Roman"/>
          <w:sz w:val="17"/>
          <w:szCs w:val="17"/>
          <w:color w:val="auto"/>
        </w:rPr>
        <w:t>The Class A Warrants were not determined to be liabilities under ASC 480 as they were not required to be redeemed. The Company classified the Class A Warrants as equity (per ASC 815), as the warrants entailed physical settlement and were also considered to be indexed to the Company’s share, wherein, upon exercise, a fixed number of common shares would be issued on payment of a fixed exercise price. As at December 31, 2023, the Company recorded $3.2 million as additional paid in capital.</w:t>
      </w:r>
    </w:p>
    <w:p>
      <w:pPr>
        <w:spacing w:after="0" w:line="160" w:lineRule="exact"/>
        <w:rPr>
          <w:sz w:val="20"/>
          <w:szCs w:val="20"/>
          <w:color w:val="auto"/>
        </w:rPr>
      </w:pPr>
    </w:p>
    <w:p>
      <w:pPr>
        <w:jc w:val="both"/>
        <w:ind w:left="306"/>
        <w:spacing w:after="0" w:line="298" w:lineRule="auto"/>
        <w:rPr>
          <w:sz w:val="20"/>
          <w:szCs w:val="20"/>
          <w:color w:val="auto"/>
        </w:rPr>
      </w:pPr>
      <w:r>
        <w:rPr>
          <w:rFonts w:ascii="Times New Roman" w:cs="Times New Roman" w:eastAsia="Times New Roman" w:hAnsi="Times New Roman"/>
          <w:sz w:val="17"/>
          <w:szCs w:val="17"/>
          <w:color w:val="auto"/>
        </w:rPr>
        <w:t>On January 31, 2024, the Company issued the remaining 2,250,000 Class A Warrants, after receiving the remaining committed funding from the Registered Direct Offering of $9 million (Notes 12 and 22).</w:t>
      </w:r>
    </w:p>
    <w:p>
      <w:pPr>
        <w:spacing w:after="0" w:line="147" w:lineRule="exact"/>
        <w:rPr>
          <w:sz w:val="20"/>
          <w:szCs w:val="20"/>
          <w:color w:val="auto"/>
        </w:rPr>
      </w:pPr>
    </w:p>
    <w:p>
      <w:pPr>
        <w:ind w:left="306" w:right="7620" w:hanging="306"/>
        <w:spacing w:after="0" w:line="510" w:lineRule="auto"/>
        <w:tabs>
          <w:tab w:leader="none" w:pos="306"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at December 31, 2023, the authorized, issued and outstanding common shares and Special Shares of the Company are as follows:</w:t>
      </w:r>
    </w:p>
    <w:p>
      <w:pPr>
        <w:spacing w:after="0" w:line="212" w:lineRule="exact"/>
        <w:rPr>
          <w:sz w:val="20"/>
          <w:szCs w:val="20"/>
          <w:color w:val="auto"/>
        </w:rPr>
      </w:pPr>
    </w:p>
    <w:tbl>
      <w:tblPr>
        <w:tblLayout w:type="fixed"/>
        <w:tblInd w:w="306"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Authorized</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0" w:type="dxa"/>
            <w:vAlign w:val="bottom"/>
          </w:tcPr>
          <w:p>
            <w:pPr>
              <w:spacing w:after="0"/>
              <w:rPr>
                <w:sz w:val="1"/>
                <w:szCs w:val="1"/>
                <w:color w:val="auto"/>
              </w:rPr>
            </w:pPr>
          </w:p>
        </w:tc>
      </w:tr>
      <w:tr>
        <w:trPr>
          <w:trHeight w:val="168"/>
        </w:trPr>
        <w:tc>
          <w:tcPr>
            <w:tcW w:w="568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0"/>
        </w:trPr>
        <w:tc>
          <w:tcPr>
            <w:tcW w:w="56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206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Unlimited, with no par value</w:t>
            </w:r>
          </w:p>
        </w:tc>
        <w:tc>
          <w:tcPr>
            <w:tcW w:w="140" w:type="dxa"/>
            <w:vAlign w:val="bottom"/>
            <w:tcBorders>
              <w:top w:val="single" w:sz="8" w:color="CBEBF4"/>
            </w:tcBorders>
            <w:shd w:val="clear" w:color="auto" w:fill="CBEBF4"/>
          </w:tcPr>
          <w:p>
            <w:pPr>
              <w:spacing w:after="0"/>
              <w:rPr>
                <w:sz w:val="17"/>
                <w:szCs w:val="17"/>
                <w:color w:val="auto"/>
              </w:rPr>
            </w:pP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306,558,710</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Class A Special Shares</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5,000,000, with no par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4,448,259</w:t>
            </w:r>
          </w:p>
        </w:tc>
        <w:tc>
          <w:tcPr>
            <w:tcW w:w="0" w:type="dxa"/>
            <w:vAlign w:val="bottom"/>
          </w:tcPr>
          <w:p>
            <w:pPr>
              <w:spacing w:after="0"/>
              <w:rPr>
                <w:sz w:val="1"/>
                <w:szCs w:val="1"/>
                <w:color w:val="auto"/>
              </w:rPr>
            </w:pPr>
          </w:p>
        </w:tc>
      </w:tr>
      <w:tr>
        <w:trPr>
          <w:trHeight w:val="207"/>
        </w:trPr>
        <w:tc>
          <w:tcPr>
            <w:tcW w:w="56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Class B Special Shares</w:t>
            </w:r>
          </w:p>
        </w:tc>
        <w:tc>
          <w:tcPr>
            <w:tcW w:w="220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10,000,000, with no par value</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8,896,399</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Class C Special Shares</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10,000,000, with no par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8,896,399</w:t>
            </w:r>
          </w:p>
        </w:tc>
        <w:tc>
          <w:tcPr>
            <w:tcW w:w="0" w:type="dxa"/>
            <w:vAlign w:val="bottom"/>
          </w:tcPr>
          <w:p>
            <w:pPr>
              <w:spacing w:after="0"/>
              <w:rPr>
                <w:sz w:val="1"/>
                <w:szCs w:val="1"/>
                <w:color w:val="auto"/>
              </w:rPr>
            </w:pPr>
          </w:p>
        </w:tc>
      </w:tr>
      <w:tr>
        <w:trPr>
          <w:trHeight w:val="207"/>
        </w:trPr>
        <w:tc>
          <w:tcPr>
            <w:tcW w:w="56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Class D Special Shares</w:t>
            </w:r>
          </w:p>
        </w:tc>
        <w:tc>
          <w:tcPr>
            <w:tcW w:w="220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20,000,000, with no par value</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17,792,922</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Class E Special Shares</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20,000,000, with no par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17,792,922</w:t>
            </w:r>
          </w:p>
        </w:tc>
        <w:tc>
          <w:tcPr>
            <w:tcW w:w="0" w:type="dxa"/>
            <w:vAlign w:val="bottom"/>
          </w:tcPr>
          <w:p>
            <w:pPr>
              <w:spacing w:after="0"/>
              <w:rPr>
                <w:sz w:val="1"/>
                <w:szCs w:val="1"/>
                <w:color w:val="auto"/>
              </w:rPr>
            </w:pPr>
          </w:p>
        </w:tc>
      </w:tr>
      <w:tr>
        <w:trPr>
          <w:trHeight w:val="207"/>
        </w:trPr>
        <w:tc>
          <w:tcPr>
            <w:tcW w:w="56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Class F Special Shares</w:t>
            </w:r>
          </w:p>
        </w:tc>
        <w:tc>
          <w:tcPr>
            <w:tcW w:w="220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20,000,000, with no par value</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17,792,922</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Class G Special Shares</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25,000,000, with no par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22,241,179</w:t>
            </w:r>
          </w:p>
        </w:tc>
        <w:tc>
          <w:tcPr>
            <w:tcW w:w="0" w:type="dxa"/>
            <w:vAlign w:val="bottom"/>
          </w:tcPr>
          <w:p>
            <w:pPr>
              <w:spacing w:after="0"/>
              <w:rPr>
                <w:sz w:val="1"/>
                <w:szCs w:val="1"/>
                <w:color w:val="auto"/>
              </w:rPr>
            </w:pPr>
          </w:p>
        </w:tc>
      </w:tr>
      <w:tr>
        <w:trPr>
          <w:trHeight w:val="207"/>
        </w:trPr>
        <w:tc>
          <w:tcPr>
            <w:tcW w:w="56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Class H Special Shares</w:t>
            </w:r>
          </w:p>
        </w:tc>
        <w:tc>
          <w:tcPr>
            <w:tcW w:w="220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25,000,000, with no par value</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22,241,179</w:t>
            </w: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Class I Special Shares</w:t>
            </w:r>
          </w:p>
        </w:tc>
        <w:tc>
          <w:tcPr>
            <w:tcW w:w="2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500,000, with no par value</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7"/>
        </w:trPr>
        <w:tc>
          <w:tcPr>
            <w:tcW w:w="56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Class J Special Shares</w:t>
            </w:r>
          </w:p>
        </w:tc>
        <w:tc>
          <w:tcPr>
            <w:tcW w:w="2200" w:type="dxa"/>
            <w:vAlign w:val="bottom"/>
            <w:gridSpan w:val="2"/>
            <w:shd w:val="clear" w:color="auto" w:fill="CBEBF4"/>
          </w:tcPr>
          <w:p>
            <w:pPr>
              <w:jc w:val="center"/>
              <w:ind w:right="140"/>
              <w:spacing w:after="0"/>
              <w:rPr>
                <w:sz w:val="20"/>
                <w:szCs w:val="20"/>
                <w:color w:val="auto"/>
              </w:rPr>
            </w:pPr>
            <w:r>
              <w:rPr>
                <w:rFonts w:ascii="Times New Roman" w:cs="Times New Roman" w:eastAsia="Times New Roman" w:hAnsi="Times New Roman"/>
                <w:sz w:val="17"/>
                <w:szCs w:val="17"/>
                <w:color w:val="auto"/>
              </w:rPr>
              <w:t>741,000, with no par value</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741,000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color w:val="auto"/>
        </w:rPr>
        <w:t>The holders of the Company’s common shares are entitled to one vote for each common share held.</w:t>
      </w:r>
    </w:p>
    <w:p>
      <w:pPr>
        <w:spacing w:after="0" w:line="200" w:lineRule="exact"/>
        <w:rPr>
          <w:sz w:val="20"/>
          <w:szCs w:val="20"/>
          <w:color w:val="auto"/>
        </w:rPr>
      </w:pPr>
    </w:p>
    <w:p>
      <w:pPr>
        <w:spacing w:after="0" w:line="2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789" name="Shape 7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789" o:spid="_x0000_s18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47pt"/>
            </w:pict>
          </mc:Fallback>
        </mc:AlternateContent>
      </w:r>
    </w:p>
    <w:p>
      <w:pPr>
        <w:sectPr>
          <w:pgSz w:w="12240" w:h="15840" w:orient="portrait"/>
          <w:cols w:equalWidth="0" w:num="1">
            <w:col w:w="9606"/>
          </w:cols>
          <w:pgMar w:left="1314" w:top="1324" w:right="1320" w:bottom="1440" w:gutter="0" w:footer="0" w:header="0"/>
        </w:sectPr>
      </w:pPr>
    </w:p>
    <w:bookmarkStart w:id="152" w:name="page153"/>
    <w:bookmarkEnd w:id="152"/>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790" name="Shape 7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90" o:spid="_x0000_s18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791" name="Shape 7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91" o:spid="_x0000_s18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792" name="Shape 7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792" o:spid="_x0000_s181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793" name="Shape 7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793" o:spid="_x0000_s18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06" w:firstLine="1"/>
        <w:spacing w:after="0" w:line="276" w:lineRule="auto"/>
        <w:rPr>
          <w:sz w:val="20"/>
          <w:szCs w:val="20"/>
          <w:color w:val="auto"/>
        </w:rPr>
      </w:pPr>
      <w:r>
        <w:rPr>
          <w:rFonts w:ascii="Times New Roman" w:cs="Times New Roman" w:eastAsia="Times New Roman" w:hAnsi="Times New Roman"/>
          <w:sz w:val="17"/>
          <w:szCs w:val="17"/>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w:t>
      </w:r>
    </w:p>
    <w:p>
      <w:pPr>
        <w:spacing w:after="0" w:line="155"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color w:val="auto"/>
        </w:rPr>
        <w:t>Below is a summary of the Special Shares and their respective vesting thresholds, assuming the full amount of Special Shares from</w:t>
      </w:r>
    </w:p>
    <w:p>
      <w:pPr>
        <w:spacing w:after="0" w:line="12"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color w:val="auto"/>
        </w:rPr>
        <w:t>Rollover Options are issued:</w:t>
      </w:r>
    </w:p>
    <w:p>
      <w:pPr>
        <w:spacing w:after="0" w:line="240" w:lineRule="exact"/>
        <w:rPr>
          <w:sz w:val="20"/>
          <w:szCs w:val="20"/>
          <w:color w:val="auto"/>
        </w:rPr>
      </w:pPr>
    </w:p>
    <w:tbl>
      <w:tblPr>
        <w:tblLayout w:type="fixed"/>
        <w:tblInd w:w="326" w:type="dxa"/>
        <w:tblCellMar>
          <w:top w:w="0" w:type="dxa"/>
          <w:left w:w="0" w:type="dxa"/>
          <w:bottom w:w="0" w:type="dxa"/>
          <w:right w:w="0" w:type="dxa"/>
        </w:tblCellMar>
      </w:tblPr>
      <w:tr>
        <w:trPr>
          <w:trHeight w:val="174"/>
        </w:trPr>
        <w:tc>
          <w:tcPr>
            <w:tcW w:w="2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Special Share Class</w:t>
            </w:r>
          </w:p>
        </w:tc>
        <w:tc>
          <w:tcPr>
            <w:tcW w:w="12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E</w:t>
            </w:r>
          </w:p>
        </w:tc>
        <w:tc>
          <w:tcPr>
            <w:tcW w:w="5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w:t>
            </w:r>
          </w:p>
        </w:tc>
        <w:tc>
          <w:tcPr>
            <w:tcW w:w="5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G</w:t>
            </w:r>
          </w:p>
        </w:tc>
        <w:tc>
          <w:tcPr>
            <w:tcW w:w="5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H</w:t>
            </w:r>
          </w:p>
        </w:tc>
        <w:tc>
          <w:tcPr>
            <w:tcW w:w="5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J</w:t>
            </w:r>
          </w:p>
        </w:tc>
      </w:tr>
      <w:tr>
        <w:trPr>
          <w:trHeight w:val="220"/>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Share Trigger price ($)</w:t>
            </w: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15</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75</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100</w:t>
            </w: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150</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200</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50</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12</w:t>
            </w:r>
          </w:p>
        </w:tc>
      </w:tr>
      <w:tr>
        <w:trPr>
          <w:trHeight w:val="232"/>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Special Shares (million)</w:t>
            </w:r>
          </w:p>
        </w:tc>
        <w:tc>
          <w:tcPr>
            <w:tcW w:w="128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c>
          <w:tcPr>
            <w:tcW w:w="56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25</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25</w:t>
            </w: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0.5</w:t>
            </w:r>
          </w:p>
        </w:tc>
        <w:tc>
          <w:tcPr>
            <w:tcW w:w="380" w:type="dxa"/>
            <w:vAlign w:val="bottom"/>
          </w:tcPr>
          <w:p>
            <w:pPr>
              <w:jc w:val="center"/>
              <w:ind w:left="99"/>
              <w:spacing w:after="0"/>
              <w:rPr>
                <w:sz w:val="20"/>
                <w:szCs w:val="20"/>
                <w:color w:val="auto"/>
              </w:rPr>
            </w:pPr>
            <w:r>
              <w:rPr>
                <w:rFonts w:ascii="Times New Roman" w:cs="Times New Roman" w:eastAsia="Times New Roman" w:hAnsi="Times New Roman"/>
                <w:sz w:val="17"/>
                <w:szCs w:val="17"/>
                <w:color w:val="auto"/>
                <w:w w:val="93"/>
              </w:rPr>
              <w:t>0.7</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193675</wp:posOffset>
                </wp:positionH>
                <wp:positionV relativeFrom="paragraph">
                  <wp:posOffset>-279400</wp:posOffset>
                </wp:positionV>
                <wp:extent cx="5238750" cy="139700"/>
                <wp:wrapNone/>
                <wp:docPr id="794" name="Shape 7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8750" cy="139700"/>
                        </a:xfrm>
                        <a:prstGeom prst="rect">
                          <a:avLst/>
                        </a:prstGeom>
                        <a:solidFill>
                          <a:srgbClr val="CBEBF4"/>
                        </a:solidFill>
                      </wps:spPr>
                      <wps:bodyPr/>
                    </wps:wsp>
                  </a:graphicData>
                </a:graphic>
              </wp:anchor>
            </w:drawing>
          </mc:Choice>
          <mc:Fallback>
            <w:pict>
              <v:rect id="Shape 794" o:spid="_x0000_s1819" style="position:absolute;margin-left:15.25pt;margin-top:-22pt;width:412.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5432425</wp:posOffset>
                </wp:positionH>
                <wp:positionV relativeFrom="paragraph">
                  <wp:posOffset>-279400</wp:posOffset>
                </wp:positionV>
                <wp:extent cx="353695" cy="139700"/>
                <wp:wrapNone/>
                <wp:docPr id="795" name="Shape 7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3695" cy="139700"/>
                        </a:xfrm>
                        <a:prstGeom prst="rect">
                          <a:avLst/>
                        </a:prstGeom>
                        <a:solidFill>
                          <a:srgbClr val="CBEBF4"/>
                        </a:solidFill>
                      </wps:spPr>
                      <wps:bodyPr/>
                    </wps:wsp>
                  </a:graphicData>
                </a:graphic>
              </wp:anchor>
            </w:drawing>
          </mc:Choice>
          <mc:Fallback>
            <w:pict>
              <v:rect id="Shape 795" o:spid="_x0000_s1820" style="position:absolute;margin-left:427.75pt;margin-top:-22pt;width:27.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BEBF4" stroked="f"/>
            </w:pict>
          </mc:Fallback>
        </mc:AlternateContent>
        <mc:AlternateContent>
          <mc:Choice Requires="wps">
            <w:drawing>
              <wp:anchor simplePos="0" relativeHeight="251657728" behindDoc="1" locked="0" layoutInCell="0" allowOverlap="1">
                <wp:simplePos x="0" y="0"/>
                <wp:positionH relativeFrom="column">
                  <wp:posOffset>193675</wp:posOffset>
                </wp:positionH>
                <wp:positionV relativeFrom="paragraph">
                  <wp:posOffset>3810</wp:posOffset>
                </wp:positionV>
                <wp:extent cx="5600700" cy="0"/>
                <wp:wrapNone/>
                <wp:docPr id="796" name="Shape 7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0" cy="4763"/>
                        </a:xfrm>
                        <a:prstGeom prst="line">
                          <a:avLst/>
                        </a:prstGeom>
                        <a:solidFill>
                          <a:srgbClr val="FFFFFF"/>
                        </a:solidFill>
                        <a:ln w="8227">
                          <a:solidFill>
                            <a:srgbClr val="000000"/>
                          </a:solidFill>
                          <a:miter lim="800000"/>
                          <a:headEnd/>
                          <a:tailEnd/>
                        </a:ln>
                      </wps:spPr>
                      <wps:bodyPr/>
                    </wps:wsp>
                  </a:graphicData>
                </a:graphic>
              </wp:anchor>
            </w:drawing>
          </mc:Choice>
          <mc:Fallback>
            <w:pict>
              <v:line id="Shape 796" o:spid="_x0000_s18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0.3pt" to="456.25pt,0.3pt" o:allowincell="f" strokecolor="#000000" strokeweight="0.6478pt"/>
            </w:pict>
          </mc:Fallback>
        </mc:AlternateContent>
        <mc:AlternateContent>
          <mc:Choice Requires="wps">
            <w:drawing>
              <wp:anchor simplePos="0" relativeHeight="251657728" behindDoc="1" locked="0" layoutInCell="0" allowOverlap="1">
                <wp:simplePos x="0" y="0"/>
                <wp:positionH relativeFrom="column">
                  <wp:posOffset>193675</wp:posOffset>
                </wp:positionH>
                <wp:positionV relativeFrom="paragraph">
                  <wp:posOffset>-135255</wp:posOffset>
                </wp:positionV>
                <wp:extent cx="5600700" cy="0"/>
                <wp:wrapNone/>
                <wp:docPr id="797" name="Shape 7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0" cy="4763"/>
                        </a:xfrm>
                        <a:prstGeom prst="line">
                          <a:avLst/>
                        </a:prstGeom>
                        <a:solidFill>
                          <a:srgbClr val="FFFFFF"/>
                        </a:solidFill>
                        <a:ln w="8238">
                          <a:solidFill>
                            <a:srgbClr val="000000"/>
                          </a:solidFill>
                          <a:miter lim="800000"/>
                          <a:headEnd/>
                          <a:tailEnd/>
                        </a:ln>
                      </wps:spPr>
                      <wps:bodyPr/>
                    </wps:wsp>
                  </a:graphicData>
                </a:graphic>
              </wp:anchor>
            </w:drawing>
          </mc:Choice>
          <mc:Fallback>
            <w:pict>
              <v:line id="Shape 797" o:spid="_x0000_s18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10.6499pt" to="456.25pt,-10.6499pt" o:allowincell="f" strokecolor="#000000" strokeweight="0.6487pt"/>
            </w:pict>
          </mc:Fallback>
        </mc:AlternateContent>
        <mc:AlternateContent>
          <mc:Choice Requires="wps">
            <w:drawing>
              <wp:anchor simplePos="0" relativeHeight="251657728" behindDoc="1" locked="0" layoutInCell="0" allowOverlap="1">
                <wp:simplePos x="0" y="0"/>
                <wp:positionH relativeFrom="column">
                  <wp:posOffset>193675</wp:posOffset>
                </wp:positionH>
                <wp:positionV relativeFrom="paragraph">
                  <wp:posOffset>-390525</wp:posOffset>
                </wp:positionV>
                <wp:extent cx="5600700" cy="0"/>
                <wp:wrapNone/>
                <wp:docPr id="798" name="Shape 7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0" cy="4763"/>
                        </a:xfrm>
                        <a:prstGeom prst="line">
                          <a:avLst/>
                        </a:prstGeom>
                        <a:solidFill>
                          <a:srgbClr val="FFFFFF"/>
                        </a:solidFill>
                        <a:ln w="8238">
                          <a:solidFill>
                            <a:srgbClr val="000000"/>
                          </a:solidFill>
                          <a:miter lim="800000"/>
                          <a:headEnd/>
                          <a:tailEnd/>
                        </a:ln>
                      </wps:spPr>
                      <wps:bodyPr/>
                    </wps:wsp>
                  </a:graphicData>
                </a:graphic>
              </wp:anchor>
            </w:drawing>
          </mc:Choice>
          <mc:Fallback>
            <w:pict>
              <v:line id="Shape 798" o:spid="_x0000_s18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30.7499pt" to="456.25pt,-30.7499pt" o:allowincell="f" strokecolor="#000000" strokeweight="0.6487pt"/>
            </w:pict>
          </mc:Fallback>
        </mc:AlternateContent>
        <mc:AlternateContent>
          <mc:Choice Requires="wps">
            <w:drawing>
              <wp:anchor simplePos="0" relativeHeight="251657728" behindDoc="1" locked="0" layoutInCell="0" allowOverlap="1">
                <wp:simplePos x="0" y="0"/>
                <wp:positionH relativeFrom="column">
                  <wp:posOffset>193675</wp:posOffset>
                </wp:positionH>
                <wp:positionV relativeFrom="paragraph">
                  <wp:posOffset>-275590</wp:posOffset>
                </wp:positionV>
                <wp:extent cx="5600700" cy="0"/>
                <wp:wrapNone/>
                <wp:docPr id="799" name="Shape 7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0700" cy="4763"/>
                        </a:xfrm>
                        <a:prstGeom prst="line">
                          <a:avLst/>
                        </a:prstGeom>
                        <a:solidFill>
                          <a:srgbClr val="FFFFFF"/>
                        </a:solidFill>
                        <a:ln w="8227">
                          <a:solidFill>
                            <a:srgbClr val="000000"/>
                          </a:solidFill>
                          <a:miter lim="800000"/>
                          <a:headEnd/>
                          <a:tailEnd/>
                        </a:ln>
                      </wps:spPr>
                      <wps:bodyPr/>
                    </wps:wsp>
                  </a:graphicData>
                </a:graphic>
              </wp:anchor>
            </w:drawing>
          </mc:Choice>
          <mc:Fallback>
            <w:pict>
              <v:line id="Shape 799" o:spid="_x0000_s18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25pt,-21.6999pt" to="456.25pt,-21.6999pt" o:allowincell="f" strokecolor="#000000" strokeweight="0.6478pt"/>
            </w:pict>
          </mc:Fallback>
        </mc:AlternateContent>
        <mc:AlternateContent>
          <mc:Choice Requires="wps">
            <w:drawing>
              <wp:anchor simplePos="0" relativeHeight="251657728" behindDoc="1" locked="0" layoutInCell="0" allowOverlap="1">
                <wp:simplePos x="0" y="0"/>
                <wp:positionH relativeFrom="column">
                  <wp:posOffset>5790565</wp:posOffset>
                </wp:positionH>
                <wp:positionV relativeFrom="paragraph">
                  <wp:posOffset>-394970</wp:posOffset>
                </wp:positionV>
                <wp:extent cx="0" cy="402590"/>
                <wp:wrapNone/>
                <wp:docPr id="800" name="Shape 8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0" o:spid="_x0000_s18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95pt,-31.0999pt" to="455.9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5436870</wp:posOffset>
                </wp:positionH>
                <wp:positionV relativeFrom="paragraph">
                  <wp:posOffset>-394970</wp:posOffset>
                </wp:positionV>
                <wp:extent cx="0" cy="402590"/>
                <wp:wrapNone/>
                <wp:docPr id="801" name="Shape 8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21">
                          <a:solidFill>
                            <a:srgbClr val="000000"/>
                          </a:solidFill>
                          <a:miter lim="800000"/>
                          <a:headEnd/>
                          <a:tailEnd/>
                        </a:ln>
                      </wps:spPr>
                      <wps:bodyPr/>
                    </wps:wsp>
                  </a:graphicData>
                </a:graphic>
              </wp:anchor>
            </w:drawing>
          </mc:Choice>
          <mc:Fallback>
            <w:pict>
              <v:line id="Shape 801" o:spid="_x0000_s18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8.1pt,-31.0999pt" to="428.1pt,0.6pt" o:allowincell="f" strokecolor="#000000" strokeweight="0.6473pt"/>
            </w:pict>
          </mc:Fallback>
        </mc:AlternateContent>
        <mc:AlternateContent>
          <mc:Choice Requires="wps">
            <w:drawing>
              <wp:anchor simplePos="0" relativeHeight="251657728" behindDoc="1" locked="0" layoutInCell="0" allowOverlap="1">
                <wp:simplePos x="0" y="0"/>
                <wp:positionH relativeFrom="column">
                  <wp:posOffset>5083175</wp:posOffset>
                </wp:positionH>
                <wp:positionV relativeFrom="paragraph">
                  <wp:posOffset>-394970</wp:posOffset>
                </wp:positionV>
                <wp:extent cx="0" cy="402590"/>
                <wp:wrapNone/>
                <wp:docPr id="802" name="Shape 8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21">
                          <a:solidFill>
                            <a:srgbClr val="000000"/>
                          </a:solidFill>
                          <a:miter lim="800000"/>
                          <a:headEnd/>
                          <a:tailEnd/>
                        </a:ln>
                      </wps:spPr>
                      <wps:bodyPr/>
                    </wps:wsp>
                  </a:graphicData>
                </a:graphic>
              </wp:anchor>
            </w:drawing>
          </mc:Choice>
          <mc:Fallback>
            <w:pict>
              <v:line id="Shape 802" o:spid="_x0000_s18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0.25pt,-31.0999pt" to="400.25pt,0.6pt" o:allowincell="f" strokecolor="#000000" strokeweight="0.6473pt"/>
            </w:pict>
          </mc:Fallback>
        </mc:AlternateContent>
        <mc:AlternateContent>
          <mc:Choice Requires="wps">
            <w:drawing>
              <wp:anchor simplePos="0" relativeHeight="251657728" behindDoc="1" locked="0" layoutInCell="0" allowOverlap="1">
                <wp:simplePos x="0" y="0"/>
                <wp:positionH relativeFrom="column">
                  <wp:posOffset>4737735</wp:posOffset>
                </wp:positionH>
                <wp:positionV relativeFrom="paragraph">
                  <wp:posOffset>-394970</wp:posOffset>
                </wp:positionV>
                <wp:extent cx="0" cy="402590"/>
                <wp:wrapNone/>
                <wp:docPr id="803" name="Shape 8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3" o:spid="_x0000_s18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05pt,-31.0999pt" to="373.0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4392295</wp:posOffset>
                </wp:positionH>
                <wp:positionV relativeFrom="paragraph">
                  <wp:posOffset>-394970</wp:posOffset>
                </wp:positionV>
                <wp:extent cx="0" cy="402590"/>
                <wp:wrapNone/>
                <wp:docPr id="804" name="Shape 8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4" o:spid="_x0000_s18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85pt,-31.0999pt" to="345.8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4046855</wp:posOffset>
                </wp:positionH>
                <wp:positionV relativeFrom="paragraph">
                  <wp:posOffset>-394970</wp:posOffset>
                </wp:positionV>
                <wp:extent cx="0" cy="402590"/>
                <wp:wrapNone/>
                <wp:docPr id="805" name="Shape 8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21">
                          <a:solidFill>
                            <a:srgbClr val="000000"/>
                          </a:solidFill>
                          <a:miter lim="800000"/>
                          <a:headEnd/>
                          <a:tailEnd/>
                        </a:ln>
                      </wps:spPr>
                      <wps:bodyPr/>
                    </wps:wsp>
                  </a:graphicData>
                </a:graphic>
              </wp:anchor>
            </w:drawing>
          </mc:Choice>
          <mc:Fallback>
            <w:pict>
              <v:line id="Shape 805" o:spid="_x0000_s18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65pt,-31.0999pt" to="318.65pt,0.6pt" o:allowincell="f" strokecolor="#000000" strokeweight="0.6473pt"/>
            </w:pict>
          </mc:Fallback>
        </mc:AlternateContent>
        <mc:AlternateContent>
          <mc:Choice Requires="wps">
            <w:drawing>
              <wp:anchor simplePos="0" relativeHeight="251657728" behindDoc="1" locked="0" layoutInCell="0" allowOverlap="1">
                <wp:simplePos x="0" y="0"/>
                <wp:positionH relativeFrom="column">
                  <wp:posOffset>3701415</wp:posOffset>
                </wp:positionH>
                <wp:positionV relativeFrom="paragraph">
                  <wp:posOffset>-394970</wp:posOffset>
                </wp:positionV>
                <wp:extent cx="0" cy="402590"/>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6" o:spid="_x0000_s18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45pt,-31.0999pt" to="291.4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3355975</wp:posOffset>
                </wp:positionH>
                <wp:positionV relativeFrom="paragraph">
                  <wp:posOffset>-394970</wp:posOffset>
                </wp:positionV>
                <wp:extent cx="0" cy="402590"/>
                <wp:wrapNone/>
                <wp:docPr id="807" name="Shape 8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7" o:spid="_x0000_s18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25pt,-31.0999pt" to="264.2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3010535</wp:posOffset>
                </wp:positionH>
                <wp:positionV relativeFrom="paragraph">
                  <wp:posOffset>-394970</wp:posOffset>
                </wp:positionV>
                <wp:extent cx="0" cy="402590"/>
                <wp:wrapNone/>
                <wp:docPr id="808" name="Shape 8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8" o:spid="_x0000_s18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05pt,-31.0999pt" to="237.0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2665095</wp:posOffset>
                </wp:positionH>
                <wp:positionV relativeFrom="paragraph">
                  <wp:posOffset>-394970</wp:posOffset>
                </wp:positionV>
                <wp:extent cx="0" cy="40259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85pt,-31.0999pt" to="209.8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197485</wp:posOffset>
                </wp:positionH>
                <wp:positionV relativeFrom="paragraph">
                  <wp:posOffset>-394970</wp:posOffset>
                </wp:positionV>
                <wp:extent cx="0" cy="402590"/>
                <wp:wrapNone/>
                <wp:docPr id="810" name="Shape 8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32">
                          <a:solidFill>
                            <a:srgbClr val="000000"/>
                          </a:solidFill>
                          <a:miter lim="800000"/>
                          <a:headEnd/>
                          <a:tailEnd/>
                        </a:ln>
                      </wps:spPr>
                      <wps:bodyPr/>
                    </wps:wsp>
                  </a:graphicData>
                </a:graphic>
              </wp:anchor>
            </w:drawing>
          </mc:Choice>
          <mc:Fallback>
            <w:pict>
              <v:line id="Shape 810" o:spid="_x0000_s18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55pt,-31.0999pt" to="15.55pt,0.6pt" o:allowincell="f" strokecolor="#000000" strokeweight="0.6482pt"/>
            </w:pict>
          </mc:Fallback>
        </mc:AlternateContent>
        <mc:AlternateContent>
          <mc:Choice Requires="wps">
            <w:drawing>
              <wp:anchor simplePos="0" relativeHeight="251657728" behindDoc="1" locked="0" layoutInCell="0" allowOverlap="1">
                <wp:simplePos x="0" y="0"/>
                <wp:positionH relativeFrom="column">
                  <wp:posOffset>2319655</wp:posOffset>
                </wp:positionH>
                <wp:positionV relativeFrom="paragraph">
                  <wp:posOffset>-394970</wp:posOffset>
                </wp:positionV>
                <wp:extent cx="0" cy="402590"/>
                <wp:wrapNone/>
                <wp:docPr id="811" name="Shape 8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02590"/>
                        </a:xfrm>
                        <a:prstGeom prst="line">
                          <a:avLst/>
                        </a:prstGeom>
                        <a:solidFill>
                          <a:srgbClr val="FFFFFF"/>
                        </a:solidFill>
                        <a:ln w="8221">
                          <a:solidFill>
                            <a:srgbClr val="000000"/>
                          </a:solidFill>
                          <a:miter lim="800000"/>
                          <a:headEnd/>
                          <a:tailEnd/>
                        </a:ln>
                      </wps:spPr>
                      <wps:bodyPr/>
                    </wps:wsp>
                  </a:graphicData>
                </a:graphic>
              </wp:anchor>
            </w:drawing>
          </mc:Choice>
          <mc:Fallback>
            <w:pict>
              <v:line id="Shape 811" o:spid="_x0000_s18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65pt,-31.0999pt" to="182.65pt,0.6pt" o:allowincell="f" strokecolor="#000000" strokeweight="0.6473pt"/>
            </w:pict>
          </mc:Fallback>
        </mc:AlternateContent>
      </w:r>
    </w:p>
    <w:p>
      <w:pPr>
        <w:spacing w:after="0" w:line="176" w:lineRule="exact"/>
        <w:rPr>
          <w:sz w:val="20"/>
          <w:szCs w:val="20"/>
          <w:color w:val="auto"/>
        </w:rPr>
      </w:pPr>
    </w:p>
    <w:p>
      <w:pPr>
        <w:ind w:left="306"/>
        <w:spacing w:after="0" w:line="298" w:lineRule="auto"/>
        <w:rPr>
          <w:sz w:val="20"/>
          <w:szCs w:val="20"/>
          <w:color w:val="auto"/>
        </w:rPr>
      </w:pPr>
      <w:r>
        <w:rPr>
          <w:rFonts w:ascii="Times New Roman" w:cs="Times New Roman" w:eastAsia="Times New Roman" w:hAnsi="Times New Roman"/>
          <w:sz w:val="17"/>
          <w:szCs w:val="17"/>
          <w:color w:val="auto"/>
        </w:rPr>
        <w:t>As the Special Shares meet the indexation and equity classification criteria under ASC 815-40, the Special Shares have been classified as equity instruments at issuance.</w:t>
      </w:r>
    </w:p>
    <w:p>
      <w:pPr>
        <w:spacing w:after="0" w:line="134"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b w:val="1"/>
          <w:bCs w:val="1"/>
          <w:color w:val="auto"/>
        </w:rPr>
        <w:t>Common Share Continuity</w:t>
      </w:r>
    </w:p>
    <w:p>
      <w:pPr>
        <w:spacing w:after="0" w:line="230" w:lineRule="exact"/>
        <w:rPr>
          <w:sz w:val="20"/>
          <w:szCs w:val="20"/>
          <w:color w:val="auto"/>
        </w:rPr>
      </w:pPr>
    </w:p>
    <w:tbl>
      <w:tblPr>
        <w:tblLayout w:type="fixed"/>
        <w:tblInd w:w="306" w:type="dxa"/>
        <w:tblCellMar>
          <w:top w:w="0" w:type="dxa"/>
          <w:left w:w="0" w:type="dxa"/>
          <w:bottom w:w="0" w:type="dxa"/>
          <w:right w:w="0" w:type="dxa"/>
        </w:tblCellMar>
      </w:tblPr>
      <w:tr>
        <w:trPr>
          <w:trHeight w:val="172"/>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0"/>
        </w:trPr>
        <w:tc>
          <w:tcPr>
            <w:tcW w:w="642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December 31, 2021</w:t>
            </w:r>
          </w:p>
        </w:tc>
        <w:tc>
          <w:tcPr>
            <w:tcW w:w="180" w:type="dxa"/>
            <w:vAlign w:val="bottom"/>
            <w:tcBorders>
              <w:top w:val="single" w:sz="8" w:color="CBEBF4"/>
            </w:tcBorders>
            <w:shd w:val="clear" w:color="auto" w:fill="CBEBF4"/>
          </w:tcPr>
          <w:p>
            <w:pPr>
              <w:spacing w:after="0"/>
              <w:rPr>
                <w:sz w:val="17"/>
                <w:szCs w:val="17"/>
                <w:color w:val="auto"/>
              </w:rPr>
            </w:pPr>
          </w:p>
        </w:tc>
        <w:tc>
          <w:tcPr>
            <w:tcW w:w="9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225,432,493</w:t>
            </w:r>
          </w:p>
        </w:tc>
        <w:tc>
          <w:tcPr>
            <w:tcW w:w="180" w:type="dxa"/>
            <w:vAlign w:val="bottom"/>
            <w:tcBorders>
              <w:top w:val="single" w:sz="8" w:color="CBEBF4"/>
            </w:tcBorders>
            <w:shd w:val="clear" w:color="auto" w:fill="CBEBF4"/>
          </w:tcPr>
          <w:p>
            <w:pPr>
              <w:spacing w:after="0"/>
              <w:rPr>
                <w:sz w:val="17"/>
                <w:szCs w:val="17"/>
                <w:color w:val="auto"/>
              </w:rPr>
            </w:pPr>
          </w:p>
        </w:tc>
        <w:tc>
          <w:tcPr>
            <w:tcW w:w="300" w:type="dxa"/>
            <w:vAlign w:val="bottom"/>
            <w:tcBorders>
              <w:top w:val="single" w:sz="8" w:color="auto"/>
            </w:tcBorders>
            <w:shd w:val="clear" w:color="auto" w:fill="CBEBF4"/>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296,051</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Issuance of shares under PIPE financing </w:t>
            </w:r>
            <w:r>
              <w:rPr>
                <w:rFonts w:ascii="Times New Roman" w:cs="Times New Roman" w:eastAsia="Times New Roman" w:hAnsi="Times New Roman"/>
                <w:sz w:val="17"/>
                <w:szCs w:val="17"/>
                <w:i w:val="1"/>
                <w:iCs w:val="1"/>
                <w:color w:val="auto"/>
              </w:rPr>
              <w:t>(Note 12)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38,266,180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29,621</w:t>
            </w:r>
          </w:p>
        </w:tc>
      </w:tr>
      <w:tr>
        <w:trPr>
          <w:trHeight w:val="207"/>
        </w:trPr>
        <w:tc>
          <w:tcPr>
            <w:tcW w:w="660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 xml:space="preserve">Exercise of stock options </w:t>
            </w:r>
            <w:r>
              <w:rPr>
                <w:rFonts w:ascii="Times New Roman" w:cs="Times New Roman" w:eastAsia="Times New Roman" w:hAnsi="Times New Roman"/>
                <w:sz w:val="17"/>
                <w:szCs w:val="17"/>
                <w:i w:val="1"/>
                <w:iCs w:val="1"/>
                <w:color w:val="auto"/>
              </w:rPr>
              <w:t>(Note 15)</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118,461</w:t>
            </w:r>
          </w:p>
        </w:tc>
        <w:tc>
          <w:tcPr>
            <w:tcW w:w="18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Conversion of restricted share units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2,877,068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6,875</w:t>
            </w:r>
          </w:p>
        </w:tc>
      </w:tr>
      <w:tr>
        <w:trPr>
          <w:trHeight w:val="207"/>
        </w:trPr>
        <w:tc>
          <w:tcPr>
            <w:tcW w:w="660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 xml:space="preserve">Share purchase under Employee Stock Purchase Plan </w:t>
            </w:r>
            <w:r>
              <w:rPr>
                <w:rFonts w:ascii="Times New Roman" w:cs="Times New Roman" w:eastAsia="Times New Roman" w:hAnsi="Times New Roman"/>
                <w:sz w:val="17"/>
                <w:szCs w:val="17"/>
                <w:i w:val="1"/>
                <w:iCs w:val="1"/>
                <w:color w:val="auto"/>
              </w:rPr>
              <w:t>(Note 15)</w:t>
            </w:r>
          </w:p>
        </w:tc>
        <w:tc>
          <w:tcPr>
            <w:tcW w:w="9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117,929</w:t>
            </w:r>
          </w:p>
        </w:tc>
        <w:tc>
          <w:tcPr>
            <w:tcW w:w="180" w:type="dxa"/>
            <w:vAlign w:val="bottom"/>
            <w:shd w:val="clear" w:color="auto" w:fill="CBEBF4"/>
          </w:tcPr>
          <w:p>
            <w:pPr>
              <w:spacing w:after="0"/>
              <w:rPr>
                <w:sz w:val="18"/>
                <w:szCs w:val="18"/>
                <w:color w:val="auto"/>
              </w:rPr>
            </w:pPr>
          </w:p>
        </w:tc>
        <w:tc>
          <w:tcPr>
            <w:tcW w:w="300" w:type="dxa"/>
            <w:vAlign w:val="bottom"/>
            <w:tcBorders>
              <w:bottom w:val="single" w:sz="8" w:color="auto"/>
            </w:tcBorders>
            <w:shd w:val="clear" w:color="auto" w:fill="CBEBF4"/>
          </w:tcPr>
          <w:p>
            <w:pPr>
              <w:spacing w:after="0"/>
              <w:rPr>
                <w:sz w:val="18"/>
                <w:szCs w:val="18"/>
                <w:color w:val="auto"/>
              </w:rPr>
            </w:pPr>
          </w:p>
        </w:tc>
        <w:tc>
          <w:tcPr>
            <w:tcW w:w="8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00"/>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266,812,131</w:t>
            </w:r>
          </w:p>
        </w:tc>
        <w:tc>
          <w:tcPr>
            <w:tcW w:w="180" w:type="dxa"/>
            <w:vAlign w:val="bottom"/>
          </w:tcPr>
          <w:p>
            <w:pPr>
              <w:spacing w:after="0"/>
              <w:rPr>
                <w:sz w:val="17"/>
                <w:szCs w:val="17"/>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332,882</w:t>
            </w:r>
          </w:p>
        </w:tc>
      </w:tr>
      <w:tr>
        <w:trPr>
          <w:trHeight w:val="207"/>
        </w:trPr>
        <w:tc>
          <w:tcPr>
            <w:tcW w:w="660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 xml:space="preserve">Issuance of shares under Registered Direct Offering </w:t>
            </w:r>
            <w:r>
              <w:rPr>
                <w:rFonts w:ascii="Times New Roman" w:cs="Times New Roman" w:eastAsia="Times New Roman" w:hAnsi="Times New Roman"/>
                <w:sz w:val="17"/>
                <w:szCs w:val="17"/>
                <w:i w:val="1"/>
                <w:iCs w:val="1"/>
                <w:color w:val="auto"/>
              </w:rPr>
              <w:t>(Note 12)</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7,961,540</w:t>
            </w:r>
          </w:p>
        </w:tc>
        <w:tc>
          <w:tcPr>
            <w:tcW w:w="18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11,420</w:t>
            </w:r>
          </w:p>
        </w:tc>
      </w:tr>
      <w:tr>
        <w:trPr>
          <w:trHeight w:val="220"/>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Exercise of warrant by Allseas </w:t>
            </w:r>
            <w:r>
              <w:rPr>
                <w:rFonts w:ascii="Times New Roman" w:cs="Times New Roman" w:eastAsia="Times New Roman" w:hAnsi="Times New Roman"/>
                <w:sz w:val="17"/>
                <w:szCs w:val="17"/>
                <w:i w:val="1"/>
                <w:iCs w:val="1"/>
                <w:color w:val="auto"/>
              </w:rPr>
              <w:t>(Note 13)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11,578,620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70,016</w:t>
            </w:r>
          </w:p>
        </w:tc>
      </w:tr>
      <w:tr>
        <w:trPr>
          <w:trHeight w:val="207"/>
        </w:trPr>
        <w:tc>
          <w:tcPr>
            <w:tcW w:w="660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 xml:space="preserve">Shares issued to Allseas </w:t>
            </w:r>
            <w:r>
              <w:rPr>
                <w:rFonts w:ascii="Times New Roman" w:cs="Times New Roman" w:eastAsia="Times New Roman" w:hAnsi="Times New Roman"/>
                <w:sz w:val="17"/>
                <w:szCs w:val="17"/>
                <w:i w:val="1"/>
                <w:iCs w:val="1"/>
                <w:color w:val="auto"/>
              </w:rPr>
              <w:t>(Notes 8)</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15,000,000</w:t>
            </w:r>
          </w:p>
        </w:tc>
        <w:tc>
          <w:tcPr>
            <w:tcW w:w="18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15,910</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Exercise of stock options </w:t>
            </w:r>
            <w:r>
              <w:rPr>
                <w:rFonts w:ascii="Times New Roman" w:cs="Times New Roman" w:eastAsia="Times New Roman" w:hAnsi="Times New Roman"/>
                <w:sz w:val="17"/>
                <w:szCs w:val="17"/>
                <w:i w:val="1"/>
                <w:iCs w:val="1"/>
                <w:color w:val="auto"/>
              </w:rPr>
              <w:t>(Note 15)</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07"/>
        </w:trPr>
        <w:tc>
          <w:tcPr>
            <w:tcW w:w="660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 xml:space="preserve">Conversion of restricted share units </w:t>
            </w:r>
            <w:r>
              <w:rPr>
                <w:rFonts w:ascii="Times New Roman" w:cs="Times New Roman" w:eastAsia="Times New Roman" w:hAnsi="Times New Roman"/>
                <w:sz w:val="17"/>
                <w:szCs w:val="17"/>
                <w:i w:val="1"/>
                <w:iCs w:val="1"/>
                <w:color w:val="auto"/>
              </w:rPr>
              <w:t>(Note 15)</w:t>
            </w:r>
          </w:p>
        </w:tc>
        <w:tc>
          <w:tcPr>
            <w:tcW w:w="9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4,912,747</w:t>
            </w:r>
          </w:p>
        </w:tc>
        <w:tc>
          <w:tcPr>
            <w:tcW w:w="180" w:type="dxa"/>
            <w:vAlign w:val="bottom"/>
            <w:shd w:val="clear" w:color="auto" w:fill="CBEBF4"/>
          </w:tcPr>
          <w:p>
            <w:pPr>
              <w:spacing w:after="0"/>
              <w:rPr>
                <w:sz w:val="18"/>
                <w:szCs w:val="18"/>
                <w:color w:val="auto"/>
              </w:rPr>
            </w:pPr>
          </w:p>
        </w:tc>
        <w:tc>
          <w:tcPr>
            <w:tcW w:w="300" w:type="dxa"/>
            <w:vAlign w:val="bottom"/>
            <w:shd w:val="clear" w:color="auto" w:fill="CBEBF4"/>
          </w:tcPr>
          <w:p>
            <w:pPr>
              <w:spacing w:after="0"/>
              <w:rPr>
                <w:sz w:val="18"/>
                <w:szCs w:val="18"/>
                <w:color w:val="auto"/>
              </w:rPr>
            </w:pP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7,720</w:t>
            </w:r>
          </w:p>
        </w:tc>
      </w:tr>
      <w:tr>
        <w:trPr>
          <w:trHeight w:val="207"/>
        </w:trPr>
        <w:tc>
          <w:tcPr>
            <w:tcW w:w="660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color w:val="auto"/>
              </w:rPr>
              <w:t xml:space="preserve">Share purchase under Employee Stock Purchase Plan </w:t>
            </w:r>
            <w:r>
              <w:rPr>
                <w:rFonts w:ascii="Times New Roman" w:cs="Times New Roman" w:eastAsia="Times New Roman" w:hAnsi="Times New Roman"/>
                <w:sz w:val="17"/>
                <w:szCs w:val="17"/>
                <w:i w:val="1"/>
                <w:iCs w:val="1"/>
                <w:color w:val="auto"/>
              </w:rPr>
              <w:t>(Note 15)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173,672</w:t>
            </w:r>
          </w:p>
        </w:tc>
        <w:tc>
          <w:tcPr>
            <w:tcW w:w="180" w:type="dxa"/>
            <w:vAlign w:val="bottom"/>
            <w:tcBorders>
              <w:bottom w:val="single" w:sz="8" w:color="CBEBF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r>
      <w:tr>
        <w:trPr>
          <w:trHeight w:val="200"/>
        </w:trPr>
        <w:tc>
          <w:tcPr>
            <w:tcW w:w="6600" w:type="dxa"/>
            <w:vAlign w:val="bottom"/>
            <w:tcBorders>
              <w:bottom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9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306,558,710</w:t>
            </w:r>
          </w:p>
        </w:tc>
        <w:tc>
          <w:tcPr>
            <w:tcW w:w="180" w:type="dxa"/>
            <w:vAlign w:val="bottom"/>
            <w:tcBorders>
              <w:bottom w:val="single" w:sz="8" w:color="CBEBF4"/>
            </w:tcBorders>
            <w:shd w:val="clear" w:color="auto" w:fill="CBEBF4"/>
          </w:tcPr>
          <w:p>
            <w:pPr>
              <w:spacing w:after="0"/>
              <w:rPr>
                <w:sz w:val="17"/>
                <w:szCs w:val="17"/>
                <w:color w:val="auto"/>
              </w:rPr>
            </w:pPr>
          </w:p>
        </w:tc>
        <w:tc>
          <w:tcPr>
            <w:tcW w:w="300" w:type="dxa"/>
            <w:vAlign w:val="bottom"/>
            <w:tcBorders>
              <w:bottom w:val="single" w:sz="8" w:color="auto"/>
            </w:tcBorders>
            <w:shd w:val="clear" w:color="auto" w:fill="CBEBF4"/>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438,239</w:t>
            </w:r>
          </w:p>
        </w:tc>
      </w:tr>
      <w:tr>
        <w:trPr>
          <w:trHeight w:val="20"/>
        </w:trPr>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06" w:hanging="306"/>
        <w:spacing w:after="0"/>
        <w:tabs>
          <w:tab w:leader="none" w:pos="306"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22" w:lineRule="exact"/>
        <w:rPr>
          <w:rFonts w:ascii="Times New Roman" w:cs="Times New Roman" w:eastAsia="Times New Roman" w:hAnsi="Times New Roman"/>
          <w:sz w:val="17"/>
          <w:szCs w:val="17"/>
          <w:b w:val="1"/>
          <w:bCs w:val="1"/>
          <w:color w:val="auto"/>
        </w:rPr>
      </w:pPr>
    </w:p>
    <w:p>
      <w:pPr>
        <w:jc w:val="both"/>
        <w:ind w:left="306"/>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2021 Incentive Equity Plan (the “Plan”) provides that the aggregate number of common shares reserved for future issuance under the Plan as of December 31, 2023, is 44,372,170 common shares, including 10,672,485 shares added to the Plan in January 2023 pursuant to the Plan’s automatic annual increase provision,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66"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Stock options</w:t>
      </w:r>
    </w:p>
    <w:p>
      <w:pPr>
        <w:spacing w:after="0" w:line="217" w:lineRule="exact"/>
        <w:rPr>
          <w:rFonts w:ascii="Times New Roman" w:cs="Times New Roman" w:eastAsia="Times New Roman" w:hAnsi="Times New Roman"/>
          <w:sz w:val="17"/>
          <w:szCs w:val="17"/>
          <w:b w:val="1"/>
          <w:bCs w:val="1"/>
          <w:color w:val="auto"/>
        </w:rPr>
      </w:pPr>
    </w:p>
    <w:p>
      <w:pPr>
        <w:jc w:val="both"/>
        <w:ind w:left="306" w:hanging="1"/>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w:t>
      </w:r>
    </w:p>
    <w:p>
      <w:pPr>
        <w:spacing w:after="0" w:line="36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812" name="Shape 8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812" o:spid="_x0000_s18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47pt"/>
            </w:pict>
          </mc:Fallback>
        </mc:AlternateContent>
      </w:r>
    </w:p>
    <w:p>
      <w:pPr>
        <w:sectPr>
          <w:pgSz w:w="12240" w:h="15840" w:orient="portrait"/>
          <w:cols w:equalWidth="0" w:num="1">
            <w:col w:w="9606"/>
          </w:cols>
          <w:pgMar w:left="1314" w:top="1324" w:right="1320" w:bottom="1440" w:gutter="0" w:footer="0" w:header="0"/>
        </w:sectPr>
      </w:pPr>
    </w:p>
    <w:bookmarkStart w:id="153" w:name="page154"/>
    <w:bookmarkEnd w:id="153"/>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13" name="Shape 8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13" o:spid="_x0000_s18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14" name="Shape 8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14" o:spid="_x0000_s18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15" name="Shape 8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15" o:spid="_x0000_s18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16" name="Shape 8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16" o:spid="_x0000_s18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As at December 31, 2023, there were 15,074,240 stock options outstanding under the Company’s Short-Term Incentive Plan (“STIP”) and 9,783,922 stock options outstanding under the Company’s Long-Term Incentive Plan (“LTIP”). The Company makes awards under the STIP and LTIP under its equity incentive plans in effect at the time of the award, which is currently the Plan.</w:t>
      </w:r>
    </w:p>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 new stock options were granted by the Company under the STIP or LTIP plans during 2023 and 2022.</w:t>
      </w: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Outstanding under STIP plan</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 continuity schedule summarizing the movements in the Company’s stock options under the STIP plan is as follows:</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10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price per</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68"/>
        </w:trPr>
        <w:tc>
          <w:tcPr>
            <w:tcW w:w="53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1"/>
        </w:trPr>
        <w:tc>
          <w:tcPr>
            <w:tcW w:w="53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Outstanding – December 31, 2021</w:t>
            </w:r>
          </w:p>
        </w:tc>
        <w:tc>
          <w:tcPr>
            <w:tcW w:w="8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15,503,748</w:t>
            </w:r>
          </w:p>
        </w:tc>
        <w:tc>
          <w:tcPr>
            <w:tcW w:w="140" w:type="dxa"/>
            <w:vAlign w:val="bottom"/>
            <w:tcBorders>
              <w:top w:val="single" w:sz="8" w:color="CBEBF4"/>
            </w:tcBorders>
            <w:shd w:val="clear" w:color="auto" w:fill="CBEBF4"/>
          </w:tcPr>
          <w:p>
            <w:pPr>
              <w:spacing w:after="0"/>
              <w:rPr>
                <w:sz w:val="17"/>
                <w:szCs w:val="17"/>
                <w:color w:val="auto"/>
              </w:rPr>
            </w:pPr>
          </w:p>
        </w:tc>
        <w:tc>
          <w:tcPr>
            <w:tcW w:w="1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17,415</w:t>
            </w:r>
          </w:p>
        </w:tc>
        <w:tc>
          <w:tcPr>
            <w:tcW w:w="140" w:type="dxa"/>
            <w:vAlign w:val="bottom"/>
            <w:tcBorders>
              <w:top w:val="single" w:sz="8" w:color="CBEBF4"/>
            </w:tcBorders>
            <w:shd w:val="clear" w:color="auto" w:fill="CBEBF4"/>
          </w:tcPr>
          <w:p>
            <w:pPr>
              <w:spacing w:after="0"/>
              <w:rPr>
                <w:sz w:val="17"/>
                <w:szCs w:val="17"/>
                <w:color w:val="auto"/>
              </w:rPr>
            </w:pPr>
          </w:p>
        </w:tc>
        <w:tc>
          <w:tcPr>
            <w:tcW w:w="7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6.33</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Cancelled/Forfeited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(28,947)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3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Exercised</w:t>
            </w:r>
          </w:p>
        </w:tc>
        <w:tc>
          <w:tcPr>
            <w:tcW w:w="1020" w:type="dxa"/>
            <w:vAlign w:val="bottom"/>
            <w:gridSpan w:val="2"/>
            <w:shd w:val="clear" w:color="auto" w:fill="CBEBF4"/>
          </w:tcPr>
          <w:p>
            <w:pPr>
              <w:jc w:val="right"/>
              <w:ind w:right="140"/>
              <w:spacing w:after="0"/>
              <w:rPr>
                <w:sz w:val="20"/>
                <w:szCs w:val="20"/>
                <w:color w:val="auto"/>
              </w:rPr>
            </w:pPr>
            <w:r>
              <w:rPr>
                <w:rFonts w:ascii="Times New Roman" w:cs="Times New Roman" w:eastAsia="Times New Roman" w:hAnsi="Times New Roman"/>
                <w:sz w:val="17"/>
                <w:szCs w:val="17"/>
                <w:color w:val="auto"/>
              </w:rPr>
              <w:t>(118,461)</w:t>
            </w:r>
          </w:p>
        </w:tc>
        <w:tc>
          <w:tcPr>
            <w:tcW w:w="100" w:type="dxa"/>
            <w:vAlign w:val="bottom"/>
            <w:shd w:val="clear" w:color="auto" w:fill="CBEBF4"/>
          </w:tcPr>
          <w:p>
            <w:pPr>
              <w:spacing w:after="0"/>
              <w:rPr>
                <w:sz w:val="19"/>
                <w:szCs w:val="19"/>
                <w:color w:val="auto"/>
              </w:rPr>
            </w:pPr>
          </w:p>
        </w:tc>
        <w:tc>
          <w:tcPr>
            <w:tcW w:w="6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shd w:val="clear" w:color="auto" w:fill="CBEBF4"/>
          </w:tcPr>
          <w:p>
            <w:pPr>
              <w:spacing w:after="0"/>
              <w:rPr>
                <w:sz w:val="19"/>
                <w:szCs w:val="19"/>
                <w:color w:val="auto"/>
              </w:rPr>
            </w:pPr>
          </w:p>
        </w:tc>
        <w:tc>
          <w:tcPr>
            <w:tcW w:w="140" w:type="dxa"/>
            <w:vAlign w:val="bottom"/>
            <w:shd w:val="clear" w:color="auto" w:fill="CBEBF4"/>
          </w:tcPr>
          <w:p>
            <w:pPr>
              <w:spacing w:after="0"/>
              <w:rPr>
                <w:sz w:val="19"/>
                <w:szCs w:val="19"/>
                <w:color w:val="auto"/>
              </w:rPr>
            </w:pP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5380" w:type="dxa"/>
            <w:vAlign w:val="bottom"/>
            <w:tcBorders>
              <w:top w:val="single" w:sz="8" w:color="CBEBF4"/>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 December 31, 2022</w:t>
            </w:r>
          </w:p>
        </w:tc>
        <w:tc>
          <w:tcPr>
            <w:tcW w:w="8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15,356,340</w:t>
            </w:r>
          </w:p>
        </w:tc>
        <w:tc>
          <w:tcPr>
            <w:tcW w:w="140" w:type="dxa"/>
            <w:vAlign w:val="bottom"/>
            <w:tcBorders>
              <w:top w:val="single" w:sz="8" w:color="CBEBF4"/>
            </w:tcBorders>
          </w:tcPr>
          <w:p>
            <w:pPr>
              <w:spacing w:after="0"/>
              <w:rPr>
                <w:sz w:val="15"/>
                <w:szCs w:val="15"/>
                <w:color w:val="auto"/>
              </w:rPr>
            </w:pPr>
          </w:p>
        </w:tc>
        <w:tc>
          <w:tcPr>
            <w:tcW w:w="1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1.40</w:t>
            </w:r>
          </w:p>
        </w:tc>
        <w:tc>
          <w:tcPr>
            <w:tcW w:w="140" w:type="dxa"/>
            <w:vAlign w:val="bottom"/>
            <w:tcBorders>
              <w:top w:val="single" w:sz="8" w:color="CBEBF4"/>
            </w:tcBorders>
          </w:tcPr>
          <w:p>
            <w:pPr>
              <w:spacing w:after="0"/>
              <w:rPr>
                <w:sz w:val="15"/>
                <w:szCs w:val="15"/>
                <w:color w:val="auto"/>
              </w:rPr>
            </w:pPr>
          </w:p>
        </w:tc>
        <w:tc>
          <w:tcPr>
            <w:tcW w:w="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1,582</w:t>
            </w:r>
          </w:p>
        </w:tc>
        <w:tc>
          <w:tcPr>
            <w:tcW w:w="140" w:type="dxa"/>
            <w:vAlign w:val="bottom"/>
            <w:tcBorders>
              <w:top w:val="single" w:sz="8" w:color="CBEBF4"/>
            </w:tcBorders>
          </w:tcPr>
          <w:p>
            <w:pPr>
              <w:spacing w:after="0"/>
              <w:rPr>
                <w:sz w:val="15"/>
                <w:szCs w:val="15"/>
                <w:color w:val="auto"/>
              </w:rPr>
            </w:pPr>
          </w:p>
        </w:tc>
        <w:tc>
          <w:tcPr>
            <w:tcW w:w="7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5.11</w:t>
            </w:r>
          </w:p>
        </w:tc>
        <w:tc>
          <w:tcPr>
            <w:tcW w:w="0" w:type="dxa"/>
            <w:vAlign w:val="bottom"/>
          </w:tcPr>
          <w:p>
            <w:pPr>
              <w:spacing w:after="0"/>
              <w:rPr>
                <w:sz w:val="1"/>
                <w:szCs w:val="1"/>
                <w:color w:val="auto"/>
              </w:rPr>
            </w:pPr>
          </w:p>
        </w:tc>
      </w:tr>
      <w:tr>
        <w:trPr>
          <w:trHeight w:val="207"/>
        </w:trPr>
        <w:tc>
          <w:tcPr>
            <w:tcW w:w="53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Granted</w:t>
            </w:r>
          </w:p>
        </w:tc>
        <w:tc>
          <w:tcPr>
            <w:tcW w:w="10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BEBF4"/>
          </w:tcPr>
          <w:p>
            <w:pPr>
              <w:spacing w:after="0"/>
              <w:rPr>
                <w:sz w:val="18"/>
                <w:szCs w:val="18"/>
                <w:color w:val="auto"/>
              </w:rPr>
            </w:pPr>
          </w:p>
        </w:tc>
        <w:tc>
          <w:tcPr>
            <w:tcW w:w="7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BEBF4"/>
          </w:tcPr>
          <w:p>
            <w:pPr>
              <w:spacing w:after="0"/>
              <w:rPr>
                <w:sz w:val="18"/>
                <w:szCs w:val="18"/>
                <w:color w:val="auto"/>
              </w:rPr>
            </w:pP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(162,100)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53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Cancelled/Forfeited</w:t>
            </w:r>
          </w:p>
        </w:tc>
        <w:tc>
          <w:tcPr>
            <w:tcW w:w="10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BEBF4"/>
          </w:tcPr>
          <w:p>
            <w:pPr>
              <w:spacing w:after="0"/>
              <w:rPr>
                <w:sz w:val="18"/>
                <w:szCs w:val="18"/>
                <w:color w:val="auto"/>
              </w:rPr>
            </w:pPr>
          </w:p>
        </w:tc>
        <w:tc>
          <w:tcPr>
            <w:tcW w:w="7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BEBF4"/>
          </w:tcPr>
          <w:p>
            <w:pPr>
              <w:spacing w:after="0"/>
              <w:rPr>
                <w:sz w:val="18"/>
                <w:szCs w:val="18"/>
                <w:color w:val="auto"/>
              </w:rPr>
            </w:pPr>
          </w:p>
        </w:tc>
        <w:tc>
          <w:tcPr>
            <w:tcW w:w="72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(120,000)</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538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Outstanding – December 31, 2023</w:t>
            </w:r>
          </w:p>
        </w:tc>
        <w:tc>
          <w:tcPr>
            <w:tcW w:w="8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15,074,240</w:t>
            </w:r>
          </w:p>
        </w:tc>
        <w:tc>
          <w:tcPr>
            <w:tcW w:w="140" w:type="dxa"/>
            <w:vAlign w:val="bottom"/>
            <w:tcBorders>
              <w:top w:val="single" w:sz="8" w:color="CBEBF4"/>
            </w:tcBorders>
            <w:shd w:val="clear" w:color="auto" w:fill="CBEBF4"/>
          </w:tcPr>
          <w:p>
            <w:pPr>
              <w:spacing w:after="0"/>
              <w:rPr>
                <w:sz w:val="17"/>
                <w:szCs w:val="17"/>
                <w:color w:val="auto"/>
              </w:rPr>
            </w:pPr>
          </w:p>
        </w:tc>
        <w:tc>
          <w:tcPr>
            <w:tcW w:w="1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1.41</w:t>
            </w:r>
          </w:p>
        </w:tc>
        <w:tc>
          <w:tcPr>
            <w:tcW w:w="14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5,425</w:t>
            </w:r>
          </w:p>
        </w:tc>
        <w:tc>
          <w:tcPr>
            <w:tcW w:w="140" w:type="dxa"/>
            <w:vAlign w:val="bottom"/>
            <w:tcBorders>
              <w:top w:val="single" w:sz="8" w:color="CBEBF4"/>
            </w:tcBorders>
            <w:shd w:val="clear" w:color="auto" w:fill="CBEBF4"/>
          </w:tcPr>
          <w:p>
            <w:pPr>
              <w:spacing w:after="0"/>
              <w:rPr>
                <w:sz w:val="17"/>
                <w:szCs w:val="17"/>
                <w:color w:val="auto"/>
              </w:rPr>
            </w:pPr>
          </w:p>
        </w:tc>
        <w:tc>
          <w:tcPr>
            <w:tcW w:w="74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4.18</w:t>
            </w:r>
          </w:p>
        </w:tc>
        <w:tc>
          <w:tcPr>
            <w:tcW w:w="0" w:type="dxa"/>
            <w:vAlign w:val="bottom"/>
          </w:tcPr>
          <w:p>
            <w:pPr>
              <w:spacing w:after="0"/>
              <w:rPr>
                <w:sz w:val="1"/>
                <w:szCs w:val="1"/>
                <w:color w:val="auto"/>
              </w:rPr>
            </w:pPr>
          </w:p>
        </w:tc>
      </w:tr>
      <w:tr>
        <w:trPr>
          <w:trHeight w:val="201"/>
        </w:trPr>
        <w:tc>
          <w:tcPr>
            <w:tcW w:w="5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Vested and exercisable – December 31, 2023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14,804,073</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5,425</w:t>
            </w:r>
          </w:p>
        </w:tc>
        <w:tc>
          <w:tcPr>
            <w:tcW w:w="14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A summary of the Company’s stock options granted and outstanding under the Company’s STIP as at December 31, 2023 is as follows:</w:t>
      </w:r>
    </w:p>
    <w:p>
      <w:pPr>
        <w:spacing w:after="0" w:line="39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life to expiry</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68"/>
        </w:trPr>
        <w:tc>
          <w:tcPr>
            <w:tcW w:w="462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01"/>
        </w:trPr>
        <w:tc>
          <w:tcPr>
            <w:tcW w:w="44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March 31, 2024</w:t>
            </w:r>
          </w:p>
        </w:tc>
        <w:tc>
          <w:tcPr>
            <w:tcW w:w="140" w:type="dxa"/>
            <w:vAlign w:val="bottom"/>
            <w:tcBorders>
              <w:top w:val="single" w:sz="8" w:color="CBEBF4"/>
            </w:tcBorders>
            <w:shd w:val="clear" w:color="auto" w:fill="CBEBF4"/>
          </w:tcPr>
          <w:p>
            <w:pPr>
              <w:spacing w:after="0"/>
              <w:rPr>
                <w:sz w:val="17"/>
                <w:szCs w:val="17"/>
                <w:color w:val="auto"/>
              </w:rPr>
            </w:pPr>
          </w:p>
        </w:tc>
        <w:tc>
          <w:tcPr>
            <w:tcW w:w="1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Borders>
              <w:top w:val="single" w:sz="8" w:color="CBEBF4"/>
            </w:tcBorders>
            <w:shd w:val="clear" w:color="auto" w:fill="CBEBF4"/>
          </w:tcPr>
          <w:p>
            <w:pPr>
              <w:spacing w:after="0"/>
              <w:rPr>
                <w:sz w:val="17"/>
                <w:szCs w:val="17"/>
                <w:color w:val="auto"/>
              </w:rPr>
            </w:pPr>
          </w:p>
        </w:tc>
        <w:tc>
          <w:tcPr>
            <w:tcW w:w="1120" w:type="dxa"/>
            <w:vAlign w:val="bottom"/>
            <w:tcBorders>
              <w:top w:val="single" w:sz="8" w:color="auto"/>
            </w:tcBorders>
            <w:shd w:val="clear" w:color="auto" w:fill="CBEBF4"/>
          </w:tcPr>
          <w:p>
            <w:pPr>
              <w:jc w:val="right"/>
              <w:ind w:right="319"/>
              <w:spacing w:after="0"/>
              <w:rPr>
                <w:sz w:val="20"/>
                <w:szCs w:val="20"/>
                <w:color w:val="auto"/>
              </w:rPr>
            </w:pPr>
            <w:r>
              <w:rPr>
                <w:rFonts w:ascii="Times New Roman" w:cs="Times New Roman" w:eastAsia="Times New Roman" w:hAnsi="Times New Roman"/>
                <w:sz w:val="17"/>
                <w:szCs w:val="17"/>
                <w:color w:val="auto"/>
              </w:rPr>
              <w:t>0.25</w:t>
            </w:r>
          </w:p>
        </w:tc>
        <w:tc>
          <w:tcPr>
            <w:tcW w:w="140" w:type="dxa"/>
            <w:vAlign w:val="bottom"/>
            <w:tcBorders>
              <w:top w:val="single" w:sz="8" w:color="CBEBF4"/>
            </w:tcBorders>
            <w:shd w:val="clear" w:color="auto" w:fill="CBEBF4"/>
          </w:tcPr>
          <w:p>
            <w:pPr>
              <w:spacing w:after="0"/>
              <w:rPr>
                <w:sz w:val="17"/>
                <w:szCs w:val="17"/>
                <w:color w:val="auto"/>
              </w:rPr>
            </w:pPr>
          </w:p>
        </w:tc>
        <w:tc>
          <w:tcPr>
            <w:tcW w:w="8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73,811</w:t>
            </w:r>
          </w:p>
        </w:tc>
        <w:tc>
          <w:tcPr>
            <w:tcW w:w="140" w:type="dxa"/>
            <w:vAlign w:val="bottom"/>
            <w:tcBorders>
              <w:top w:val="single" w:sz="8" w:color="CBEBF4"/>
            </w:tcBorders>
            <w:shd w:val="clear" w:color="auto" w:fill="CBEBF4"/>
          </w:tcPr>
          <w:p>
            <w:pPr>
              <w:spacing w:after="0"/>
              <w:rPr>
                <w:sz w:val="17"/>
                <w:szCs w:val="17"/>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73,811</w:t>
            </w:r>
          </w:p>
        </w:tc>
        <w:tc>
          <w:tcPr>
            <w:tcW w:w="0" w:type="dxa"/>
            <w:vAlign w:val="bottom"/>
          </w:tcPr>
          <w:p>
            <w:pPr>
              <w:spacing w:after="0"/>
              <w:rPr>
                <w:sz w:val="1"/>
                <w:szCs w:val="1"/>
                <w:color w:val="auto"/>
              </w:rPr>
            </w:pPr>
          </w:p>
        </w:tc>
      </w:t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11,578</w:t>
            </w:r>
          </w:p>
        </w:tc>
        <w:tc>
          <w:tcPr>
            <w:tcW w:w="0" w:type="dxa"/>
            <w:vAlign w:val="bottom"/>
          </w:tcPr>
          <w:p>
            <w:pPr>
              <w:spacing w:after="0"/>
              <w:rPr>
                <w:sz w:val="1"/>
                <w:szCs w:val="1"/>
                <w:color w:val="auto"/>
              </w:rPr>
            </w:pPr>
          </w:p>
        </w:tc>
      </w:tr>
      <w:tr>
        <w:trPr>
          <w:trHeight w:val="207"/>
        </w:trPr>
        <w:tc>
          <w:tcPr>
            <w:tcW w:w="46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January 27, 2026</w:t>
            </w:r>
          </w:p>
        </w:tc>
        <w:tc>
          <w:tcPr>
            <w:tcW w:w="1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0.52 - $2.59</w:t>
            </w:r>
          </w:p>
        </w:tc>
        <w:tc>
          <w:tcPr>
            <w:tcW w:w="140" w:type="dxa"/>
            <w:vAlign w:val="bottom"/>
            <w:shd w:val="clear" w:color="auto" w:fill="CBEBF4"/>
          </w:tcPr>
          <w:p>
            <w:pPr>
              <w:spacing w:after="0"/>
              <w:rPr>
                <w:sz w:val="18"/>
                <w:szCs w:val="18"/>
                <w:color w:val="auto"/>
              </w:rPr>
            </w:pPr>
          </w:p>
        </w:tc>
        <w:tc>
          <w:tcPr>
            <w:tcW w:w="1120" w:type="dxa"/>
            <w:vAlign w:val="bottom"/>
            <w:shd w:val="clear" w:color="auto" w:fill="CBEBF4"/>
          </w:tcPr>
          <w:p>
            <w:pPr>
              <w:jc w:val="right"/>
              <w:ind w:right="319"/>
              <w:spacing w:after="0"/>
              <w:rPr>
                <w:sz w:val="20"/>
                <w:szCs w:val="20"/>
                <w:color w:val="auto"/>
              </w:rPr>
            </w:pPr>
            <w:r>
              <w:rPr>
                <w:rFonts w:ascii="Times New Roman" w:cs="Times New Roman" w:eastAsia="Times New Roman" w:hAnsi="Times New Roman"/>
                <w:sz w:val="17"/>
                <w:szCs w:val="17"/>
                <w:color w:val="auto"/>
              </w:rPr>
              <w:t>2.08</w:t>
            </w:r>
          </w:p>
        </w:tc>
        <w:tc>
          <w:tcPr>
            <w:tcW w:w="140" w:type="dxa"/>
            <w:vAlign w:val="bottom"/>
            <w:shd w:val="clear" w:color="auto" w:fill="CBEBF4"/>
          </w:tcPr>
          <w:p>
            <w:pPr>
              <w:spacing w:after="0"/>
              <w:rPr>
                <w:sz w:val="18"/>
                <w:szCs w:val="18"/>
                <w:color w:val="auto"/>
              </w:rPr>
            </w:pP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975,229</w:t>
            </w:r>
          </w:p>
        </w:tc>
        <w:tc>
          <w:tcPr>
            <w:tcW w:w="102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975,229</w:t>
            </w:r>
          </w:p>
        </w:tc>
        <w:tc>
          <w:tcPr>
            <w:tcW w:w="0" w:type="dxa"/>
            <w:vAlign w:val="bottom"/>
          </w:tcPr>
          <w:p>
            <w:pPr>
              <w:spacing w:after="0"/>
              <w:rPr>
                <w:sz w:val="1"/>
                <w:szCs w:val="1"/>
                <w:color w:val="auto"/>
              </w:rPr>
            </w:pPr>
          </w:p>
        </w:tc>
      </w:tr>
      <w:tr>
        <w:trPr>
          <w:trHeight w:val="208"/>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7"/>
                <w:szCs w:val="17"/>
                <w:color w:val="auto"/>
              </w:rPr>
              <w:t>2.09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57,893</w:t>
            </w:r>
          </w:p>
        </w:tc>
        <w:tc>
          <w:tcPr>
            <w:tcW w:w="0" w:type="dxa"/>
            <w:vAlign w:val="bottom"/>
          </w:tcPr>
          <w:p>
            <w:pPr>
              <w:spacing w:after="0"/>
              <w:rPr>
                <w:sz w:val="1"/>
                <w:szCs w:val="1"/>
                <w:color w:val="auto"/>
              </w:rPr>
            </w:pPr>
          </w:p>
        </w:tc>
      </w:tr>
      <w:tr>
        <w:trPr>
          <w:trHeight w:val="207"/>
        </w:trPr>
        <w:tc>
          <w:tcPr>
            <w:tcW w:w="46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1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0.22 - $0.52</w:t>
            </w:r>
          </w:p>
        </w:tc>
        <w:tc>
          <w:tcPr>
            <w:tcW w:w="140" w:type="dxa"/>
            <w:vAlign w:val="bottom"/>
            <w:shd w:val="clear" w:color="auto" w:fill="CBEBF4"/>
          </w:tcPr>
          <w:p>
            <w:pPr>
              <w:spacing w:after="0"/>
              <w:rPr>
                <w:sz w:val="18"/>
                <w:szCs w:val="18"/>
                <w:color w:val="auto"/>
              </w:rPr>
            </w:pPr>
          </w:p>
        </w:tc>
        <w:tc>
          <w:tcPr>
            <w:tcW w:w="1120" w:type="dxa"/>
            <w:vAlign w:val="bottom"/>
            <w:shd w:val="clear" w:color="auto" w:fill="CBEBF4"/>
          </w:tcPr>
          <w:p>
            <w:pPr>
              <w:jc w:val="right"/>
              <w:ind w:right="319"/>
              <w:spacing w:after="0"/>
              <w:rPr>
                <w:sz w:val="20"/>
                <w:szCs w:val="20"/>
                <w:color w:val="auto"/>
              </w:rPr>
            </w:pPr>
            <w:r>
              <w:rPr>
                <w:rFonts w:ascii="Times New Roman" w:cs="Times New Roman" w:eastAsia="Times New Roman" w:hAnsi="Times New Roman"/>
                <w:sz w:val="17"/>
                <w:szCs w:val="17"/>
                <w:color w:val="auto"/>
              </w:rPr>
              <w:t>2.13</w:t>
            </w:r>
          </w:p>
        </w:tc>
        <w:tc>
          <w:tcPr>
            <w:tcW w:w="140" w:type="dxa"/>
            <w:vAlign w:val="bottom"/>
            <w:shd w:val="clear" w:color="auto" w:fill="CBEBF4"/>
          </w:tcPr>
          <w:p>
            <w:pPr>
              <w:spacing w:after="0"/>
              <w:rPr>
                <w:sz w:val="18"/>
                <w:szCs w:val="18"/>
                <w:color w:val="auto"/>
              </w:rPr>
            </w:pP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431,494</w:t>
            </w:r>
          </w:p>
        </w:tc>
        <w:tc>
          <w:tcPr>
            <w:tcW w:w="102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431,494</w:t>
            </w:r>
          </w:p>
        </w:tc>
        <w:tc>
          <w:tcPr>
            <w:tcW w:w="0" w:type="dxa"/>
            <w:vAlign w:val="bottom"/>
          </w:tcPr>
          <w:p>
            <w:pPr>
              <w:spacing w:after="0"/>
              <w:rPr>
                <w:sz w:val="1"/>
                <w:szCs w:val="1"/>
                <w:color w:val="auto"/>
              </w:rPr>
            </w:pPr>
          </w:p>
        </w:tc>
      </w:t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1, 2028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0.65 - $8.64</w:t>
            </w:r>
          </w:p>
        </w:tc>
        <w:tc>
          <w:tcPr>
            <w:tcW w:w="140" w:type="dxa"/>
            <w:vAlign w:val="bottom"/>
          </w:tcPr>
          <w:p>
            <w:pPr>
              <w:spacing w:after="0"/>
              <w:rPr>
                <w:sz w:val="18"/>
                <w:szCs w:val="18"/>
                <w:color w:val="auto"/>
              </w:rPr>
            </w:pP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7"/>
                <w:szCs w:val="17"/>
                <w:color w:val="auto"/>
              </w:rPr>
              <w:t>4.42</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12,829,518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12,559,351</w:t>
            </w:r>
          </w:p>
        </w:tc>
        <w:tc>
          <w:tcPr>
            <w:tcW w:w="0" w:type="dxa"/>
            <w:vAlign w:val="bottom"/>
          </w:tcPr>
          <w:p>
            <w:pPr>
              <w:spacing w:after="0"/>
              <w:rPr>
                <w:sz w:val="1"/>
                <w:szCs w:val="1"/>
                <w:color w:val="auto"/>
              </w:rPr>
            </w:pPr>
          </w:p>
        </w:tc>
      </w:tr>
      <w:tr>
        <w:trPr>
          <w:trHeight w:val="207"/>
        </w:trPr>
        <w:tc>
          <w:tcPr>
            <w:tcW w:w="462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June 30, 2028</w:t>
            </w:r>
          </w:p>
        </w:tc>
        <w:tc>
          <w:tcPr>
            <w:tcW w:w="1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shd w:val="clear" w:color="auto" w:fill="CBEBF4"/>
          </w:tcPr>
          <w:p>
            <w:pPr>
              <w:spacing w:after="0"/>
              <w:rPr>
                <w:sz w:val="18"/>
                <w:szCs w:val="18"/>
                <w:color w:val="auto"/>
              </w:rPr>
            </w:pPr>
          </w:p>
        </w:tc>
        <w:tc>
          <w:tcPr>
            <w:tcW w:w="1120" w:type="dxa"/>
            <w:vAlign w:val="bottom"/>
            <w:shd w:val="clear" w:color="auto" w:fill="CBEBF4"/>
          </w:tcPr>
          <w:p>
            <w:pPr>
              <w:jc w:val="right"/>
              <w:ind w:right="319"/>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BEBF4"/>
          </w:tcPr>
          <w:p>
            <w:pPr>
              <w:spacing w:after="0"/>
              <w:rPr>
                <w:sz w:val="18"/>
                <w:szCs w:val="18"/>
                <w:color w:val="auto"/>
              </w:rPr>
            </w:pP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694,717</w:t>
            </w:r>
          </w:p>
        </w:tc>
        <w:tc>
          <w:tcPr>
            <w:tcW w:w="102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694,717</w:t>
            </w:r>
          </w:p>
        </w:tc>
        <w:tc>
          <w:tcPr>
            <w:tcW w:w="0" w:type="dxa"/>
            <w:vAlign w:val="bottom"/>
          </w:tcPr>
          <w:p>
            <w:pPr>
              <w:spacing w:after="0"/>
              <w:rPr>
                <w:sz w:val="1"/>
                <w:szCs w:val="1"/>
                <w:color w:val="auto"/>
              </w:rPr>
            </w:pPr>
          </w:p>
        </w:tc>
      </w:tr>
      <w:tr>
        <w:trPr>
          <w:trHeight w:val="201"/>
        </w:trPr>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15,074,240</w:t>
            </w:r>
          </w:p>
        </w:tc>
        <w:tc>
          <w:tcPr>
            <w:tcW w:w="14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14,804,073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180"/>
        <w:spacing w:after="0" w:line="276" w:lineRule="auto"/>
        <w:rPr>
          <w:sz w:val="20"/>
          <w:szCs w:val="20"/>
          <w:color w:val="auto"/>
        </w:rPr>
      </w:pPr>
      <w:r>
        <w:rPr>
          <w:rFonts w:ascii="Times New Roman" w:cs="Times New Roman" w:eastAsia="Times New Roman" w:hAnsi="Times New Roman"/>
          <w:sz w:val="17"/>
          <w:szCs w:val="17"/>
          <w:color w:val="auto"/>
        </w:rPr>
        <w:t>The total grant date fair value of STIP stock options that vested during the year ended December 31, 2023, was $1.5 million. As at December 31, 2023, total unrecognized share-based compensation expense of $47 thousand is expected to be recognized over a weighted-average recognition period of approximately one year.</w:t>
      </w:r>
    </w:p>
    <w:p>
      <w:pPr>
        <w:spacing w:after="0" w:line="155"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As at December 31, 2023, the closing market price of the Company’s common shares was $1.10 per share which was considered to be the fair value of the Company’s common share used to determine the intrinsic value of outstanding stock options.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aggregate intrinsic value of stock options exercised during the year ended December 31, 2023 was $188 thousand.</w:t>
      </w: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817" name="Shape 8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17" o:spid="_x0000_s18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56pt"/>
            </w:pict>
          </mc:Fallback>
        </mc:AlternateContent>
      </w:r>
    </w:p>
    <w:p>
      <w:pPr>
        <w:sectPr>
          <w:pgSz w:w="12240" w:h="15840" w:orient="portrait"/>
          <w:cols w:equalWidth="0" w:num="1">
            <w:col w:w="9480"/>
          </w:cols>
          <w:pgMar w:left="1440" w:top="1324" w:right="1320" w:bottom="1440" w:gutter="0" w:footer="0" w:header="0"/>
        </w:sectPr>
      </w:pPr>
    </w:p>
    <w:bookmarkStart w:id="154" w:name="page155"/>
    <w:bookmarkEnd w:id="154"/>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18" name="Shape 8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18" o:spid="_x0000_s18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19" name="Shape 8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19" o:spid="_x0000_s18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20" name="Shape 8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20" o:spid="_x0000_s18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21" name="Shape 8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21" o:spid="_x0000_s18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Outstanding under LTIP plan:</w:t>
      </w:r>
    </w:p>
    <w:p>
      <w:pPr>
        <w:spacing w:after="0" w:line="222" w:lineRule="exact"/>
        <w:rPr>
          <w:sz w:val="20"/>
          <w:szCs w:val="20"/>
          <w:color w:val="auto"/>
        </w:rPr>
      </w:pPr>
    </w:p>
    <w:p>
      <w:pPr>
        <w:ind w:left="180"/>
        <w:spacing w:after="0" w:line="298" w:lineRule="auto"/>
        <w:rPr>
          <w:sz w:val="20"/>
          <w:szCs w:val="20"/>
          <w:color w:val="auto"/>
        </w:rPr>
      </w:pPr>
      <w:r>
        <w:rPr>
          <w:rFonts w:ascii="Times New Roman" w:cs="Times New Roman" w:eastAsia="Times New Roman" w:hAnsi="Times New Roman"/>
          <w:sz w:val="17"/>
          <w:szCs w:val="17"/>
          <w:color w:val="auto"/>
        </w:rPr>
        <w:t>On March 4, 2021, the Company granted 9,783,922 stock options under its LTIP. These stock options have an exercise price of $0.65 per option and expire on June 1, 2028.</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LTIP awards vest as follows:</w:t>
      </w:r>
    </w:p>
    <w:p>
      <w:pPr>
        <w:spacing w:after="0" w:line="219" w:lineRule="exact"/>
        <w:rPr>
          <w:sz w:val="20"/>
          <w:szCs w:val="20"/>
          <w:color w:val="auto"/>
        </w:rPr>
      </w:pPr>
    </w:p>
    <w:p>
      <w:pPr>
        <w:ind w:left="840" w:hanging="318"/>
        <w:spacing w:after="0"/>
        <w:tabs>
          <w:tab w:leader="none" w:pos="8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1 - 25% when the Company’s market capitalization equals $3 billion;</w:t>
      </w:r>
    </w:p>
    <w:p>
      <w:pPr>
        <w:spacing w:after="0" w:line="11" w:lineRule="exact"/>
        <w:rPr>
          <w:rFonts w:ascii="Times New Roman" w:cs="Times New Roman" w:eastAsia="Times New Roman" w:hAnsi="Times New Roman"/>
          <w:sz w:val="17"/>
          <w:szCs w:val="17"/>
          <w:color w:val="auto"/>
        </w:rPr>
      </w:pPr>
    </w:p>
    <w:p>
      <w:pPr>
        <w:ind w:left="840" w:hanging="318"/>
        <w:spacing w:after="0"/>
        <w:tabs>
          <w:tab w:leader="none" w:pos="8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2 - 35% when the Company’s market capitalization equals $6 billion;</w:t>
      </w:r>
    </w:p>
    <w:p>
      <w:pPr>
        <w:spacing w:after="0" w:line="11" w:lineRule="exact"/>
        <w:rPr>
          <w:rFonts w:ascii="Times New Roman" w:cs="Times New Roman" w:eastAsia="Times New Roman" w:hAnsi="Times New Roman"/>
          <w:sz w:val="17"/>
          <w:szCs w:val="17"/>
          <w:color w:val="auto"/>
        </w:rPr>
      </w:pPr>
    </w:p>
    <w:p>
      <w:pPr>
        <w:ind w:left="840" w:hanging="318"/>
        <w:spacing w:after="0"/>
        <w:tabs>
          <w:tab w:leader="none" w:pos="8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3 - 20% upon the date that the ISA grants an exploitation contract to the Company; and</w:t>
      </w:r>
    </w:p>
    <w:p>
      <w:pPr>
        <w:spacing w:after="0" w:line="11" w:lineRule="exact"/>
        <w:rPr>
          <w:rFonts w:ascii="Times New Roman" w:cs="Times New Roman" w:eastAsia="Times New Roman" w:hAnsi="Times New Roman"/>
          <w:sz w:val="17"/>
          <w:szCs w:val="17"/>
          <w:color w:val="auto"/>
        </w:rPr>
      </w:pPr>
    </w:p>
    <w:p>
      <w:pPr>
        <w:ind w:left="840" w:hanging="318"/>
        <w:spacing w:after="0" w:line="269" w:lineRule="auto"/>
        <w:tabs>
          <w:tab w:leader="none" w:pos="8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4 - 20% upon the commencement of the first commercial production following the grant of the exploitation contract.</w:t>
      </w:r>
    </w:p>
    <w:p>
      <w:pPr>
        <w:spacing w:after="0" w:line="200" w:lineRule="exact"/>
        <w:rPr>
          <w:sz w:val="20"/>
          <w:szCs w:val="20"/>
          <w:color w:val="auto"/>
        </w:rPr>
      </w:pPr>
    </w:p>
    <w:p>
      <w:pPr>
        <w:spacing w:after="0" w:line="203"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7"/>
          <w:szCs w:val="17"/>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165" w:lineRule="exact"/>
        <w:rPr>
          <w:sz w:val="20"/>
          <w:szCs w:val="20"/>
          <w:color w:val="auto"/>
        </w:rPr>
      </w:pPr>
    </w:p>
    <w:p>
      <w:pPr>
        <w:jc w:val="both"/>
        <w:ind w:left="180"/>
        <w:spacing w:after="0" w:line="262" w:lineRule="auto"/>
        <w:rPr>
          <w:sz w:val="20"/>
          <w:szCs w:val="20"/>
          <w:color w:val="auto"/>
        </w:rPr>
      </w:pPr>
      <w:r>
        <w:rPr>
          <w:rFonts w:ascii="Times New Roman" w:cs="Times New Roman" w:eastAsia="Times New Roman" w:hAnsi="Times New Roman"/>
          <w:sz w:val="17"/>
          <w:szCs w:val="17"/>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2023,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379"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The aggregate intrinsic value of LTIP stock options as at December 31, 2023 was $4.4 million. None of the LTIP stock options were exercisable on December 31, 2023. The Company expects LTIP options to vest as and when the market and performance milestones described below are achieved. As at December 31, 2023, total unrecognized share-based compensation expense for the LTIP stock options was $23 million.</w:t>
      </w:r>
    </w:p>
    <w:p>
      <w:pPr>
        <w:spacing w:after="0" w:line="161"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7"/>
          <w:szCs w:val="17"/>
          <w:color w:val="auto"/>
        </w:rPr>
        <w:t>During the year ended December 31, 2023, the Company recognized $0.5 million of share-based compensation expense for stock options (originally issued under STIP and LTIP plans) in the statement of loss and comprehensive loss (2022: $9.5 million).</w:t>
      </w:r>
    </w:p>
    <w:p>
      <w:pPr>
        <w:spacing w:after="0" w:line="137" w:lineRule="exact"/>
        <w:rPr>
          <w:sz w:val="20"/>
          <w:szCs w:val="20"/>
          <w:color w:val="auto"/>
        </w:rPr>
      </w:pPr>
    </w:p>
    <w:p>
      <w:pPr>
        <w:jc w:val="both"/>
        <w:ind w:left="180"/>
        <w:spacing w:after="0" w:line="269" w:lineRule="auto"/>
        <w:rPr>
          <w:sz w:val="20"/>
          <w:szCs w:val="20"/>
          <w:color w:val="auto"/>
        </w:rPr>
      </w:pPr>
      <w:r>
        <w:rPr>
          <w:rFonts w:ascii="Times New Roman" w:cs="Times New Roman" w:eastAsia="Times New Roman" w:hAnsi="Times New Roman"/>
          <w:sz w:val="17"/>
          <w:szCs w:val="17"/>
          <w:color w:val="auto"/>
        </w:rPr>
        <w:t>Share-based compensation expense for stock options totaling $0.3 million related to general and administration matters were charged to the statement of loss and comprehensive loss for the year ended December 31, 2023 (2022: $4.8 million). The Company recorded a total of $0.2 million of share-based compensation expense for stock options related to exploration and evaluation activities for the year ended December 31, 2023 (2022: $4.7 million).</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 Units</w:t>
      </w:r>
    </w:p>
    <w:p>
      <w:pPr>
        <w:spacing w:after="0" w:line="218" w:lineRule="exact"/>
        <w:rPr>
          <w:sz w:val="20"/>
          <w:szCs w:val="20"/>
          <w:color w:val="auto"/>
        </w:rPr>
      </w:pPr>
    </w:p>
    <w:p>
      <w:pPr>
        <w:jc w:val="both"/>
        <w:ind w:left="180" w:firstLine="1"/>
        <w:spacing w:after="0" w:line="276" w:lineRule="auto"/>
        <w:rPr>
          <w:sz w:val="20"/>
          <w:szCs w:val="20"/>
          <w:color w:val="auto"/>
        </w:rPr>
      </w:pPr>
      <w:r>
        <w:rPr>
          <w:rFonts w:ascii="Times New Roman" w:cs="Times New Roman" w:eastAsia="Times New Roman" w:hAnsi="Times New Roman"/>
          <w:sz w:val="17"/>
          <w:szCs w:val="17"/>
          <w:color w:val="auto"/>
        </w:rPr>
        <w:t>The Company may, from time to time, grant RSUs to directors, officers, employees, and consultants of the Company and its subsidiaries under the Plan. On each vesting date, RSU holders are entitled to receive common shares equivalent to the number of RSUs held provided the holder is providing service to the Company on such vesting 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822" name="Shape 8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822" o:spid="_x0000_s18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47pt"/>
            </w:pict>
          </mc:Fallback>
        </mc:AlternateContent>
      </w:r>
    </w:p>
    <w:p>
      <w:pPr>
        <w:sectPr>
          <w:pgSz w:w="12240" w:h="15840" w:orient="portrait"/>
          <w:cols w:equalWidth="0" w:num="1">
            <w:col w:w="9480"/>
          </w:cols>
          <w:pgMar w:left="1440" w:top="1324" w:right="1320" w:bottom="1440" w:gutter="0" w:footer="0" w:header="0"/>
        </w:sectPr>
      </w:pPr>
    </w:p>
    <w:bookmarkStart w:id="155" w:name="page156"/>
    <w:bookmarkEnd w:id="155"/>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23" name="Shape 8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23" o:spid="_x0000_s18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24" name="Shape 8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24" o:spid="_x0000_s184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25" name="Shape 8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25" o:spid="_x0000_s18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26" name="Shape 8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26" o:spid="_x0000_s18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details of RSUs granted by the Company during the year are as follows:</w:t>
      </w:r>
    </w:p>
    <w:p>
      <w:pPr>
        <w:spacing w:after="0" w:line="22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6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1"/>
        </w:trPr>
        <w:tc>
          <w:tcPr>
            <w:tcW w:w="6740" w:type="dxa"/>
            <w:vAlign w:val="bottom"/>
            <w:tcBorders>
              <w:top w:val="single" w:sz="8" w:color="auto"/>
            </w:tcBorders>
            <w:gridSpan w:val="2"/>
            <w:shd w:val="clear" w:color="auto" w:fill="CBEBF4"/>
          </w:tcPr>
          <w:p>
            <w:pPr>
              <w:spacing w:after="0" w:line="200" w:lineRule="exact"/>
              <w:rPr>
                <w:sz w:val="20"/>
                <w:szCs w:val="20"/>
                <w:color w:val="auto"/>
              </w:rPr>
            </w:pPr>
            <w:r>
              <w:rPr>
                <w:rFonts w:ascii="Times New Roman" w:cs="Times New Roman" w:eastAsia="Times New Roman" w:hAnsi="Times New Roman"/>
                <w:sz w:val="16"/>
                <w:szCs w:val="16"/>
                <w:color w:val="auto"/>
              </w:rPr>
              <w:t xml:space="preserve">Vesting Immediately </w:t>
            </w:r>
            <w:r>
              <w:rPr>
                <w:rFonts w:ascii="Times New Roman" w:cs="Times New Roman" w:eastAsia="Times New Roman" w:hAnsi="Times New Roman"/>
                <w:sz w:val="23"/>
                <w:szCs w:val="23"/>
                <w:color w:val="auto"/>
                <w:vertAlign w:val="superscript"/>
              </w:rPr>
              <w:t>(1)(2)</w:t>
            </w:r>
          </w:p>
        </w:tc>
        <w:tc>
          <w:tcPr>
            <w:tcW w:w="180" w:type="dxa"/>
            <w:vAlign w:val="bottom"/>
            <w:tcBorders>
              <w:top w:val="single" w:sz="8" w:color="CBEBF4"/>
            </w:tcBorders>
            <w:shd w:val="clear" w:color="auto" w:fill="CBEBF4"/>
          </w:tcPr>
          <w:p>
            <w:pPr>
              <w:spacing w:after="0"/>
              <w:rPr>
                <w:sz w:val="17"/>
                <w:szCs w:val="17"/>
                <w:color w:val="auto"/>
              </w:rPr>
            </w:pPr>
          </w:p>
        </w:tc>
        <w:tc>
          <w:tcPr>
            <w:tcW w:w="8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3,561,078</w:t>
            </w:r>
          </w:p>
        </w:tc>
        <w:tc>
          <w:tcPr>
            <w:tcW w:w="200" w:type="dxa"/>
            <w:vAlign w:val="bottom"/>
            <w:tcBorders>
              <w:top w:val="single" w:sz="8" w:color="CBEBF4"/>
            </w:tcBorders>
            <w:shd w:val="clear" w:color="auto" w:fill="CBEBF4"/>
          </w:tcPr>
          <w:p>
            <w:pPr>
              <w:spacing w:after="0"/>
              <w:rPr>
                <w:sz w:val="17"/>
                <w:szCs w:val="17"/>
                <w:color w:val="auto"/>
              </w:rPr>
            </w:pPr>
          </w:p>
        </w:tc>
        <w:tc>
          <w:tcPr>
            <w:tcW w:w="84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1,721,729</w:t>
            </w:r>
          </w:p>
        </w:tc>
      </w:tr>
      <w:tr>
        <w:trPr>
          <w:trHeight w:val="207"/>
        </w:trPr>
        <w:tc>
          <w:tcPr>
            <w:tcW w:w="6920" w:type="dxa"/>
            <w:vAlign w:val="bottom"/>
            <w:gridSpan w:val="3"/>
          </w:tcPr>
          <w:p>
            <w:pPr>
              <w:spacing w:after="0" w:line="207" w:lineRule="exact"/>
              <w:rPr>
                <w:sz w:val="20"/>
                <w:szCs w:val="20"/>
                <w:color w:val="auto"/>
              </w:rPr>
            </w:pPr>
            <w:r>
              <w:rPr>
                <w:rFonts w:ascii="Times New Roman" w:cs="Times New Roman" w:eastAsia="Times New Roman" w:hAnsi="Times New Roman"/>
                <w:sz w:val="17"/>
                <w:szCs w:val="17"/>
                <w:color w:val="auto"/>
              </w:rPr>
              <w:t xml:space="preserve">Vesting fully on the anniversary of the grant date </w:t>
            </w:r>
            <w:r>
              <w:rPr>
                <w:rFonts w:ascii="Times New Roman" w:cs="Times New Roman" w:eastAsia="Times New Roman" w:hAnsi="Times New Roman"/>
                <w:sz w:val="24"/>
                <w:szCs w:val="24"/>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1,014,349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476,189</w:t>
            </w:r>
          </w:p>
        </w:tc>
      </w:tr>
      <w:tr>
        <w:trPr>
          <w:trHeight w:val="207"/>
        </w:trPr>
        <w:tc>
          <w:tcPr>
            <w:tcW w:w="6920" w:type="dxa"/>
            <w:vAlign w:val="bottom"/>
            <w:gridSpan w:val="3"/>
            <w:shd w:val="clear" w:color="auto" w:fill="CBEBF4"/>
          </w:tcPr>
          <w:p>
            <w:pPr>
              <w:spacing w:after="0" w:line="207" w:lineRule="exact"/>
              <w:rPr>
                <w:sz w:val="20"/>
                <w:szCs w:val="20"/>
                <w:color w:val="auto"/>
              </w:rPr>
            </w:pPr>
            <w:r>
              <w:rPr>
                <w:rFonts w:ascii="Times New Roman" w:cs="Times New Roman" w:eastAsia="Times New Roman" w:hAnsi="Times New Roman"/>
                <w:sz w:val="17"/>
                <w:szCs w:val="17"/>
                <w:color w:val="auto"/>
              </w:rPr>
              <w:t xml:space="preserve">Vesting in thirds on each anniversary of the grant date </w:t>
            </w:r>
            <w:r>
              <w:rPr>
                <w:rFonts w:ascii="Times New Roman" w:cs="Times New Roman" w:eastAsia="Times New Roman" w:hAnsi="Times New Roman"/>
                <w:sz w:val="24"/>
                <w:szCs w:val="24"/>
                <w:color w:val="auto"/>
                <w:vertAlign w:val="superscript"/>
              </w:rPr>
              <w:t>(4)</w:t>
            </w: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8,689,481</w:t>
            </w:r>
          </w:p>
        </w:tc>
        <w:tc>
          <w:tcPr>
            <w:tcW w:w="200" w:type="dxa"/>
            <w:vAlign w:val="bottom"/>
            <w:shd w:val="clear" w:color="auto" w:fill="CBEBF4"/>
          </w:tcPr>
          <w:p>
            <w:pPr>
              <w:spacing w:after="0"/>
              <w:rPr>
                <w:sz w:val="18"/>
                <w:szCs w:val="18"/>
                <w:color w:val="auto"/>
              </w:rPr>
            </w:pPr>
          </w:p>
        </w:tc>
        <w:tc>
          <w:tcPr>
            <w:tcW w:w="8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464,632</w:t>
            </w:r>
          </w:p>
        </w:tc>
      </w:tr>
      <w:tr>
        <w:trPr>
          <w:trHeight w:val="208"/>
        </w:trPr>
        <w:tc>
          <w:tcPr>
            <w:tcW w:w="69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Vesting in fourths on each anniversary of the grant date</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404,277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527,800</w:t>
            </w:r>
          </w:p>
        </w:tc>
      </w:tr>
      <w:tr>
        <w:trPr>
          <w:trHeight w:val="207"/>
        </w:trPr>
        <w:tc>
          <w:tcPr>
            <w:tcW w:w="6920" w:type="dxa"/>
            <w:vAlign w:val="bottom"/>
            <w:tcBorders>
              <w:bottom w:val="single" w:sz="8" w:color="CBEBF4"/>
            </w:tcBorders>
            <w:gridSpan w:val="3"/>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Total Units Granted</w:t>
            </w:r>
          </w:p>
        </w:tc>
        <w:tc>
          <w:tcPr>
            <w:tcW w:w="8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13,669,185</w:t>
            </w:r>
          </w:p>
        </w:tc>
        <w:tc>
          <w:tcPr>
            <w:tcW w:w="200" w:type="dxa"/>
            <w:vAlign w:val="bottom"/>
            <w:tcBorders>
              <w:bottom w:val="single" w:sz="8" w:color="CBEBF4"/>
            </w:tcBorders>
            <w:shd w:val="clear" w:color="auto" w:fill="CBEBF4"/>
          </w:tcPr>
          <w:p>
            <w:pPr>
              <w:spacing w:after="0"/>
              <w:rPr>
                <w:sz w:val="18"/>
                <w:szCs w:val="18"/>
                <w:color w:val="auto"/>
              </w:rPr>
            </w:pPr>
          </w:p>
        </w:tc>
        <w:tc>
          <w:tcPr>
            <w:tcW w:w="8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3,190,350</w:t>
            </w:r>
          </w:p>
        </w:tc>
      </w:tr>
      <w:tr>
        <w:trPr>
          <w:trHeight w:val="97"/>
        </w:trPr>
        <w:tc>
          <w:tcPr>
            <w:tcW w:w="240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7" w:lineRule="exact"/>
        <w:rPr>
          <w:sz w:val="20"/>
          <w:szCs w:val="20"/>
          <w:color w:val="auto"/>
        </w:rPr>
      </w:pPr>
    </w:p>
    <w:p>
      <w:pPr>
        <w:ind w:left="520" w:hanging="309"/>
        <w:spacing w:after="0" w:line="298" w:lineRule="auto"/>
        <w:tabs>
          <w:tab w:leader="none" w:pos="521"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3,561,078 units vesting immediately on grant date, 3,198,648 units were issued to settle liabilities with a carrying amount of $2.8 million, at a weighted average grant date fair value of $0.89 per RSU.</w:t>
      </w:r>
    </w:p>
    <w:p>
      <w:pPr>
        <w:spacing w:after="0" w:line="136" w:lineRule="exact"/>
        <w:rPr>
          <w:rFonts w:ascii="Times New Roman" w:cs="Times New Roman" w:eastAsia="Times New Roman" w:hAnsi="Times New Roman"/>
          <w:sz w:val="17"/>
          <w:szCs w:val="17"/>
          <w:color w:val="auto"/>
        </w:rPr>
      </w:pPr>
    </w:p>
    <w:p>
      <w:pPr>
        <w:jc w:val="both"/>
        <w:ind w:left="520" w:hanging="310"/>
        <w:spacing w:after="0" w:line="265" w:lineRule="auto"/>
        <w:tabs>
          <w:tab w:leader="none" w:pos="5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the Company granted 274,912 units to consultants (2022: 649,157 units) resulting in $0.3 million, charged to professional and consulting fees under general and administrative expenses and $11 thousand charged to exploration and evaluation activities for the year ended December 31, 2023 (2022: $1.2 million of general and administrative expenses). During the year ended December 31, 2023, the Company also granted 43,478 units to consultants as a prepayment for their services (2022: nil).</w:t>
      </w:r>
    </w:p>
    <w:p>
      <w:pPr>
        <w:spacing w:after="0" w:line="164" w:lineRule="exact"/>
        <w:rPr>
          <w:rFonts w:ascii="Times New Roman" w:cs="Times New Roman" w:eastAsia="Times New Roman" w:hAnsi="Times New Roman"/>
          <w:sz w:val="17"/>
          <w:szCs w:val="17"/>
          <w:color w:val="auto"/>
        </w:rPr>
      </w:pPr>
    </w:p>
    <w:p>
      <w:pPr>
        <w:jc w:val="both"/>
        <w:ind w:left="520" w:hanging="310"/>
        <w:spacing w:after="0" w:line="269" w:lineRule="auto"/>
        <w:tabs>
          <w:tab w:leader="none" w:pos="5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the Company granted 1,014,349 RSUs (2022: 476,189) to its non-employee directors under the Company’s Non-employee Director Compensation Policy, which vest upon the Company’s 2024 annual shareholders meeting. The total fair value of units granted as annual grants to the non-employee directors amounted to $700,000 ($700,000 in 2022).</w:t>
      </w:r>
    </w:p>
    <w:p>
      <w:pPr>
        <w:spacing w:after="0" w:line="160" w:lineRule="exact"/>
        <w:rPr>
          <w:rFonts w:ascii="Times New Roman" w:cs="Times New Roman" w:eastAsia="Times New Roman" w:hAnsi="Times New Roman"/>
          <w:sz w:val="17"/>
          <w:szCs w:val="17"/>
          <w:color w:val="auto"/>
        </w:rPr>
      </w:pPr>
    </w:p>
    <w:p>
      <w:pPr>
        <w:ind w:left="520" w:hanging="310"/>
        <w:spacing w:after="0" w:line="299" w:lineRule="auto"/>
        <w:tabs>
          <w:tab w:leader="none" w:pos="51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year ended December 31, 2023, the Company granted 8,645,465 units, as payment for the 2022 LTIP awards and 44,016 units as a sign-on grant. The 2021 LTIP awards were granted in the fourth quarter of 2021 and totaled 3,500,000 units.</w:t>
      </w:r>
    </w:p>
    <w:p>
      <w:pPr>
        <w:spacing w:after="0" w:line="1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 summary of the RSU activity in 2023 is presented in the table below:</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67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3"/>
        </w:trPr>
        <w:tc>
          <w:tcPr>
            <w:tcW w:w="6760" w:type="dxa"/>
            <w:vAlign w:val="bottom"/>
          </w:tcPr>
          <w:p>
            <w:pPr>
              <w:spacing w:after="0"/>
              <w:rPr>
                <w:sz w:val="12"/>
                <w:szCs w:val="12"/>
                <w:color w:val="auto"/>
              </w:rPr>
            </w:pPr>
          </w:p>
        </w:tc>
        <w:tc>
          <w:tcPr>
            <w:tcW w:w="1080" w:type="dxa"/>
            <w:vAlign w:val="bottom"/>
            <w:gridSpan w:val="2"/>
          </w:tcPr>
          <w:p>
            <w:pPr>
              <w:jc w:val="right"/>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RSUs</w:t>
            </w:r>
          </w:p>
        </w:tc>
        <w:tc>
          <w:tcPr>
            <w:tcW w:w="10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8"/>
        </w:trPr>
        <w:tc>
          <w:tcPr>
            <w:tcW w:w="67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RSU</w:t>
            </w:r>
          </w:p>
        </w:tc>
        <w:tc>
          <w:tcPr>
            <w:tcW w:w="0" w:type="dxa"/>
            <w:vAlign w:val="bottom"/>
          </w:tcPr>
          <w:p>
            <w:pPr>
              <w:spacing w:after="0"/>
              <w:rPr>
                <w:sz w:val="1"/>
                <w:szCs w:val="1"/>
                <w:color w:val="auto"/>
              </w:rPr>
            </w:pPr>
          </w:p>
        </w:tc>
      </w:tr>
      <w:tr>
        <w:trPr>
          <w:trHeight w:val="200"/>
        </w:trPr>
        <w:tc>
          <w:tcPr>
            <w:tcW w:w="676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Outstanding – December 31, 2022</w:t>
            </w:r>
          </w:p>
        </w:tc>
        <w:tc>
          <w:tcPr>
            <w:tcW w:w="8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3,815,143</w:t>
            </w:r>
          </w:p>
        </w:tc>
        <w:tc>
          <w:tcPr>
            <w:tcW w:w="220" w:type="dxa"/>
            <w:vAlign w:val="bottom"/>
            <w:tcBorders>
              <w:top w:val="single" w:sz="8" w:color="CBEBF4"/>
            </w:tcBorders>
            <w:shd w:val="clear" w:color="auto" w:fill="CBEBF4"/>
          </w:tcPr>
          <w:p>
            <w:pPr>
              <w:spacing w:after="0"/>
              <w:rPr>
                <w:sz w:val="17"/>
                <w:szCs w:val="17"/>
                <w:color w:val="auto"/>
              </w:rPr>
            </w:pPr>
          </w:p>
        </w:tc>
        <w:tc>
          <w:tcPr>
            <w:tcW w:w="1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13,669,185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0" w:type="dxa"/>
            <w:vAlign w:val="bottom"/>
          </w:tcPr>
          <w:p>
            <w:pPr>
              <w:spacing w:after="0"/>
              <w:rPr>
                <w:sz w:val="1"/>
                <w:szCs w:val="1"/>
                <w:color w:val="auto"/>
              </w:rPr>
            </w:pPr>
          </w:p>
        </w:tc>
      </w:tr>
      <w:tr>
        <w:trPr>
          <w:trHeight w:val="208"/>
        </w:trPr>
        <w:tc>
          <w:tcPr>
            <w:tcW w:w="676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gridSpan w:val="2"/>
            <w:shd w:val="clear" w:color="auto" w:fill="CBEBF4"/>
          </w:tcPr>
          <w:p>
            <w:pPr>
              <w:jc w:val="right"/>
              <w:ind w:right="200"/>
              <w:spacing w:after="0"/>
              <w:rPr>
                <w:sz w:val="20"/>
                <w:szCs w:val="20"/>
                <w:color w:val="auto"/>
              </w:rPr>
            </w:pPr>
            <w:r>
              <w:rPr>
                <w:rFonts w:ascii="Times New Roman" w:cs="Times New Roman" w:eastAsia="Times New Roman" w:hAnsi="Times New Roman"/>
                <w:sz w:val="17"/>
                <w:szCs w:val="17"/>
                <w:color w:val="auto"/>
              </w:rPr>
              <w:t>(86,700)</w:t>
            </w:r>
          </w:p>
        </w:tc>
        <w:tc>
          <w:tcPr>
            <w:tcW w:w="120" w:type="dxa"/>
            <w:vAlign w:val="bottom"/>
            <w:shd w:val="clear" w:color="auto" w:fill="CBEBF4"/>
          </w:tcPr>
          <w:p>
            <w:pPr>
              <w:spacing w:after="0"/>
              <w:rPr>
                <w:sz w:val="18"/>
                <w:szCs w:val="18"/>
                <w:color w:val="auto"/>
              </w:rPr>
            </w:pP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(4,912,748)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180"/>
        </w:trPr>
        <w:tc>
          <w:tcPr>
            <w:tcW w:w="6760" w:type="dxa"/>
            <w:vAlign w:val="bottom"/>
            <w:tcBorders>
              <w:top w:val="single" w:sz="8" w:color="CBEBF4"/>
            </w:tcBorders>
            <w:shd w:val="clear" w:color="auto" w:fill="CBEBF4"/>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Outstanding – December 31, 2023</w:t>
            </w:r>
          </w:p>
        </w:tc>
        <w:tc>
          <w:tcPr>
            <w:tcW w:w="860" w:type="dxa"/>
            <w:vAlign w:val="bottom"/>
            <w:tcBorders>
              <w:top w:val="single" w:sz="8" w:color="auto"/>
              <w:bottom w:val="single" w:sz="8" w:color="auto"/>
            </w:tcBorders>
            <w:shd w:val="clear" w:color="auto" w:fill="CBEBF4"/>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12,484,880</w:t>
            </w:r>
          </w:p>
        </w:tc>
        <w:tc>
          <w:tcPr>
            <w:tcW w:w="220" w:type="dxa"/>
            <w:vAlign w:val="bottom"/>
            <w:tcBorders>
              <w:top w:val="single" w:sz="8" w:color="CBEBF4"/>
            </w:tcBorders>
            <w:shd w:val="clear" w:color="auto" w:fill="CBEBF4"/>
          </w:tcPr>
          <w:p>
            <w:pPr>
              <w:spacing w:after="0"/>
              <w:rPr>
                <w:sz w:val="15"/>
                <w:szCs w:val="15"/>
                <w:color w:val="auto"/>
              </w:rPr>
            </w:pPr>
          </w:p>
        </w:tc>
        <w:tc>
          <w:tcPr>
            <w:tcW w:w="120" w:type="dxa"/>
            <w:vAlign w:val="bottom"/>
            <w:tcBorders>
              <w:top w:val="single" w:sz="8" w:color="auto"/>
              <w:bottom w:val="single" w:sz="8" w:color="auto"/>
            </w:tcBorders>
            <w:shd w:val="clear" w:color="auto" w:fill="CBEBF4"/>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BEBF4"/>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1.23</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80"/>
        <w:spacing w:after="0" w:line="260" w:lineRule="auto"/>
        <w:rPr>
          <w:sz w:val="20"/>
          <w:szCs w:val="20"/>
          <w:color w:val="auto"/>
        </w:rPr>
      </w:pPr>
      <w:r>
        <w:rPr>
          <w:rFonts w:ascii="Times New Roman" w:cs="Times New Roman" w:eastAsia="Times New Roman" w:hAnsi="Times New Roman"/>
          <w:sz w:val="17"/>
          <w:szCs w:val="17"/>
          <w:color w:val="auto"/>
        </w:rPr>
        <w:t>The grant date fair value of RSUs is equivalent to the closing share price of the Company’s common shares on the date of grant. During the year, a total of $8.6 million was charged to the statement of loss and comprehensive loss as share-based compensation expense for RSUs (2022: $7.5 million). Share-based compensation expense for RSUs totaling $3.8 million related to general and administration matters was charged to the statement of loss and comprehensive loss for the year ended December 31, 2023 (2022: $3.8 million). The Company recorded a total of $4.8 million of share-based compensation expense for RSUs related to exploration and evaluation activities for the year ended December 31, 2023 (2022: $3.7 million). As at December 31, 2023, total unrecognized share-based compensation expense for RSUs was $6.9 million (December 31, 2022 - $6.1 million). The fair value of shares vested during the year ended December 31, 2023, amounted to $8.3 million (December 31, 2022 - $7.2 million).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As at December 31, 2023, an aggregate of 746,445 vested units were being processed and due to be converted into common shares.</w:t>
      </w:r>
    </w:p>
    <w:p>
      <w:pPr>
        <w:spacing w:after="0" w:line="200" w:lineRule="exact"/>
        <w:rPr>
          <w:sz w:val="20"/>
          <w:szCs w:val="20"/>
          <w:color w:val="auto"/>
        </w:rPr>
      </w:pPr>
    </w:p>
    <w:p>
      <w:pPr>
        <w:spacing w:after="0" w:line="22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827" name="Shape 8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27" o:spid="_x0000_s18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56pt"/>
            </w:pict>
          </mc:Fallback>
        </mc:AlternateContent>
      </w:r>
    </w:p>
    <w:p>
      <w:pPr>
        <w:sectPr>
          <w:pgSz w:w="12240" w:h="15840" w:orient="portrait"/>
          <w:cols w:equalWidth="0" w:num="1">
            <w:col w:w="9480"/>
          </w:cols>
          <w:pgMar w:left="1440" w:top="1324" w:right="1320" w:bottom="1440" w:gutter="0" w:footer="0" w:header="0"/>
        </w:sectPr>
      </w:pPr>
    </w:p>
    <w:bookmarkStart w:id="156" w:name="page157"/>
    <w:bookmarkEnd w:id="156"/>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28" name="Shape 8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28" o:spid="_x0000_s18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29" name="Shape 8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29" o:spid="_x0000_s185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30" name="Shape 8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30" o:spid="_x0000_s185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31" name="Shape 8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31" o:spid="_x0000_s185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3"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218" w:lineRule="exact"/>
        <w:rPr>
          <w:sz w:val="20"/>
          <w:szCs w:val="20"/>
          <w:color w:val="auto"/>
        </w:rPr>
      </w:pPr>
    </w:p>
    <w:p>
      <w:pPr>
        <w:jc w:val="both"/>
        <w:ind w:left="306"/>
        <w:spacing w:after="0" w:line="261" w:lineRule="auto"/>
        <w:rPr>
          <w:sz w:val="20"/>
          <w:szCs w:val="20"/>
          <w:color w:val="auto"/>
        </w:rPr>
      </w:pPr>
      <w:r>
        <w:rPr>
          <w:rFonts w:ascii="Times New Roman" w:cs="Times New Roman" w:eastAsia="Times New Roman" w:hAnsi="Times New Roman"/>
          <w:sz w:val="17"/>
          <w:szCs w:val="17"/>
          <w:color w:val="auto"/>
        </w:rPr>
        <w:t>On May 31, 2022, TMC’s 2021 Employee Stock Purchase Plan (“ESPP”) was approved at the Company’s 2022 annual shareholders meeting. As of December 31, 2023, there were 7,922,445 common shares reserved for issuance under the ESPP. This included 2,668,121 shares added to the ESPP in January 2023 pursuant to the ESPP’s automatic annual increase provision discussed below.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71" w:lineRule="exact"/>
        <w:rPr>
          <w:sz w:val="20"/>
          <w:szCs w:val="20"/>
          <w:color w:val="auto"/>
        </w:rPr>
      </w:pPr>
    </w:p>
    <w:p>
      <w:pPr>
        <w:jc w:val="both"/>
        <w:ind w:left="306"/>
        <w:spacing w:after="0" w:line="259" w:lineRule="auto"/>
        <w:rPr>
          <w:sz w:val="20"/>
          <w:szCs w:val="20"/>
          <w:color w:val="auto"/>
        </w:rPr>
      </w:pPr>
      <w:r>
        <w:rPr>
          <w:rFonts w:ascii="Times New Roman" w:cs="Times New Roman" w:eastAsia="Times New Roman" w:hAnsi="Times New Roman"/>
          <w:sz w:val="17"/>
          <w:szCs w:val="17"/>
          <w:color w:val="auto"/>
        </w:rPr>
        <w:t>Participation in the ESPP is available to all full-time and certain part-time employees, subject to certain conditions.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379"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color w:val="auto"/>
        </w:rPr>
        <w:t>The ESPP includes the following limitations:</w:t>
      </w:r>
    </w:p>
    <w:p>
      <w:pPr>
        <w:spacing w:after="0" w:line="219" w:lineRule="exact"/>
        <w:rPr>
          <w:sz w:val="20"/>
          <w:szCs w:val="20"/>
          <w:color w:val="auto"/>
        </w:rPr>
      </w:pPr>
    </w:p>
    <w:p>
      <w:pPr>
        <w:ind w:left="1266" w:hanging="307"/>
        <w:spacing w:after="0"/>
        <w:tabs>
          <w:tab w:leader="none" w:pos="1266" w:val="left"/>
        </w:tabs>
        <w:numPr>
          <w:ilvl w:val="0"/>
          <w:numId w:val="76"/>
        </w:numPr>
        <w:rPr>
          <w:rFonts w:ascii="Arial" w:cs="Arial" w:eastAsia="Arial" w:hAnsi="Arial"/>
          <w:sz w:val="17"/>
          <w:szCs w:val="17"/>
          <w:color w:val="auto"/>
        </w:rPr>
      </w:pPr>
      <w:r>
        <w:rPr>
          <w:rFonts w:ascii="Times New Roman" w:cs="Times New Roman" w:eastAsia="Times New Roman" w:hAnsi="Times New Roman"/>
          <w:sz w:val="17"/>
          <w:szCs w:val="17"/>
          <w:color w:val="auto"/>
        </w:rPr>
        <w:t>an employee’s contribution is limited to 15% of the employee’s annual gross earnings, not to exceed $25,000 per year,</w:t>
      </w:r>
    </w:p>
    <w:p>
      <w:pPr>
        <w:spacing w:after="0" w:line="11" w:lineRule="exact"/>
        <w:rPr>
          <w:rFonts w:ascii="Arial" w:cs="Arial" w:eastAsia="Arial" w:hAnsi="Arial"/>
          <w:sz w:val="17"/>
          <w:szCs w:val="17"/>
          <w:color w:val="auto"/>
        </w:rPr>
      </w:pPr>
    </w:p>
    <w:p>
      <w:pPr>
        <w:ind w:left="1266" w:hanging="308"/>
        <w:spacing w:after="0"/>
        <w:tabs>
          <w:tab w:leader="none" w:pos="1266" w:val="left"/>
        </w:tabs>
        <w:numPr>
          <w:ilvl w:val="0"/>
          <w:numId w:val="76"/>
        </w:numPr>
        <w:rPr>
          <w:rFonts w:ascii="Arial" w:cs="Arial" w:eastAsia="Arial" w:hAnsi="Arial"/>
          <w:sz w:val="17"/>
          <w:szCs w:val="17"/>
          <w:color w:val="auto"/>
        </w:rPr>
      </w:pPr>
      <w:r>
        <w:rPr>
          <w:rFonts w:ascii="Times New Roman" w:cs="Times New Roman" w:eastAsia="Times New Roman" w:hAnsi="Times New Roman"/>
          <w:sz w:val="17"/>
          <w:szCs w:val="17"/>
          <w:color w:val="auto"/>
        </w:rPr>
        <w:t>an employee’s purchases in any offering period cannot exceed 15,000 common shares, and</w:t>
      </w:r>
    </w:p>
    <w:p>
      <w:pPr>
        <w:spacing w:after="0" w:line="11" w:lineRule="exact"/>
        <w:rPr>
          <w:rFonts w:ascii="Arial" w:cs="Arial" w:eastAsia="Arial" w:hAnsi="Arial"/>
          <w:sz w:val="17"/>
          <w:szCs w:val="17"/>
          <w:color w:val="auto"/>
        </w:rPr>
      </w:pPr>
    </w:p>
    <w:p>
      <w:pPr>
        <w:ind w:left="1266" w:hanging="308"/>
        <w:spacing w:after="0"/>
        <w:tabs>
          <w:tab w:leader="none" w:pos="1266" w:val="left"/>
        </w:tabs>
        <w:numPr>
          <w:ilvl w:val="0"/>
          <w:numId w:val="76"/>
        </w:numPr>
        <w:rPr>
          <w:rFonts w:ascii="Arial" w:cs="Arial" w:eastAsia="Arial" w:hAnsi="Arial"/>
          <w:sz w:val="17"/>
          <w:szCs w:val="17"/>
          <w:color w:val="auto"/>
        </w:rPr>
      </w:pPr>
      <w:r>
        <w:rPr>
          <w:rFonts w:ascii="Times New Roman" w:cs="Times New Roman" w:eastAsia="Times New Roman" w:hAnsi="Times New Roman"/>
          <w:sz w:val="17"/>
          <w:szCs w:val="17"/>
          <w:color w:val="auto"/>
        </w:rPr>
        <w:t>an employee’s purchases are capped, not to exceed 5% of the Company’s total outstanding common shares.</w:t>
      </w:r>
    </w:p>
    <w:p>
      <w:pPr>
        <w:spacing w:after="0" w:line="219" w:lineRule="exact"/>
        <w:rPr>
          <w:sz w:val="20"/>
          <w:szCs w:val="20"/>
          <w:color w:val="auto"/>
        </w:rPr>
      </w:pPr>
    </w:p>
    <w:p>
      <w:pPr>
        <w:jc w:val="both"/>
        <w:ind w:left="306" w:firstLine="310"/>
        <w:spacing w:after="0" w:line="265" w:lineRule="auto"/>
        <w:rPr>
          <w:sz w:val="20"/>
          <w:szCs w:val="20"/>
          <w:color w:val="auto"/>
        </w:rPr>
      </w:pPr>
      <w:r>
        <w:rPr>
          <w:rFonts w:ascii="Times New Roman" w:cs="Times New Roman" w:eastAsia="Times New Roman" w:hAnsi="Times New Roman"/>
          <w:sz w:val="17"/>
          <w:szCs w:val="17"/>
          <w:color w:val="auto"/>
        </w:rPr>
        <w:t>During 2023, the Company issued 173,672 common shares (2022: 117,929 common shares) to its employees as part of its ESPP program. A total of $47 thousand was charged to the statement of loss and comprehensive loss as share-based compensation expense for the year ended December 31, 2023, representing the share price purchase discount offered by the Company (2022: $0.1 million). From the amount charged in 2023, $26 thousand was recorded in exploration and evaluation expenses (2022: $35 thousand) and $21 thousand was recorded in general and administrative expenses (2022: $67 thousand).</w:t>
      </w:r>
    </w:p>
    <w:p>
      <w:pPr>
        <w:spacing w:after="0" w:line="175" w:lineRule="exact"/>
        <w:rPr>
          <w:sz w:val="20"/>
          <w:szCs w:val="20"/>
          <w:color w:val="auto"/>
        </w:rPr>
      </w:pPr>
    </w:p>
    <w:p>
      <w:pPr>
        <w:ind w:left="306" w:hanging="306"/>
        <w:spacing w:after="0"/>
        <w:tabs>
          <w:tab w:leader="none" w:pos="306"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222" w:lineRule="exact"/>
        <w:rPr>
          <w:rFonts w:ascii="Times New Roman" w:cs="Times New Roman" w:eastAsia="Times New Roman" w:hAnsi="Times New Roman"/>
          <w:sz w:val="17"/>
          <w:szCs w:val="17"/>
          <w:b w:val="1"/>
          <w:bCs w:val="1"/>
          <w:color w:val="auto"/>
        </w:rPr>
      </w:pPr>
    </w:p>
    <w:p>
      <w:pPr>
        <w:jc w:val="both"/>
        <w:ind w:left="306"/>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37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832" name="Shape 8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832" o:spid="_x0000_s18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47pt"/>
            </w:pict>
          </mc:Fallback>
        </mc:AlternateContent>
      </w:r>
    </w:p>
    <w:p>
      <w:pPr>
        <w:sectPr>
          <w:pgSz w:w="12240" w:h="15840" w:orient="portrait"/>
          <w:cols w:equalWidth="0" w:num="1">
            <w:col w:w="9606"/>
          </w:cols>
          <w:pgMar w:left="1314" w:top="1324" w:right="1320" w:bottom="1440" w:gutter="0" w:footer="0" w:header="0"/>
        </w:sectPr>
      </w:pPr>
    </w:p>
    <w:bookmarkStart w:id="157" w:name="page158"/>
    <w:bookmarkEnd w:id="157"/>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33" name="Shape 8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33" o:spid="_x0000_s18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34" name="Shape 8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34" o:spid="_x0000_s18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35" o:spid="_x0000_s18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36" name="Shape 8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36" o:spid="_x0000_s18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306"/>
        <w:spacing w:after="0"/>
        <w:rPr>
          <w:sz w:val="20"/>
          <w:szCs w:val="20"/>
          <w:color w:val="auto"/>
        </w:rPr>
      </w:pPr>
      <w:r>
        <w:rPr>
          <w:rFonts w:ascii="Times New Roman" w:cs="Times New Roman" w:eastAsia="Times New Roman" w:hAnsi="Times New Roman"/>
          <w:sz w:val="17"/>
          <w:szCs w:val="17"/>
          <w:color w:val="auto"/>
        </w:rPr>
        <w:t>Anti-dilutive equivalent common shares were as follows:</w:t>
      </w: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3"/>
        </w:trPr>
        <w:tc>
          <w:tcPr>
            <w:tcW w:w="30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300" w:type="dxa"/>
            <w:vAlign w:val="bottom"/>
          </w:tcPr>
          <w:p>
            <w:pPr>
              <w:spacing w:after="0"/>
              <w:rPr>
                <w:sz w:val="14"/>
                <w:szCs w:val="14"/>
                <w:color w:val="auto"/>
              </w:rPr>
            </w:pPr>
          </w:p>
        </w:tc>
        <w:tc>
          <w:tcPr>
            <w:tcW w:w="6300" w:type="dxa"/>
            <w:vAlign w:val="bottom"/>
            <w:tcBorders>
              <w:bottom w:val="single" w:sz="8" w:color="CBEBF4"/>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BEBF4"/>
            </w:tcBorders>
          </w:tcPr>
          <w:p>
            <w:pPr>
              <w:spacing w:after="0"/>
              <w:rPr>
                <w:sz w:val="14"/>
                <w:szCs w:val="14"/>
                <w:color w:val="auto"/>
              </w:rPr>
            </w:pPr>
          </w:p>
        </w:tc>
        <w:tc>
          <w:tcPr>
            <w:tcW w:w="140" w:type="dxa"/>
            <w:vAlign w:val="bottom"/>
            <w:tcBorders>
              <w:bottom w:val="single" w:sz="8" w:color="CBEBF4"/>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0"/>
        </w:trPr>
        <w:tc>
          <w:tcPr>
            <w:tcW w:w="300" w:type="dxa"/>
            <w:vAlign w:val="bottom"/>
          </w:tcPr>
          <w:p>
            <w:pPr>
              <w:spacing w:after="0"/>
              <w:rPr>
                <w:sz w:val="17"/>
                <w:szCs w:val="17"/>
                <w:color w:val="auto"/>
              </w:rPr>
            </w:pPr>
          </w:p>
        </w:tc>
        <w:tc>
          <w:tcPr>
            <w:tcW w:w="630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Outstanding options to purchase common shares</w:t>
            </w:r>
          </w:p>
        </w:tc>
        <w:tc>
          <w:tcPr>
            <w:tcW w:w="6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24,858,162</w:t>
            </w:r>
          </w:p>
        </w:tc>
        <w:tc>
          <w:tcPr>
            <w:tcW w:w="4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80" w:type="dxa"/>
            <w:vAlign w:val="bottom"/>
            <w:shd w:val="clear" w:color="auto" w:fill="CBEBF4"/>
          </w:tcPr>
          <w:p>
            <w:pPr>
              <w:spacing w:after="0"/>
              <w:rPr>
                <w:sz w:val="17"/>
                <w:szCs w:val="17"/>
                <w:color w:val="auto"/>
              </w:rPr>
            </w:pP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25,140,262</w:t>
            </w:r>
          </w:p>
        </w:tc>
      </w:tr>
      <w:tr>
        <w:trPr>
          <w:trHeight w:val="208"/>
        </w:trPr>
        <w:tc>
          <w:tcPr>
            <w:tcW w:w="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RSUs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12,484,880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3,815,143</w:t>
            </w:r>
          </w:p>
        </w:tc>
      </w:tr>
      <w:tr>
        <w:trPr>
          <w:trHeight w:val="207"/>
        </w:trPr>
        <w:tc>
          <w:tcPr>
            <w:tcW w:w="300" w:type="dxa"/>
            <w:vAlign w:val="bottom"/>
          </w:tcPr>
          <w:p>
            <w:pPr>
              <w:spacing w:after="0"/>
              <w:rPr>
                <w:sz w:val="18"/>
                <w:szCs w:val="18"/>
                <w:color w:val="auto"/>
              </w:rPr>
            </w:pPr>
          </w:p>
        </w:tc>
        <w:tc>
          <w:tcPr>
            <w:tcW w:w="630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Outstanding shares under ESPP</w:t>
            </w:r>
          </w:p>
        </w:tc>
        <w:tc>
          <w:tcPr>
            <w:tcW w:w="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8,802</w:t>
            </w:r>
          </w:p>
        </w:tc>
        <w:tc>
          <w:tcPr>
            <w:tcW w:w="4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12,212</w:t>
            </w:r>
          </w:p>
        </w:tc>
      </w:tr>
      <w:tr>
        <w:trPr>
          <w:trHeight w:val="207"/>
        </w:trPr>
        <w:tc>
          <w:tcPr>
            <w:tcW w:w="30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warrants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28,480,770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36,078,620</w:t>
            </w:r>
          </w:p>
        </w:tc>
      </w:tr>
      <w:tr>
        <w:trPr>
          <w:trHeight w:val="228"/>
        </w:trPr>
        <w:tc>
          <w:tcPr>
            <w:tcW w:w="300" w:type="dxa"/>
            <w:vAlign w:val="bottom"/>
          </w:tcPr>
          <w:p>
            <w:pPr>
              <w:spacing w:after="0"/>
              <w:rPr>
                <w:sz w:val="19"/>
                <w:szCs w:val="19"/>
                <w:color w:val="auto"/>
              </w:rPr>
            </w:pPr>
          </w:p>
        </w:tc>
        <w:tc>
          <w:tcPr>
            <w:tcW w:w="630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Outstanding Special Shares and options to purchase Special Shares</w:t>
            </w:r>
          </w:p>
        </w:tc>
        <w:tc>
          <w:tcPr>
            <w:tcW w:w="60" w:type="dxa"/>
            <w:vAlign w:val="bottom"/>
            <w:tcBorders>
              <w:bottom w:val="single" w:sz="8" w:color="auto"/>
            </w:tcBorders>
            <w:shd w:val="clear" w:color="auto" w:fill="CBEBF4"/>
          </w:tcPr>
          <w:p>
            <w:pPr>
              <w:spacing w:after="0"/>
              <w:rPr>
                <w:sz w:val="19"/>
                <w:szCs w:val="19"/>
                <w:color w:val="auto"/>
              </w:rPr>
            </w:pPr>
          </w:p>
        </w:tc>
        <w:tc>
          <w:tcPr>
            <w:tcW w:w="140" w:type="dxa"/>
            <w:vAlign w:val="bottom"/>
            <w:tcBorders>
              <w:bottom w:val="single" w:sz="8" w:color="auto"/>
            </w:tcBorders>
            <w:shd w:val="clear" w:color="auto" w:fill="CBEBF4"/>
          </w:tcPr>
          <w:p>
            <w:pPr>
              <w:spacing w:after="0"/>
              <w:rPr>
                <w:sz w:val="19"/>
                <w:szCs w:val="19"/>
                <w:color w:val="auto"/>
              </w:rPr>
            </w:pPr>
          </w:p>
        </w:tc>
        <w:tc>
          <w:tcPr>
            <w:tcW w:w="9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136,239,964</w:t>
            </w:r>
          </w:p>
        </w:tc>
        <w:tc>
          <w:tcPr>
            <w:tcW w:w="40" w:type="dxa"/>
            <w:vAlign w:val="bottom"/>
            <w:tcBorders>
              <w:bottom w:val="single" w:sz="8" w:color="CBEBF4"/>
            </w:tcBorders>
            <w:shd w:val="clear" w:color="auto" w:fill="CBEBF4"/>
          </w:tcPr>
          <w:p>
            <w:pPr>
              <w:spacing w:after="0"/>
              <w:rPr>
                <w:sz w:val="19"/>
                <w:szCs w:val="19"/>
                <w:color w:val="auto"/>
              </w:rPr>
            </w:pPr>
          </w:p>
        </w:tc>
        <w:tc>
          <w:tcPr>
            <w:tcW w:w="140" w:type="dxa"/>
            <w:vAlign w:val="bottom"/>
            <w:tcBorders>
              <w:bottom w:val="single" w:sz="8" w:color="CBEBF4"/>
            </w:tcBorders>
            <w:shd w:val="clear" w:color="auto" w:fill="CBEBF4"/>
          </w:tcPr>
          <w:p>
            <w:pPr>
              <w:spacing w:after="0"/>
              <w:rPr>
                <w:sz w:val="19"/>
                <w:szCs w:val="19"/>
                <w:color w:val="auto"/>
              </w:rPr>
            </w:pPr>
          </w:p>
        </w:tc>
        <w:tc>
          <w:tcPr>
            <w:tcW w:w="180" w:type="dxa"/>
            <w:vAlign w:val="bottom"/>
            <w:tcBorders>
              <w:bottom w:val="single" w:sz="8" w:color="auto"/>
            </w:tcBorders>
            <w:shd w:val="clear" w:color="auto" w:fill="CBEBF4"/>
          </w:tcPr>
          <w:p>
            <w:pPr>
              <w:spacing w:after="0"/>
              <w:rPr>
                <w:sz w:val="19"/>
                <w:szCs w:val="19"/>
                <w:color w:val="auto"/>
              </w:rPr>
            </w:pPr>
          </w:p>
        </w:tc>
        <w:tc>
          <w:tcPr>
            <w:tcW w:w="10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136,239,964</w:t>
            </w:r>
          </w:p>
        </w:tc>
      </w:tr>
      <w:tr>
        <w:trPr>
          <w:trHeight w:val="179"/>
        </w:trPr>
        <w:tc>
          <w:tcPr>
            <w:tcW w:w="300" w:type="dxa"/>
            <w:vAlign w:val="bottom"/>
          </w:tcPr>
          <w:p>
            <w:pPr>
              <w:spacing w:after="0"/>
              <w:rPr>
                <w:sz w:val="15"/>
                <w:szCs w:val="15"/>
                <w:color w:val="auto"/>
              </w:rPr>
            </w:pPr>
          </w:p>
        </w:tc>
        <w:tc>
          <w:tcPr>
            <w:tcW w:w="6300" w:type="dxa"/>
            <w:vAlign w:val="bottom"/>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Total anti-dilutive common equivalent shares</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7"/>
                <w:szCs w:val="17"/>
                <w:b w:val="1"/>
                <w:bCs w:val="1"/>
                <w:color w:val="auto"/>
              </w:rPr>
              <w:t>202,072,578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7"/>
                <w:szCs w:val="17"/>
                <w:color w:val="auto"/>
              </w:rPr>
              <w:t>201,286,201</w:t>
            </w:r>
          </w:p>
        </w:tc>
      </w:tr>
      <w:tr>
        <w:trPr>
          <w:trHeight w:val="218"/>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17. Financial Instruments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15"/>
        </w:trPr>
        <w:tc>
          <w:tcPr>
            <w:tcW w:w="30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Categories of Financial Instruments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9"/>
        </w:trPr>
        <w:tc>
          <w:tcPr>
            <w:tcW w:w="3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1"/>
        </w:trPr>
        <w:tc>
          <w:tcPr>
            <w:tcW w:w="300" w:type="dxa"/>
            <w:vAlign w:val="bottom"/>
          </w:tcPr>
          <w:p>
            <w:pPr>
              <w:spacing w:after="0"/>
              <w:rPr>
                <w:sz w:val="17"/>
                <w:szCs w:val="17"/>
                <w:color w:val="auto"/>
              </w:rPr>
            </w:pPr>
          </w:p>
        </w:tc>
        <w:tc>
          <w:tcPr>
            <w:tcW w:w="630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Financial assets</w:t>
            </w:r>
          </w:p>
        </w:tc>
        <w:tc>
          <w:tcPr>
            <w:tcW w:w="60" w:type="dxa"/>
            <w:vAlign w:val="bottom"/>
            <w:tcBorders>
              <w:top w:val="single" w:sz="8" w:color="CBEBF4"/>
            </w:tcBorders>
            <w:shd w:val="clear" w:color="auto" w:fill="CBEBF4"/>
          </w:tcPr>
          <w:p>
            <w:pPr>
              <w:spacing w:after="0"/>
              <w:rPr>
                <w:sz w:val="17"/>
                <w:szCs w:val="17"/>
                <w:color w:val="auto"/>
              </w:rPr>
            </w:pPr>
          </w:p>
        </w:tc>
        <w:tc>
          <w:tcPr>
            <w:tcW w:w="140" w:type="dxa"/>
            <w:vAlign w:val="bottom"/>
            <w:tcBorders>
              <w:top w:val="single" w:sz="8" w:color="auto"/>
            </w:tcBorders>
            <w:shd w:val="clear" w:color="auto" w:fill="CBEBF4"/>
          </w:tcPr>
          <w:p>
            <w:pPr>
              <w:spacing w:after="0"/>
              <w:rPr>
                <w:sz w:val="17"/>
                <w:szCs w:val="17"/>
                <w:color w:val="auto"/>
              </w:rPr>
            </w:pPr>
          </w:p>
        </w:tc>
        <w:tc>
          <w:tcPr>
            <w:tcW w:w="980" w:type="dxa"/>
            <w:vAlign w:val="bottom"/>
            <w:tcBorders>
              <w:top w:val="single" w:sz="8" w:color="auto"/>
            </w:tcBorders>
            <w:shd w:val="clear" w:color="auto" w:fill="CBEBF4"/>
          </w:tcPr>
          <w:p>
            <w:pPr>
              <w:spacing w:after="0"/>
              <w:rPr>
                <w:sz w:val="17"/>
                <w:szCs w:val="17"/>
                <w:color w:val="auto"/>
              </w:rPr>
            </w:pPr>
          </w:p>
        </w:tc>
        <w:tc>
          <w:tcPr>
            <w:tcW w:w="40" w:type="dxa"/>
            <w:vAlign w:val="bottom"/>
            <w:tcBorders>
              <w:top w:val="single" w:sz="8" w:color="auto"/>
            </w:tcBorders>
            <w:shd w:val="clear" w:color="auto" w:fill="CBEBF4"/>
          </w:tcPr>
          <w:p>
            <w:pPr>
              <w:spacing w:after="0"/>
              <w:rPr>
                <w:sz w:val="17"/>
                <w:szCs w:val="17"/>
                <w:color w:val="auto"/>
              </w:rPr>
            </w:pPr>
          </w:p>
        </w:tc>
        <w:tc>
          <w:tcPr>
            <w:tcW w:w="140" w:type="dxa"/>
            <w:vAlign w:val="bottom"/>
            <w:tcBorders>
              <w:top w:val="single" w:sz="8" w:color="CBEBF4"/>
            </w:tcBorders>
            <w:shd w:val="clear" w:color="auto" w:fill="CBEBF4"/>
          </w:tcPr>
          <w:p>
            <w:pPr>
              <w:spacing w:after="0"/>
              <w:rPr>
                <w:sz w:val="17"/>
                <w:szCs w:val="17"/>
                <w:color w:val="auto"/>
              </w:rPr>
            </w:pPr>
          </w:p>
        </w:tc>
        <w:tc>
          <w:tcPr>
            <w:tcW w:w="180" w:type="dxa"/>
            <w:vAlign w:val="bottom"/>
            <w:tcBorders>
              <w:top w:val="single" w:sz="8" w:color="auto"/>
            </w:tcBorders>
            <w:shd w:val="clear" w:color="auto" w:fill="CBEBF4"/>
          </w:tcPr>
          <w:p>
            <w:pPr>
              <w:spacing w:after="0"/>
              <w:rPr>
                <w:sz w:val="17"/>
                <w:szCs w:val="17"/>
                <w:color w:val="auto"/>
              </w:rPr>
            </w:pPr>
          </w:p>
        </w:tc>
        <w:tc>
          <w:tcPr>
            <w:tcW w:w="1000" w:type="dxa"/>
            <w:vAlign w:val="bottom"/>
            <w:tcBorders>
              <w:top w:val="single" w:sz="8" w:color="auto"/>
            </w:tcBorders>
            <w:shd w:val="clear" w:color="auto" w:fill="CBEBF4"/>
          </w:tcPr>
          <w:p>
            <w:pPr>
              <w:spacing w:after="0"/>
              <w:rPr>
                <w:sz w:val="17"/>
                <w:szCs w:val="17"/>
                <w:color w:val="auto"/>
              </w:rPr>
            </w:pPr>
          </w:p>
        </w:tc>
      </w:tr>
      <w:tr>
        <w:trPr>
          <w:trHeight w:val="207"/>
        </w:trPr>
        <w:tc>
          <w:tcPr>
            <w:tcW w:w="30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Amortized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7"/>
        </w:trPr>
        <w:tc>
          <w:tcPr>
            <w:tcW w:w="300" w:type="dxa"/>
            <w:vAlign w:val="bottom"/>
          </w:tcPr>
          <w:p>
            <w:pPr>
              <w:spacing w:after="0"/>
              <w:rPr>
                <w:sz w:val="18"/>
                <w:szCs w:val="18"/>
                <w:color w:val="auto"/>
              </w:rPr>
            </w:pPr>
          </w:p>
        </w:tc>
        <w:tc>
          <w:tcPr>
            <w:tcW w:w="6300" w:type="dxa"/>
            <w:vAlign w:val="bottom"/>
            <w:shd w:val="clear" w:color="auto" w:fill="CBEBF4"/>
          </w:tcPr>
          <w:p>
            <w:pPr>
              <w:ind w:left="220"/>
              <w:spacing w:after="0"/>
              <w:rPr>
                <w:sz w:val="20"/>
                <w:szCs w:val="20"/>
                <w:color w:val="auto"/>
              </w:rPr>
            </w:pPr>
            <w:r>
              <w:rPr>
                <w:rFonts w:ascii="Times New Roman" w:cs="Times New Roman" w:eastAsia="Times New Roman" w:hAnsi="Times New Roman"/>
                <w:sz w:val="17"/>
                <w:szCs w:val="17"/>
                <w:color w:val="auto"/>
              </w:rPr>
              <w:t>Cash</w:t>
            </w:r>
          </w:p>
        </w:tc>
        <w:tc>
          <w:tcPr>
            <w:tcW w:w="200" w:type="dxa"/>
            <w:vAlign w:val="bottom"/>
            <w:gridSpan w:val="2"/>
            <w:shd w:val="clear" w:color="auto" w:fill="CBEBF4"/>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6,842</w:t>
            </w:r>
          </w:p>
        </w:tc>
        <w:tc>
          <w:tcPr>
            <w:tcW w:w="4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8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46,876</w:t>
            </w:r>
          </w:p>
        </w:tc>
      </w:tr>
      <w:tr>
        <w:trPr>
          <w:trHeight w:val="208"/>
        </w:trPr>
        <w:tc>
          <w:tcPr>
            <w:tcW w:w="300" w:type="dxa"/>
            <w:vAlign w:val="bottom"/>
          </w:tcPr>
          <w:p>
            <w:pPr>
              <w:spacing w:after="0"/>
              <w:rPr>
                <w:sz w:val="18"/>
                <w:szCs w:val="18"/>
                <w:color w:val="auto"/>
              </w:rPr>
            </w:pPr>
          </w:p>
        </w:tc>
        <w:tc>
          <w:tcPr>
            <w:tcW w:w="6300" w:type="dxa"/>
            <w:vAlign w:val="bottom"/>
            <w:tcBorders>
              <w:bottom w:val="single" w:sz="8" w:color="CBEBF4"/>
            </w:tcBorders>
          </w:tcPr>
          <w:p>
            <w:pPr>
              <w:ind w:left="220"/>
              <w:spacing w:after="0"/>
              <w:rPr>
                <w:sz w:val="20"/>
                <w:szCs w:val="20"/>
                <w:color w:val="auto"/>
              </w:rPr>
            </w:pPr>
            <w:r>
              <w:rPr>
                <w:rFonts w:ascii="Times New Roman" w:cs="Times New Roman" w:eastAsia="Times New Roman" w:hAnsi="Times New Roman"/>
                <w:sz w:val="17"/>
                <w:szCs w:val="17"/>
                <w:color w:val="auto"/>
              </w:rPr>
              <w:t>Receivables and Prepayments</w:t>
            </w:r>
          </w:p>
        </w:tc>
        <w:tc>
          <w:tcPr>
            <w:tcW w:w="60" w:type="dxa"/>
            <w:vAlign w:val="bottom"/>
            <w:tcBorders>
              <w:bottom w:val="single" w:sz="8" w:color="CBEB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1,978</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BEB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2,726</w:t>
            </w:r>
          </w:p>
        </w:tc>
      </w:tr>
      <w:tr>
        <w:trPr>
          <w:trHeight w:val="200"/>
        </w:trPr>
        <w:tc>
          <w:tcPr>
            <w:tcW w:w="300" w:type="dxa"/>
            <w:vAlign w:val="bottom"/>
          </w:tcPr>
          <w:p>
            <w:pPr>
              <w:spacing w:after="0"/>
              <w:rPr>
                <w:sz w:val="17"/>
                <w:szCs w:val="17"/>
                <w:color w:val="auto"/>
              </w:rPr>
            </w:pPr>
          </w:p>
        </w:tc>
        <w:tc>
          <w:tcPr>
            <w:tcW w:w="6300" w:type="dxa"/>
            <w:vAlign w:val="bottom"/>
            <w:shd w:val="clear" w:color="auto" w:fill="CBEBF4"/>
          </w:tcPr>
          <w:p>
            <w:pPr>
              <w:spacing w:after="0"/>
              <w:rPr>
                <w:sz w:val="17"/>
                <w:szCs w:val="17"/>
                <w:color w:val="auto"/>
              </w:rPr>
            </w:pPr>
          </w:p>
        </w:tc>
        <w:tc>
          <w:tcPr>
            <w:tcW w:w="200" w:type="dxa"/>
            <w:vAlign w:val="bottom"/>
            <w:gridSpan w:val="2"/>
            <w:shd w:val="clear" w:color="auto" w:fill="CBEBF4"/>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8,820</w:t>
            </w:r>
          </w:p>
        </w:tc>
        <w:tc>
          <w:tcPr>
            <w:tcW w:w="40" w:type="dxa"/>
            <w:vAlign w:val="bottom"/>
            <w:shd w:val="clear" w:color="auto" w:fill="CBEBF4"/>
          </w:tcPr>
          <w:p>
            <w:pPr>
              <w:spacing w:after="0"/>
              <w:rPr>
                <w:sz w:val="17"/>
                <w:szCs w:val="17"/>
                <w:color w:val="auto"/>
              </w:rPr>
            </w:pPr>
          </w:p>
        </w:tc>
        <w:tc>
          <w:tcPr>
            <w:tcW w:w="140" w:type="dxa"/>
            <w:vAlign w:val="bottom"/>
            <w:shd w:val="clear" w:color="auto" w:fill="CBEBF4"/>
          </w:tcPr>
          <w:p>
            <w:pPr>
              <w:spacing w:after="0"/>
              <w:rPr>
                <w:sz w:val="17"/>
                <w:szCs w:val="17"/>
                <w:color w:val="auto"/>
              </w:rPr>
            </w:pPr>
          </w:p>
        </w:tc>
        <w:tc>
          <w:tcPr>
            <w:tcW w:w="18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49,602</w:t>
            </w:r>
          </w:p>
        </w:tc>
      </w:tr>
      <w:tr>
        <w:trPr>
          <w:trHeight w:val="200"/>
        </w:trPr>
        <w:tc>
          <w:tcPr>
            <w:tcW w:w="30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7"/>
        </w:trPr>
        <w:tc>
          <w:tcPr>
            <w:tcW w:w="300" w:type="dxa"/>
            <w:vAlign w:val="bottom"/>
          </w:tcPr>
          <w:p>
            <w:pPr>
              <w:spacing w:after="0"/>
              <w:rPr>
                <w:sz w:val="18"/>
                <w:szCs w:val="18"/>
                <w:color w:val="auto"/>
              </w:rPr>
            </w:pPr>
          </w:p>
        </w:tc>
        <w:tc>
          <w:tcPr>
            <w:tcW w:w="630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Financial liabilities</w:t>
            </w:r>
          </w:p>
        </w:tc>
        <w:tc>
          <w:tcPr>
            <w:tcW w:w="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980" w:type="dxa"/>
            <w:vAlign w:val="bottom"/>
            <w:shd w:val="clear" w:color="auto" w:fill="CBEBF4"/>
          </w:tcPr>
          <w:p>
            <w:pPr>
              <w:spacing w:after="0"/>
              <w:rPr>
                <w:sz w:val="18"/>
                <w:szCs w:val="18"/>
                <w:color w:val="auto"/>
              </w:rPr>
            </w:pPr>
          </w:p>
        </w:tc>
        <w:tc>
          <w:tcPr>
            <w:tcW w:w="4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1000" w:type="dxa"/>
            <w:vAlign w:val="bottom"/>
            <w:shd w:val="clear" w:color="auto" w:fill="CBEBF4"/>
          </w:tcPr>
          <w:p>
            <w:pPr>
              <w:spacing w:after="0"/>
              <w:rPr>
                <w:sz w:val="18"/>
                <w:szCs w:val="18"/>
                <w:color w:val="auto"/>
              </w:rPr>
            </w:pPr>
          </w:p>
        </w:tc>
      </w:tr>
      <w:tr>
        <w:trPr>
          <w:trHeight w:val="208"/>
        </w:trPr>
        <w:tc>
          <w:tcPr>
            <w:tcW w:w="30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Amortized cost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7"/>
        </w:trPr>
        <w:tc>
          <w:tcPr>
            <w:tcW w:w="300" w:type="dxa"/>
            <w:vAlign w:val="bottom"/>
          </w:tcPr>
          <w:p>
            <w:pPr>
              <w:spacing w:after="0"/>
              <w:rPr>
                <w:sz w:val="18"/>
                <w:szCs w:val="18"/>
                <w:color w:val="auto"/>
              </w:rPr>
            </w:pPr>
          </w:p>
        </w:tc>
        <w:tc>
          <w:tcPr>
            <w:tcW w:w="6300" w:type="dxa"/>
            <w:vAlign w:val="bottom"/>
            <w:shd w:val="clear" w:color="auto" w:fill="CBEBF4"/>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00" w:type="dxa"/>
            <w:vAlign w:val="bottom"/>
            <w:gridSpan w:val="2"/>
            <w:shd w:val="clear" w:color="auto" w:fill="CBEBF4"/>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31,334</w:t>
            </w:r>
          </w:p>
        </w:tc>
        <w:tc>
          <w:tcPr>
            <w:tcW w:w="4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8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41,614</w:t>
            </w:r>
          </w:p>
        </w:tc>
      </w:tr>
      <w:tr>
        <w:trPr>
          <w:trHeight w:val="207"/>
        </w:trPr>
        <w:tc>
          <w:tcPr>
            <w:tcW w:w="300" w:type="dxa"/>
            <w:vAlign w:val="bottom"/>
          </w:tcPr>
          <w:p>
            <w:pPr>
              <w:spacing w:after="0"/>
              <w:rPr>
                <w:sz w:val="18"/>
                <w:szCs w:val="18"/>
                <w:color w:val="auto"/>
              </w:rPr>
            </w:pPr>
          </w:p>
        </w:tc>
        <w:tc>
          <w:tcPr>
            <w:tcW w:w="6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Fair value through profit or 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300" w:type="dxa"/>
            <w:vAlign w:val="bottom"/>
          </w:tcPr>
          <w:p>
            <w:pPr>
              <w:spacing w:after="0"/>
              <w:rPr>
                <w:sz w:val="18"/>
                <w:szCs w:val="18"/>
                <w:color w:val="auto"/>
              </w:rPr>
            </w:pPr>
          </w:p>
        </w:tc>
        <w:tc>
          <w:tcPr>
            <w:tcW w:w="6300" w:type="dxa"/>
            <w:vAlign w:val="bottom"/>
            <w:shd w:val="clear" w:color="auto" w:fill="CBEBF4"/>
          </w:tcPr>
          <w:p>
            <w:pPr>
              <w:ind w:left="220"/>
              <w:spacing w:after="0"/>
              <w:rPr>
                <w:sz w:val="20"/>
                <w:szCs w:val="20"/>
                <w:color w:val="auto"/>
              </w:rPr>
            </w:pPr>
            <w:r>
              <w:rPr>
                <w:rFonts w:ascii="Times New Roman" w:cs="Times New Roman" w:eastAsia="Times New Roman" w:hAnsi="Times New Roman"/>
                <w:sz w:val="17"/>
                <w:szCs w:val="17"/>
                <w:color w:val="auto"/>
              </w:rPr>
              <w:t>Royalty liability</w:t>
            </w:r>
          </w:p>
        </w:tc>
        <w:tc>
          <w:tcPr>
            <w:tcW w:w="6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14,000</w:t>
            </w:r>
          </w:p>
        </w:tc>
        <w:tc>
          <w:tcPr>
            <w:tcW w:w="40" w:type="dxa"/>
            <w:vAlign w:val="bottom"/>
            <w:shd w:val="clear" w:color="auto" w:fill="CBEBF4"/>
          </w:tcPr>
          <w:p>
            <w:pPr>
              <w:spacing w:after="0"/>
              <w:rPr>
                <w:sz w:val="18"/>
                <w:szCs w:val="18"/>
                <w:color w:val="auto"/>
              </w:rPr>
            </w:pPr>
          </w:p>
        </w:tc>
        <w:tc>
          <w:tcPr>
            <w:tcW w:w="140" w:type="dxa"/>
            <w:vAlign w:val="bottom"/>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00" w:type="dxa"/>
            <w:vAlign w:val="bottom"/>
          </w:tcPr>
          <w:p>
            <w:pPr>
              <w:spacing w:after="0"/>
              <w:rPr>
                <w:sz w:val="18"/>
                <w:szCs w:val="18"/>
                <w:color w:val="auto"/>
              </w:rPr>
            </w:pPr>
          </w:p>
        </w:tc>
        <w:tc>
          <w:tcPr>
            <w:tcW w:w="6300" w:type="dxa"/>
            <w:vAlign w:val="bottom"/>
            <w:tcBorders>
              <w:bottom w:val="single" w:sz="8" w:color="CBEBF4"/>
            </w:tcBorders>
          </w:tcPr>
          <w:p>
            <w:pPr>
              <w:ind w:left="220"/>
              <w:spacing w:after="0"/>
              <w:rPr>
                <w:sz w:val="20"/>
                <w:szCs w:val="20"/>
                <w:color w:val="auto"/>
              </w:rPr>
            </w:pPr>
            <w:r>
              <w:rPr>
                <w:rFonts w:ascii="Times New Roman" w:cs="Times New Roman" w:eastAsia="Times New Roman" w:hAnsi="Times New Roman"/>
                <w:sz w:val="17"/>
                <w:szCs w:val="17"/>
                <w:color w:val="auto"/>
              </w:rPr>
              <w:t>Warrants liability</w:t>
            </w:r>
          </w:p>
        </w:tc>
        <w:tc>
          <w:tcPr>
            <w:tcW w:w="60" w:type="dxa"/>
            <w:vAlign w:val="bottom"/>
            <w:tcBorders>
              <w:bottom w:val="single" w:sz="8" w:color="CBEBF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1,969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BEB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r>
      <w:tr>
        <w:trPr>
          <w:trHeight w:val="200"/>
        </w:trPr>
        <w:tc>
          <w:tcPr>
            <w:tcW w:w="300" w:type="dxa"/>
            <w:vAlign w:val="bottom"/>
          </w:tcPr>
          <w:p>
            <w:pPr>
              <w:spacing w:after="0"/>
              <w:rPr>
                <w:sz w:val="17"/>
                <w:szCs w:val="17"/>
                <w:color w:val="auto"/>
              </w:rPr>
            </w:pPr>
          </w:p>
        </w:tc>
        <w:tc>
          <w:tcPr>
            <w:tcW w:w="6300" w:type="dxa"/>
            <w:vAlign w:val="bottom"/>
            <w:tcBorders>
              <w:bottom w:val="single" w:sz="8" w:color="CBEBF4"/>
            </w:tcBorders>
            <w:shd w:val="clear" w:color="auto" w:fill="CBEBF4"/>
          </w:tcPr>
          <w:p>
            <w:pPr>
              <w:spacing w:after="0"/>
              <w:rPr>
                <w:sz w:val="17"/>
                <w:szCs w:val="17"/>
                <w:color w:val="auto"/>
              </w:rPr>
            </w:pPr>
          </w:p>
        </w:tc>
        <w:tc>
          <w:tcPr>
            <w:tcW w:w="60" w:type="dxa"/>
            <w:vAlign w:val="bottom"/>
            <w:tcBorders>
              <w:bottom w:val="single" w:sz="8" w:color="CBEBF4"/>
            </w:tcBorders>
            <w:shd w:val="clear" w:color="auto" w:fill="CBEBF4"/>
          </w:tcPr>
          <w:p>
            <w:pPr>
              <w:spacing w:after="0"/>
              <w:rPr>
                <w:sz w:val="17"/>
                <w:szCs w:val="17"/>
                <w:color w:val="auto"/>
              </w:rPr>
            </w:pPr>
          </w:p>
        </w:tc>
        <w:tc>
          <w:tcPr>
            <w:tcW w:w="140" w:type="dxa"/>
            <w:vAlign w:val="bottom"/>
            <w:tcBorders>
              <w:bottom w:val="single" w:sz="8" w:color="auto"/>
            </w:tcBorders>
            <w:shd w:val="clear" w:color="auto" w:fill="CBEBF4"/>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47,303</w:t>
            </w:r>
          </w:p>
        </w:tc>
        <w:tc>
          <w:tcPr>
            <w:tcW w:w="40" w:type="dxa"/>
            <w:vAlign w:val="bottom"/>
            <w:tcBorders>
              <w:bottom w:val="single" w:sz="8" w:color="auto"/>
            </w:tcBorders>
            <w:shd w:val="clear" w:color="auto" w:fill="CBEBF4"/>
          </w:tcPr>
          <w:p>
            <w:pPr>
              <w:spacing w:after="0"/>
              <w:rPr>
                <w:sz w:val="17"/>
                <w:szCs w:val="17"/>
                <w:color w:val="auto"/>
              </w:rPr>
            </w:pPr>
          </w:p>
        </w:tc>
        <w:tc>
          <w:tcPr>
            <w:tcW w:w="140" w:type="dxa"/>
            <w:vAlign w:val="bottom"/>
            <w:tcBorders>
              <w:bottom w:val="single" w:sz="8" w:color="CBEBF4"/>
            </w:tcBorders>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42,597</w:t>
            </w:r>
          </w:p>
        </w:tc>
      </w:tr>
    </w:tbl>
    <w:p>
      <w:pPr>
        <w:spacing w:after="0" w:line="194" w:lineRule="exact"/>
        <w:rPr>
          <w:sz w:val="20"/>
          <w:szCs w:val="20"/>
          <w:color w:val="auto"/>
        </w:rPr>
      </w:pPr>
    </w:p>
    <w:p>
      <w:pPr>
        <w:ind w:left="306" w:hanging="306"/>
        <w:spacing w:after="0"/>
        <w:tabs>
          <w:tab w:leader="none" w:pos="306"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83" w:lineRule="exact"/>
        <w:rPr>
          <w:rFonts w:ascii="Times New Roman" w:cs="Times New Roman" w:eastAsia="Times New Roman" w:hAnsi="Times New Roman"/>
          <w:sz w:val="17"/>
          <w:szCs w:val="17"/>
          <w:b w:val="1"/>
          <w:bCs w:val="1"/>
          <w:color w:val="auto"/>
        </w:rPr>
      </w:pPr>
    </w:p>
    <w:p>
      <w:pPr>
        <w:jc w:val="both"/>
        <w:ind w:left="306"/>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subsidiary, DeepGreen Engineering Pte. Ltd., is engaged in a consulting agreement with SSCS Pte. Ltd. (“SSCS”) to manage offshore engineering studies. A director of DGE is employed through SSCS. Consulting services during the year ended December 31, 2023 totaled $212 thousand, (2022: $275 thousand), out of which a total $170 thousand (2022: $220 thousand), is disclosed as exploration labor within exploration and evaluation expenses (Note 10) and $42 thousand is disclosed as general and administrative expenses (2022: $55 thousand). As at December 31, 2023, the amount payable to SSCS was $17 thousand (December 31, 2022 - $17 thousand).</w:t>
      </w:r>
    </w:p>
    <w:p>
      <w:pPr>
        <w:spacing w:after="0" w:line="127" w:lineRule="exact"/>
        <w:rPr>
          <w:rFonts w:ascii="Times New Roman" w:cs="Times New Roman" w:eastAsia="Times New Roman" w:hAnsi="Times New Roman"/>
          <w:sz w:val="17"/>
          <w:szCs w:val="17"/>
          <w:b w:val="1"/>
          <w:bCs w:val="1"/>
          <w:color w:val="auto"/>
        </w:rPr>
      </w:pPr>
    </w:p>
    <w:p>
      <w:pPr>
        <w:jc w:val="both"/>
        <w:ind w:left="306"/>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Chief Ocean Scientist provides consulting services to the Company through Ocean Renaissance LLC (“Ocean Renaissance”) where he is a principal. Consulting services during year ended December 31, 2023 amounted to $331 thousand (2022: $375 thousand), out of which $149 thousand (2022 $188 thousand:), is disclosed as exploration labor within exploration and evaluation expenses (Note 10) and $182 thousand is disclosed as general and administrative expenses (2022: $187 thousand). As at December 31, 2023, the amount payable to Ocean Renaissance was $25 thousand (December 31, 2022- $nil).</w:t>
      </w:r>
    </w:p>
    <w:p>
      <w:pPr>
        <w:spacing w:after="0" w:line="139" w:lineRule="exact"/>
        <w:rPr>
          <w:rFonts w:ascii="Times New Roman" w:cs="Times New Roman" w:eastAsia="Times New Roman" w:hAnsi="Times New Roman"/>
          <w:sz w:val="17"/>
          <w:szCs w:val="17"/>
          <w:b w:val="1"/>
          <w:bCs w:val="1"/>
          <w:color w:val="auto"/>
        </w:rPr>
      </w:pPr>
    </w:p>
    <w:p>
      <w:pPr>
        <w:jc w:val="both"/>
        <w:ind w:left="306"/>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Registered Direct Offering announced on August 14, 2023, included approximately $0.3 million from the participation of several of the Company’s Directors and Officers. In addition, the committed funding included $10 million from ERAS Capital LLC, the investment fund of one of the Company’s Directors, $1 million of which was received on August 16, 2024 and the remaining $9 million was received on January 30, 2024 (Note 12).</w:t>
      </w:r>
    </w:p>
    <w:p>
      <w:pPr>
        <w:spacing w:after="0" w:line="121"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Apart from the above-mentioned transactions, the Company had transactions with Allseas which are detailed in Note 8.</w:t>
      </w:r>
    </w:p>
    <w:p>
      <w:pPr>
        <w:sectPr>
          <w:pgSz w:w="12240" w:h="15840" w:orient="portrait"/>
          <w:cols w:equalWidth="0" w:num="1">
            <w:col w:w="9606"/>
          </w:cols>
          <w:pgMar w:left="1314" w:top="1324" w:right="132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371475</wp:posOffset>
                </wp:positionV>
                <wp:extent cx="6109970" cy="0"/>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9.25pt" to="480.85pt,29.25pt" o:allowincell="f" strokecolor="#000000" strokeweight="1.9434pt"/>
            </w:pict>
          </mc:Fallback>
        </mc:AlternateContent>
      </w:r>
    </w:p>
    <w:p>
      <w:pPr>
        <w:sectPr>
          <w:pgSz w:w="12240" w:h="15840" w:orient="portrait"/>
          <w:cols w:equalWidth="0" w:num="1">
            <w:col w:w="9606"/>
          </w:cols>
          <w:pgMar w:left="1314" w:top="1324" w:right="1320" w:bottom="1440" w:gutter="0" w:footer="0" w:header="0"/>
          <w:type w:val="continuous"/>
        </w:sectPr>
      </w:pPr>
    </w:p>
    <w:bookmarkStart w:id="158" w:name="page159"/>
    <w:bookmarkEnd w:id="158"/>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39" name="Shape 8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39" o:spid="_x0000_s186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40" name="Shape 8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40" o:spid="_x0000_s186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06" w:right="6280" w:hanging="306"/>
        <w:spacing w:after="0" w:line="510" w:lineRule="auto"/>
        <w:tabs>
          <w:tab w:leader="none" w:pos="306"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Contingent Liabilities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7"/>
          <w:szCs w:val="17"/>
          <w:b w:val="1"/>
          <w:bCs w:val="1"/>
          <w:color w:val="auto"/>
        </w:rPr>
      </w:pPr>
    </w:p>
    <w:p>
      <w:pPr>
        <w:jc w:val="both"/>
        <w:ind w:left="306"/>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the Company is implementing the five-year plan. The cost of the estimated work plan for 2024 onwards is dependent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72"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Marawa Option Agreement and Services Agreement</w:t>
      </w:r>
    </w:p>
    <w:p>
      <w:pPr>
        <w:spacing w:after="0" w:line="217" w:lineRule="exact"/>
        <w:rPr>
          <w:rFonts w:ascii="Times New Roman" w:cs="Times New Roman" w:eastAsia="Times New Roman" w:hAnsi="Times New Roman"/>
          <w:sz w:val="17"/>
          <w:szCs w:val="17"/>
          <w:b w:val="1"/>
          <w:bCs w:val="1"/>
          <w:color w:val="auto"/>
        </w:rPr>
      </w:pPr>
    </w:p>
    <w:p>
      <w:pPr>
        <w:jc w:val="both"/>
        <w:ind w:left="306" w:firstLine="1"/>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Through DGE’s Marawa Option Agreement and separate Services Agreement with Marawa with respect to the Marawa Area, Marawa and DGE submitted a periodic review report to the ISA in 2019, covering 2015-2019. The periodic review report includes a proposed work plan and estimated budget for the 2020-2024 five-year period. The five-year estimated expenditure is indicative and subject to change, Marawa will review the program regularly and Marawa will inform the ISA of any changes through its annual reports. To date, limited offshore marine resource definition activities in the Marawa Contract Area have occurred. The Company expects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73"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TOML Exploration Contract</w:t>
      </w:r>
    </w:p>
    <w:p>
      <w:pPr>
        <w:spacing w:after="0" w:line="217" w:lineRule="exact"/>
        <w:rPr>
          <w:rFonts w:ascii="Times New Roman" w:cs="Times New Roman" w:eastAsia="Times New Roman" w:hAnsi="Times New Roman"/>
          <w:sz w:val="17"/>
          <w:szCs w:val="17"/>
          <w:b w:val="1"/>
          <w:bCs w:val="1"/>
          <w:color w:val="auto"/>
        </w:rPr>
      </w:pPr>
    </w:p>
    <w:p>
      <w:pPr>
        <w:jc w:val="both"/>
        <w:ind w:left="306"/>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67"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Offtake Agreements</w:t>
      </w:r>
    </w:p>
    <w:p>
      <w:pPr>
        <w:spacing w:after="0" w:line="217" w:lineRule="exact"/>
        <w:rPr>
          <w:rFonts w:ascii="Times New Roman" w:cs="Times New Roman" w:eastAsia="Times New Roman" w:hAnsi="Times New Roman"/>
          <w:sz w:val="17"/>
          <w:szCs w:val="17"/>
          <w:b w:val="1"/>
          <w:bCs w:val="1"/>
          <w:color w:val="auto"/>
        </w:rPr>
      </w:pPr>
    </w:p>
    <w:p>
      <w:pPr>
        <w:jc w:val="both"/>
        <w:ind w:left="306" w:firstLine="1"/>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67"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Sponsorship Agreements</w:t>
      </w:r>
    </w:p>
    <w:p>
      <w:pPr>
        <w:spacing w:after="0" w:line="217" w:lineRule="exact"/>
        <w:rPr>
          <w:rFonts w:ascii="Times New Roman" w:cs="Times New Roman" w:eastAsia="Times New Roman" w:hAnsi="Times New Roman"/>
          <w:sz w:val="17"/>
          <w:szCs w:val="17"/>
          <w:b w:val="1"/>
          <w:bCs w:val="1"/>
          <w:color w:val="auto"/>
        </w:rPr>
      </w:pPr>
    </w:p>
    <w:p>
      <w:pPr>
        <w:jc w:val="both"/>
        <w:ind w:left="306"/>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ectPr>
          <w:pgSz w:w="12240" w:h="15840" w:orient="portrait"/>
          <w:cols w:equalWidth="0" w:num="1">
            <w:col w:w="9606"/>
          </w:cols>
          <w:pgMar w:left="1314" w:top="1324" w:right="1320" w:bottom="1440" w:gutter="0" w:footer="0" w:header="0"/>
        </w:sectPr>
      </w:pPr>
    </w:p>
    <w:p>
      <w:pPr>
        <w:spacing w:after="0" w:line="37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367030</wp:posOffset>
                </wp:positionV>
                <wp:extent cx="6109970" cy="0"/>
                <wp:wrapNone/>
                <wp:docPr id="842" name="Shape 8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42" o:spid="_x0000_s18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9pt" to="480.85pt,28.9pt" o:allowincell="f" strokecolor="#000000" strokeweight="1.2956pt"/>
            </w:pict>
          </mc:Fallback>
        </mc:AlternateContent>
      </w:r>
    </w:p>
    <w:p>
      <w:pPr>
        <w:sectPr>
          <w:pgSz w:w="12240" w:h="15840" w:orient="portrait"/>
          <w:cols w:equalWidth="0" w:num="1">
            <w:col w:w="9606"/>
          </w:cols>
          <w:pgMar w:left="1314" w:top="1324" w:right="1320" w:bottom="1440" w:gutter="0" w:footer="0" w:header="0"/>
          <w:type w:val="continuous"/>
        </w:sectPr>
      </w:pPr>
    </w:p>
    <w:bookmarkStart w:id="159" w:name="page160"/>
    <w:bookmarkEnd w:id="159"/>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43" name="Shape 8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43" o:spid="_x0000_s18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45" name="Shape 8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45" o:spid="_x0000_s18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46" name="Shape 8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6" o:spid="_x0000_s18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180" w:firstLine="1"/>
        <w:spacing w:after="0" w:line="260" w:lineRule="auto"/>
        <w:rPr>
          <w:sz w:val="20"/>
          <w:szCs w:val="20"/>
          <w:color w:val="auto"/>
        </w:rPr>
      </w:pPr>
      <w:r>
        <w:rPr>
          <w:rFonts w:ascii="Times New Roman" w:cs="Times New Roman" w:eastAsia="Times New Roman" w:hAnsi="Times New Roman"/>
          <w:sz w:val="17"/>
          <w:szCs w:val="17"/>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Liability</w:t>
      </w:r>
    </w:p>
    <w:p>
      <w:pPr>
        <w:spacing w:after="0" w:line="218" w:lineRule="exact"/>
        <w:rPr>
          <w:sz w:val="20"/>
          <w:szCs w:val="20"/>
          <w:color w:val="auto"/>
        </w:rPr>
      </w:pPr>
    </w:p>
    <w:p>
      <w:pPr>
        <w:jc w:val="both"/>
        <w:ind w:left="180" w:firstLine="1"/>
        <w:spacing w:after="0" w:line="257" w:lineRule="auto"/>
        <w:rPr>
          <w:sz w:val="20"/>
          <w:szCs w:val="20"/>
          <w:color w:val="auto"/>
        </w:rPr>
      </w:pPr>
      <w:r>
        <w:rPr>
          <w:rFonts w:ascii="Times New Roman" w:cs="Times New Roman" w:eastAsia="Times New Roman" w:hAnsi="Times New Roman"/>
          <w:sz w:val="17"/>
          <w:szCs w:val="17"/>
          <w:color w:val="auto"/>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the Company or the other defendants will be successful in the Company’s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383" w:lineRule="exact"/>
        <w:rPr>
          <w:sz w:val="20"/>
          <w:szCs w:val="20"/>
          <w:color w:val="auto"/>
        </w:rPr>
      </w:pPr>
    </w:p>
    <w:p>
      <w:pPr>
        <w:jc w:val="both"/>
        <w:ind w:left="180" w:firstLine="2"/>
        <w:spacing w:after="0" w:line="258" w:lineRule="auto"/>
        <w:rPr>
          <w:sz w:val="20"/>
          <w:szCs w:val="20"/>
          <w:color w:val="auto"/>
        </w:rPr>
      </w:pPr>
      <w:r>
        <w:rPr>
          <w:rFonts w:ascii="Times New Roman" w:cs="Times New Roman" w:eastAsia="Times New Roman" w:hAnsi="Times New Roman"/>
          <w:sz w:val="17"/>
          <w:szCs w:val="17"/>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The Company filed a notice of appeal regarding the Court’s denial of our motion to dismiss the breach of the Subscription Agreement claim. There is no assurance that the Company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-83185</wp:posOffset>
                </wp:positionH>
                <wp:positionV relativeFrom="paragraph">
                  <wp:posOffset>360045</wp:posOffset>
                </wp:positionV>
                <wp:extent cx="6109970" cy="0"/>
                <wp:wrapNone/>
                <wp:docPr id="847" name="Shape 8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47" o:spid="_x0000_s18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5499pt,28.35pt" to="474.55pt,28.35pt" o:allowincell="f" strokecolor="#000000" strokeweight="1.2956pt"/>
            </w:pict>
          </mc:Fallback>
        </mc:AlternateContent>
      </w:r>
    </w:p>
    <w:p>
      <w:pPr>
        <w:sectPr>
          <w:pgSz w:w="12240" w:h="15840" w:orient="portrait"/>
          <w:cols w:equalWidth="0" w:num="1">
            <w:col w:w="9480"/>
          </w:cols>
          <w:pgMar w:left="1440" w:top="1324" w:right="1320"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48" name="Shape 8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48" o:spid="_x0000_s18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49" o:spid="_x0000_s18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50" name="Shape 8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50" o:spid="_x0000_s187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51" name="Shape 8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1" o:spid="_x0000_s187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20. Segmented Information</w:t>
      </w:r>
    </w:p>
    <w:p>
      <w:pPr>
        <w:spacing w:after="0" w:line="222" w:lineRule="exact"/>
        <w:rPr>
          <w:sz w:val="20"/>
          <w:szCs w:val="20"/>
          <w:color w:val="auto"/>
        </w:rPr>
      </w:pPr>
    </w:p>
    <w:p>
      <w:pPr>
        <w:jc w:val="both"/>
        <w:ind w:left="320" w:firstLine="1"/>
        <w:spacing w:after="0" w:line="276" w:lineRule="auto"/>
        <w:rPr>
          <w:sz w:val="20"/>
          <w:szCs w:val="20"/>
          <w:color w:val="auto"/>
        </w:rPr>
      </w:pPr>
      <w:r>
        <w:rPr>
          <w:rFonts w:ascii="Times New Roman" w:cs="Times New Roman" w:eastAsia="Times New Roman" w:hAnsi="Times New Roman"/>
          <w:sz w:val="17"/>
          <w:szCs w:val="17"/>
          <w:color w:val="auto"/>
        </w:rPr>
        <w:t>The Company’s business consists of only one operating segment, namely exploration of seafloor polymetallic nodules, which includes the development of a metallurgical process to treat such seafloor polymetallic nodules. Details on the geographical segmentation of the Company’s long-lived assets based on where each legal entity is domiciled are as follows: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00"/>
        </w:trPr>
        <w:tc>
          <w:tcPr>
            <w:tcW w:w="61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Nauru</w:t>
            </w:r>
          </w:p>
        </w:tc>
        <w:tc>
          <w:tcPr>
            <w:tcW w:w="160" w:type="dxa"/>
            <w:vAlign w:val="bottom"/>
            <w:tcBorders>
              <w:top w:val="single" w:sz="8" w:color="CBEBF4"/>
            </w:tcBorders>
            <w:shd w:val="clear" w:color="auto" w:fill="CBEBF4"/>
          </w:tcPr>
          <w:p>
            <w:pPr>
              <w:spacing w:after="0"/>
              <w:rPr>
                <w:sz w:val="17"/>
                <w:szCs w:val="17"/>
                <w:color w:val="auto"/>
              </w:rPr>
            </w:pPr>
          </w:p>
        </w:tc>
        <w:tc>
          <w:tcPr>
            <w:tcW w:w="40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1,128</w:t>
            </w:r>
          </w:p>
        </w:tc>
        <w:tc>
          <w:tcPr>
            <w:tcW w:w="160" w:type="dxa"/>
            <w:vAlign w:val="bottom"/>
            <w:tcBorders>
              <w:top w:val="single" w:sz="8" w:color="CBEBF4"/>
            </w:tcBorders>
            <w:shd w:val="clear" w:color="auto" w:fill="CBEBF4"/>
          </w:tcPr>
          <w:p>
            <w:pPr>
              <w:spacing w:after="0"/>
              <w:rPr>
                <w:sz w:val="17"/>
                <w:szCs w:val="17"/>
                <w:color w:val="auto"/>
              </w:rPr>
            </w:pPr>
          </w:p>
        </w:tc>
        <w:tc>
          <w:tcPr>
            <w:tcW w:w="12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1,154</w:t>
            </w:r>
          </w:p>
        </w:tc>
      </w:tr>
      <w:tr>
        <w:trPr>
          <w:trHeight w:val="208"/>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r>
      <w:tr>
        <w:trPr>
          <w:trHeight w:val="207"/>
        </w:trPr>
        <w:tc>
          <w:tcPr>
            <w:tcW w:w="63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Tonga</w:t>
            </w:r>
          </w:p>
        </w:tc>
        <w:tc>
          <w:tcPr>
            <w:tcW w:w="400" w:type="dxa"/>
            <w:vAlign w:val="bottom"/>
            <w:shd w:val="clear" w:color="auto" w:fill="CBEBF4"/>
          </w:tcPr>
          <w:p>
            <w:pPr>
              <w:spacing w:after="0"/>
              <w:rPr>
                <w:sz w:val="18"/>
                <w:szCs w:val="18"/>
                <w:color w:val="auto"/>
              </w:rPr>
            </w:pP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60" w:type="dxa"/>
            <w:vAlign w:val="bottom"/>
            <w:shd w:val="clear" w:color="auto" w:fill="CBEBF4"/>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0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7"/>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1"/>
        </w:trPr>
        <w:tc>
          <w:tcPr>
            <w:tcW w:w="6340" w:type="dxa"/>
            <w:vAlign w:val="bottom"/>
            <w:tcBorders>
              <w:top w:val="single" w:sz="8" w:color="CBEBF4"/>
              <w:bottom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00" w:type="dxa"/>
            <w:vAlign w:val="bottom"/>
            <w:tcBorders>
              <w:top w:val="single" w:sz="8" w:color="auto"/>
              <w:bottom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2,776</w:t>
            </w:r>
          </w:p>
        </w:tc>
        <w:tc>
          <w:tcPr>
            <w:tcW w:w="160" w:type="dxa"/>
            <w:vAlign w:val="bottom"/>
            <w:tcBorders>
              <w:top w:val="single" w:sz="8" w:color="CBEBF4"/>
              <w:bottom w:val="single" w:sz="8" w:color="CBEBF4"/>
            </w:tcBorders>
            <w:shd w:val="clear" w:color="auto" w:fill="CBEBF4"/>
          </w:tcPr>
          <w:p>
            <w:pPr>
              <w:spacing w:after="0"/>
              <w:rPr>
                <w:sz w:val="17"/>
                <w:szCs w:val="17"/>
                <w:color w:val="auto"/>
              </w:rPr>
            </w:pPr>
          </w:p>
        </w:tc>
        <w:tc>
          <w:tcPr>
            <w:tcW w:w="120" w:type="dxa"/>
            <w:vAlign w:val="bottom"/>
            <w:tcBorders>
              <w:top w:val="single" w:sz="8" w:color="auto"/>
              <w:bottom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2,025</w:t>
            </w:r>
          </w:p>
        </w:tc>
      </w:tr>
      <w:tr>
        <w:trPr>
          <w:trHeight w:val="20"/>
        </w:trPr>
        <w:tc>
          <w:tcPr>
            <w:tcW w:w="6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20" w:hanging="307"/>
        <w:spacing w:after="0"/>
        <w:tabs>
          <w:tab w:leader="none" w:pos="32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Reconciliation of Effective Tax Rate</w:t>
      </w:r>
    </w:p>
    <w:p>
      <w:pPr>
        <w:spacing w:after="0" w:line="219"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subject to Canadian federal and provincial tax for the estimated assessable profit at a rate of 26.68% for the year ended December 31, 2023 (2022: 26.61%). The Company had no assessable profit in Canada for all periods disclosed.</w:t>
      </w:r>
    </w:p>
    <w:p>
      <w:pPr>
        <w:spacing w:after="0" w:line="136"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income tax expense at statutory rates for the Company can be reconciled to the reported loss for the years 2023 and 2022 per the statement of loss and comprehensive loss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3"/>
        </w:trPr>
        <w:tc>
          <w:tcPr>
            <w:tcW w:w="3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160" w:type="dxa"/>
            <w:vAlign w:val="bottom"/>
            <w:gridSpan w:val="2"/>
          </w:tcPr>
          <w:p>
            <w:pPr>
              <w:jc w:val="right"/>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line="169" w:lineRule="exact"/>
              <w:rPr>
                <w:sz w:val="20"/>
                <w:szCs w:val="20"/>
                <w:color w:val="auto"/>
              </w:rPr>
            </w:pPr>
            <w:r>
              <w:rPr>
                <w:rFonts w:ascii="Times New Roman" w:cs="Times New Roman" w:eastAsia="Times New Roman" w:hAnsi="Times New Roman"/>
                <w:sz w:val="13"/>
                <w:szCs w:val="13"/>
                <w:b w:val="1"/>
                <w:bCs w:val="1"/>
                <w:color w:val="auto"/>
              </w:rPr>
              <w:t>2022</w:t>
            </w:r>
            <w:r>
              <w:rPr>
                <w:rFonts w:ascii="Times New Roman" w:cs="Times New Roman" w:eastAsia="Times New Roman" w:hAnsi="Times New Roman"/>
                <w:sz w:val="19"/>
                <w:szCs w:val="19"/>
                <w:b w:val="1"/>
                <w:bCs w:val="1"/>
                <w:color w:val="auto"/>
                <w:vertAlign w:val="superscript"/>
              </w:rPr>
              <w:t>(1)</w:t>
            </w:r>
          </w:p>
        </w:tc>
      </w:tr>
      <w:tr>
        <w:trPr>
          <w:trHeight w:val="200"/>
        </w:trPr>
        <w:tc>
          <w:tcPr>
            <w:tcW w:w="320" w:type="dxa"/>
            <w:vAlign w:val="bottom"/>
          </w:tcPr>
          <w:p>
            <w:pPr>
              <w:spacing w:after="0"/>
              <w:rPr>
                <w:sz w:val="17"/>
                <w:szCs w:val="17"/>
                <w:color w:val="auto"/>
              </w:rPr>
            </w:pPr>
          </w:p>
        </w:tc>
        <w:tc>
          <w:tcPr>
            <w:tcW w:w="6040" w:type="dxa"/>
            <w:vAlign w:val="bottom"/>
            <w:tcBorders>
              <w:top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Loss for the year, before taxes</w:t>
            </w:r>
          </w:p>
        </w:tc>
        <w:tc>
          <w:tcPr>
            <w:tcW w:w="200" w:type="dxa"/>
            <w:vAlign w:val="bottom"/>
            <w:tcBorders>
              <w:top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(73,740)</w:t>
            </w:r>
          </w:p>
        </w:tc>
        <w:tc>
          <w:tcPr>
            <w:tcW w:w="260" w:type="dxa"/>
            <w:vAlign w:val="bottom"/>
            <w:tcBorders>
              <w:top w:val="single" w:sz="8" w:color="CBEBF4"/>
            </w:tcBorders>
            <w:shd w:val="clear" w:color="auto" w:fill="CBEBF4"/>
          </w:tcPr>
          <w:p>
            <w:pPr>
              <w:spacing w:after="0"/>
              <w:rPr>
                <w:sz w:val="17"/>
                <w:szCs w:val="17"/>
                <w:color w:val="auto"/>
              </w:rPr>
            </w:pPr>
          </w:p>
        </w:tc>
        <w:tc>
          <w:tcPr>
            <w:tcW w:w="1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(170,887)</w:t>
            </w:r>
          </w:p>
        </w:tc>
        <w:tc>
          <w:tcPr>
            <w:tcW w:w="180" w:type="dxa"/>
            <w:vAlign w:val="bottom"/>
            <w:tcBorders>
              <w:top w:val="single" w:sz="8" w:color="CBEBF4"/>
            </w:tcBorders>
            <w:shd w:val="clear" w:color="auto" w:fill="CBEBF4"/>
          </w:tcPr>
          <w:p>
            <w:pPr>
              <w:spacing w:after="0"/>
              <w:rPr>
                <w:sz w:val="17"/>
                <w:szCs w:val="17"/>
                <w:color w:val="auto"/>
              </w:rPr>
            </w:pPr>
          </w:p>
        </w:tc>
      </w:tr>
      <w:tr>
        <w:trPr>
          <w:trHeight w:val="207"/>
        </w:trPr>
        <w:tc>
          <w:tcPr>
            <w:tcW w:w="3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Canadian Federal and Provincial income tax rates</w:t>
            </w:r>
          </w:p>
        </w:tc>
        <w:tc>
          <w:tcPr>
            <w:tcW w:w="2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26.68 %</w:t>
            </w:r>
          </w:p>
        </w:tc>
        <w:tc>
          <w:tcPr>
            <w:tcW w:w="1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26.61 %</w:t>
            </w:r>
          </w:p>
        </w:tc>
      </w:tr>
      <w:tr>
        <w:trPr>
          <w:trHeight w:val="201"/>
        </w:trPr>
        <w:tc>
          <w:tcPr>
            <w:tcW w:w="320" w:type="dxa"/>
            <w:vAlign w:val="bottom"/>
          </w:tcPr>
          <w:p>
            <w:pPr>
              <w:spacing w:after="0"/>
              <w:rPr>
                <w:sz w:val="17"/>
                <w:szCs w:val="17"/>
                <w:color w:val="auto"/>
              </w:rPr>
            </w:pPr>
          </w:p>
        </w:tc>
        <w:tc>
          <w:tcPr>
            <w:tcW w:w="6040" w:type="dxa"/>
            <w:vAlign w:val="bottom"/>
            <w:tcBorders>
              <w:top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Income tax recovery based on the above rates</w:t>
            </w:r>
          </w:p>
        </w:tc>
        <w:tc>
          <w:tcPr>
            <w:tcW w:w="200" w:type="dxa"/>
            <w:vAlign w:val="bottom"/>
            <w:tcBorders>
              <w:top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(19,677)</w:t>
            </w:r>
          </w:p>
        </w:tc>
        <w:tc>
          <w:tcPr>
            <w:tcW w:w="260" w:type="dxa"/>
            <w:vAlign w:val="bottom"/>
            <w:tcBorders>
              <w:top w:val="single" w:sz="8" w:color="CBEBF4"/>
            </w:tcBorders>
            <w:shd w:val="clear" w:color="auto" w:fill="CBEBF4"/>
          </w:tcPr>
          <w:p>
            <w:pPr>
              <w:spacing w:after="0"/>
              <w:rPr>
                <w:sz w:val="17"/>
                <w:szCs w:val="17"/>
                <w:color w:val="auto"/>
              </w:rPr>
            </w:pPr>
          </w:p>
        </w:tc>
        <w:tc>
          <w:tcPr>
            <w:tcW w:w="180" w:type="dxa"/>
            <w:vAlign w:val="bottom"/>
            <w:tcBorders>
              <w:top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(45,473)</w:t>
            </w:r>
          </w:p>
        </w:tc>
        <w:tc>
          <w:tcPr>
            <w:tcW w:w="180" w:type="dxa"/>
            <w:vAlign w:val="bottom"/>
            <w:tcBorders>
              <w:top w:val="single" w:sz="8" w:color="CBEBF4"/>
            </w:tcBorders>
            <w:shd w:val="clear" w:color="auto" w:fill="CBEBF4"/>
          </w:tcPr>
          <w:p>
            <w:pPr>
              <w:spacing w:after="0"/>
              <w:rPr>
                <w:sz w:val="17"/>
                <w:szCs w:val="17"/>
                <w:color w:val="auto"/>
              </w:rPr>
            </w:pPr>
          </w:p>
        </w:tc>
      </w:tr>
      <w:tr>
        <w:trPr>
          <w:trHeight w:val="207"/>
        </w:trPr>
        <w:tc>
          <w:tcPr>
            <w:tcW w:w="3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Permanent differences</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1,556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180" w:type="dxa"/>
            <w:vAlign w:val="bottom"/>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60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Effect of differences in future and foreign tax rates</w:t>
            </w:r>
          </w:p>
        </w:tc>
        <w:tc>
          <w:tcPr>
            <w:tcW w:w="200" w:type="dxa"/>
            <w:vAlign w:val="bottom"/>
            <w:shd w:val="clear" w:color="auto" w:fill="CBEBF4"/>
          </w:tcPr>
          <w:p>
            <w:pPr>
              <w:spacing w:after="0"/>
              <w:rPr>
                <w:sz w:val="18"/>
                <w:szCs w:val="18"/>
                <w:color w:val="auto"/>
              </w:rPr>
            </w:pPr>
          </w:p>
        </w:tc>
        <w:tc>
          <w:tcPr>
            <w:tcW w:w="10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14,038</w:t>
            </w:r>
          </w:p>
        </w:tc>
        <w:tc>
          <w:tcPr>
            <w:tcW w:w="260" w:type="dxa"/>
            <w:vAlign w:val="bottom"/>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36,903</w:t>
            </w:r>
          </w:p>
        </w:tc>
        <w:tc>
          <w:tcPr>
            <w:tcW w:w="180" w:type="dxa"/>
            <w:vAlign w:val="bottom"/>
            <w:shd w:val="clear" w:color="auto" w:fill="CBEBF4"/>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604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color w:val="auto"/>
              </w:rPr>
              <w:t>Valuation allowance changes affecting the provision of income taxes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4,124</w:t>
            </w:r>
          </w:p>
        </w:tc>
        <w:tc>
          <w:tcPr>
            <w:tcW w:w="260" w:type="dxa"/>
            <w:vAlign w:val="bottom"/>
            <w:tcBorders>
              <w:bottom w:val="single" w:sz="8" w:color="CBEBF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6,721</w:t>
            </w:r>
          </w:p>
        </w:tc>
        <w:tc>
          <w:tcPr>
            <w:tcW w:w="180" w:type="dxa"/>
            <w:vAlign w:val="bottom"/>
            <w:tcBorders>
              <w:bottom w:val="single" w:sz="8" w:color="CBEBF4"/>
            </w:tcBorders>
          </w:tcPr>
          <w:p>
            <w:pPr>
              <w:spacing w:after="0"/>
              <w:rPr>
                <w:sz w:val="18"/>
                <w:szCs w:val="18"/>
                <w:color w:val="auto"/>
              </w:rPr>
            </w:pPr>
          </w:p>
        </w:tc>
      </w:tr>
      <w:tr>
        <w:trPr>
          <w:trHeight w:val="201"/>
        </w:trPr>
        <w:tc>
          <w:tcPr>
            <w:tcW w:w="320" w:type="dxa"/>
            <w:vAlign w:val="bottom"/>
          </w:tcPr>
          <w:p>
            <w:pPr>
              <w:spacing w:after="0"/>
              <w:rPr>
                <w:sz w:val="17"/>
                <w:szCs w:val="17"/>
                <w:color w:val="auto"/>
              </w:rPr>
            </w:pPr>
          </w:p>
        </w:tc>
        <w:tc>
          <w:tcPr>
            <w:tcW w:w="604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Total income taxes</w:t>
            </w:r>
          </w:p>
        </w:tc>
        <w:tc>
          <w:tcPr>
            <w:tcW w:w="200" w:type="dxa"/>
            <w:vAlign w:val="bottom"/>
            <w:tcBorders>
              <w:bottom w:val="single" w:sz="8" w:color="auto"/>
            </w:tcBorders>
            <w:shd w:val="clear" w:color="auto" w:fill="CBEBF4"/>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41</w:t>
            </w:r>
          </w:p>
        </w:tc>
        <w:tc>
          <w:tcPr>
            <w:tcW w:w="260" w:type="dxa"/>
            <w:vAlign w:val="bottom"/>
            <w:shd w:val="clear" w:color="auto" w:fill="CBEBF4"/>
          </w:tcPr>
          <w:p>
            <w:pPr>
              <w:spacing w:after="0"/>
              <w:rPr>
                <w:sz w:val="17"/>
                <w:szCs w:val="17"/>
                <w:color w:val="auto"/>
              </w:rPr>
            </w:pPr>
          </w:p>
        </w:tc>
        <w:tc>
          <w:tcPr>
            <w:tcW w:w="180" w:type="dxa"/>
            <w:vAlign w:val="bottom"/>
            <w:tcBorders>
              <w:bottom w:val="single" w:sz="8" w:color="auto"/>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shd w:val="clear" w:color="auto" w:fill="CBEBF4"/>
          </w:tcPr>
          <w:p>
            <w:pPr>
              <w:spacing w:after="0"/>
              <w:rPr>
                <w:sz w:val="17"/>
                <w:szCs w:val="17"/>
                <w:color w:val="auto"/>
              </w:rPr>
            </w:pPr>
          </w:p>
        </w:tc>
      </w:tr>
      <w:tr>
        <w:trPr>
          <w:trHeight w:val="97"/>
        </w:trPr>
        <w:tc>
          <w:tcPr>
            <w:tcW w:w="3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r>
    </w:tbl>
    <w:p>
      <w:pPr>
        <w:spacing w:after="0" w:line="67" w:lineRule="exact"/>
        <w:rPr>
          <w:sz w:val="20"/>
          <w:szCs w:val="20"/>
          <w:color w:val="auto"/>
        </w:rPr>
      </w:pPr>
    </w:p>
    <w:p>
      <w:pPr>
        <w:ind w:left="320" w:right="1620" w:firstLine="31"/>
        <w:spacing w:after="0" w:line="426" w:lineRule="auto"/>
        <w:tabs>
          <w:tab w:leader="none" w:pos="657" w:val="left"/>
        </w:tabs>
        <w:numPr>
          <w:ilvl w:val="0"/>
          <w:numId w:val="8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Comparative amounts for the year ended December 31, 2022 are restated based on actual tax returns filed. The Company currently has no uncertain tax positions and is therefore not reflecting any adjustments.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360045</wp:posOffset>
                </wp:positionV>
                <wp:extent cx="6110605" cy="0"/>
                <wp:wrapNone/>
                <wp:docPr id="852" name="Shape 8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52" o:spid="_x0000_s18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35pt" to="481.55pt,28.35pt" o:allowincell="f" strokecolor="#000000" strokeweight="1.2956pt"/>
            </w:pict>
          </mc:Fallback>
        </mc:AlternateContent>
      </w:r>
    </w:p>
    <w:p>
      <w:pPr>
        <w:sectPr>
          <w:pgSz w:w="12240" w:h="15840" w:orient="portrait"/>
          <w:cols w:equalWidth="0" w:num="1">
            <w:col w:w="9620"/>
          </w:cols>
          <w:pgMar w:left="1300" w:top="1324" w:right="1320" w:bottom="1440" w:gutter="0" w:footer="0" w:header="0"/>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53" name="Shape 8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53" o:spid="_x0000_s187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54" name="Shape 8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4" o:spid="_x0000_s187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55" name="Shape 8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55" o:spid="_x0000_s18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56" name="Shape 8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6" o:spid="_x0000_s18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Components of the Company’s deferred income tax assets (liabilities)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 2022</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6260" w:type="dxa"/>
            <w:vAlign w:val="bottom"/>
            <w:tcBorders>
              <w:top w:val="single" w:sz="8" w:color="CBEBF4"/>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80" w:type="dxa"/>
            <w:vAlign w:val="bottom"/>
            <w:tcBorders>
              <w:top w:val="single" w:sz="8" w:color="CBEBF4"/>
            </w:tcBorders>
            <w:shd w:val="clear" w:color="auto" w:fill="CBEBF4"/>
          </w:tcPr>
          <w:p>
            <w:pPr>
              <w:spacing w:after="0"/>
              <w:rPr>
                <w:sz w:val="17"/>
                <w:szCs w:val="17"/>
                <w:color w:val="auto"/>
              </w:rPr>
            </w:pPr>
          </w:p>
        </w:tc>
        <w:tc>
          <w:tcPr>
            <w:tcW w:w="360" w:type="dxa"/>
            <w:vAlign w:val="bottom"/>
            <w:tcBorders>
              <w:top w:val="single" w:sz="8" w:color="auto"/>
            </w:tcBorders>
            <w:shd w:val="clear" w:color="auto" w:fill="CBEBF4"/>
          </w:tcPr>
          <w:p>
            <w:pPr>
              <w:spacing w:after="0"/>
              <w:rPr>
                <w:sz w:val="17"/>
                <w:szCs w:val="17"/>
                <w:color w:val="auto"/>
              </w:rPr>
            </w:pPr>
          </w:p>
        </w:tc>
        <w:tc>
          <w:tcPr>
            <w:tcW w:w="880" w:type="dxa"/>
            <w:vAlign w:val="bottom"/>
            <w:tcBorders>
              <w:top w:val="single" w:sz="8" w:color="auto"/>
            </w:tcBorders>
            <w:shd w:val="clear" w:color="auto" w:fill="CBEBF4"/>
          </w:tcPr>
          <w:p>
            <w:pPr>
              <w:spacing w:after="0"/>
              <w:rPr>
                <w:sz w:val="17"/>
                <w:szCs w:val="17"/>
                <w:color w:val="auto"/>
              </w:rPr>
            </w:pPr>
          </w:p>
        </w:tc>
        <w:tc>
          <w:tcPr>
            <w:tcW w:w="180" w:type="dxa"/>
            <w:vAlign w:val="bottom"/>
            <w:tcBorders>
              <w:top w:val="single" w:sz="8" w:color="CBEBF4"/>
            </w:tcBorders>
            <w:shd w:val="clear" w:color="auto" w:fill="CBEBF4"/>
          </w:tcPr>
          <w:p>
            <w:pPr>
              <w:spacing w:after="0"/>
              <w:rPr>
                <w:sz w:val="17"/>
                <w:szCs w:val="17"/>
                <w:color w:val="auto"/>
              </w:rPr>
            </w:pPr>
          </w:p>
        </w:tc>
        <w:tc>
          <w:tcPr>
            <w:tcW w:w="20" w:type="dxa"/>
            <w:vAlign w:val="bottom"/>
            <w:tcBorders>
              <w:top w:val="single" w:sz="8" w:color="CBEBF4"/>
            </w:tcBorders>
            <w:shd w:val="clear" w:color="auto" w:fill="CBEBF4"/>
          </w:tcPr>
          <w:p>
            <w:pPr>
              <w:spacing w:after="0"/>
              <w:rPr>
                <w:sz w:val="17"/>
                <w:szCs w:val="17"/>
                <w:color w:val="auto"/>
              </w:rPr>
            </w:pPr>
          </w:p>
        </w:tc>
        <w:tc>
          <w:tcPr>
            <w:tcW w:w="80" w:type="dxa"/>
            <w:vAlign w:val="bottom"/>
            <w:tcBorders>
              <w:top w:val="single" w:sz="8" w:color="auto"/>
            </w:tcBorders>
            <w:shd w:val="clear" w:color="auto" w:fill="CBEBF4"/>
          </w:tcPr>
          <w:p>
            <w:pPr>
              <w:spacing w:after="0"/>
              <w:rPr>
                <w:sz w:val="17"/>
                <w:szCs w:val="17"/>
                <w:color w:val="auto"/>
              </w:rPr>
            </w:pPr>
          </w:p>
        </w:tc>
        <w:tc>
          <w:tcPr>
            <w:tcW w:w="1160" w:type="dxa"/>
            <w:vAlign w:val="bottom"/>
            <w:tcBorders>
              <w:top w:val="single" w:sz="8" w:color="auto"/>
            </w:tcBorders>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6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Non-capital losses</w:t>
            </w:r>
          </w:p>
        </w:tc>
        <w:tc>
          <w:tcPr>
            <w:tcW w:w="54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21,195</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16,011</w:t>
            </w: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62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Investments</w:t>
            </w:r>
          </w:p>
        </w:tc>
        <w:tc>
          <w:tcPr>
            <w:tcW w:w="180" w:type="dxa"/>
            <w:vAlign w:val="bottom"/>
            <w:shd w:val="clear" w:color="auto" w:fill="CBEBF4"/>
          </w:tcPr>
          <w:p>
            <w:pPr>
              <w:spacing w:after="0"/>
              <w:rPr>
                <w:sz w:val="18"/>
                <w:szCs w:val="18"/>
                <w:color w:val="auto"/>
              </w:rPr>
            </w:pPr>
          </w:p>
        </w:tc>
        <w:tc>
          <w:tcPr>
            <w:tcW w:w="360" w:type="dxa"/>
            <w:vAlign w:val="bottom"/>
            <w:shd w:val="clear" w:color="auto" w:fill="CBEBF4"/>
          </w:tcPr>
          <w:p>
            <w:pPr>
              <w:spacing w:after="0"/>
              <w:rPr>
                <w:sz w:val="18"/>
                <w:szCs w:val="18"/>
                <w:color w:val="auto"/>
              </w:rPr>
            </w:pP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384</w:t>
            </w:r>
          </w:p>
        </w:tc>
        <w:tc>
          <w:tcPr>
            <w:tcW w:w="180" w:type="dxa"/>
            <w:vAlign w:val="bottom"/>
            <w:shd w:val="clear" w:color="auto" w:fill="CBEBF4"/>
          </w:tcPr>
          <w:p>
            <w:pPr>
              <w:spacing w:after="0"/>
              <w:rPr>
                <w:sz w:val="18"/>
                <w:szCs w:val="18"/>
                <w:color w:val="auto"/>
              </w:rPr>
            </w:pPr>
          </w:p>
        </w:tc>
        <w:tc>
          <w:tcPr>
            <w:tcW w:w="20" w:type="dxa"/>
            <w:vAlign w:val="bottom"/>
            <w:shd w:val="clear" w:color="auto" w:fill="CBEBF4"/>
          </w:tcPr>
          <w:p>
            <w:pPr>
              <w:spacing w:after="0"/>
              <w:rPr>
                <w:sz w:val="18"/>
                <w:szCs w:val="18"/>
                <w:color w:val="auto"/>
              </w:rPr>
            </w:pPr>
          </w:p>
        </w:tc>
        <w:tc>
          <w:tcPr>
            <w:tcW w:w="80" w:type="dxa"/>
            <w:vAlign w:val="bottom"/>
            <w:shd w:val="clear" w:color="auto" w:fill="CBEBF4"/>
          </w:tcPr>
          <w:p>
            <w:pPr>
              <w:spacing w:after="0"/>
              <w:rPr>
                <w:sz w:val="18"/>
                <w:szCs w:val="18"/>
                <w:color w:val="auto"/>
              </w:rPr>
            </w:pPr>
          </w:p>
        </w:tc>
        <w:tc>
          <w:tcPr>
            <w:tcW w:w="11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6260" w:type="dxa"/>
            <w:vAlign w:val="bottom"/>
            <w:tcBorders>
              <w:bottom w:val="single" w:sz="8" w:color="CBEBF4"/>
            </w:tcBorders>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Share issuance costs</w:t>
            </w:r>
          </w:p>
        </w:tc>
        <w:tc>
          <w:tcPr>
            <w:tcW w:w="180" w:type="dxa"/>
            <w:vAlign w:val="bottom"/>
            <w:tcBorders>
              <w:bottom w:val="single" w:sz="8" w:color="CBEBF4"/>
            </w:tcBorders>
            <w:shd w:val="clear" w:color="auto" w:fill="CBEBF4"/>
          </w:tcPr>
          <w:p>
            <w:pPr>
              <w:spacing w:after="0"/>
              <w:rPr>
                <w:sz w:val="19"/>
                <w:szCs w:val="19"/>
                <w:color w:val="auto"/>
              </w:rPr>
            </w:pPr>
          </w:p>
        </w:tc>
        <w:tc>
          <w:tcPr>
            <w:tcW w:w="360" w:type="dxa"/>
            <w:vAlign w:val="bottom"/>
            <w:tcBorders>
              <w:bottom w:val="single" w:sz="8" w:color="auto"/>
            </w:tcBorders>
            <w:shd w:val="clear" w:color="auto" w:fill="CBEBF4"/>
          </w:tcPr>
          <w:p>
            <w:pPr>
              <w:spacing w:after="0"/>
              <w:rPr>
                <w:sz w:val="19"/>
                <w:szCs w:val="19"/>
                <w:color w:val="auto"/>
              </w:rPr>
            </w:pPr>
          </w:p>
        </w:tc>
        <w:tc>
          <w:tcPr>
            <w:tcW w:w="8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496</w:t>
            </w:r>
          </w:p>
        </w:tc>
        <w:tc>
          <w:tcPr>
            <w:tcW w:w="180" w:type="dxa"/>
            <w:vAlign w:val="bottom"/>
            <w:tcBorders>
              <w:bottom w:val="single" w:sz="8" w:color="CBEBF4"/>
            </w:tcBorders>
            <w:shd w:val="clear" w:color="auto" w:fill="CBEBF4"/>
          </w:tcPr>
          <w:p>
            <w:pPr>
              <w:spacing w:after="0"/>
              <w:rPr>
                <w:sz w:val="19"/>
                <w:szCs w:val="19"/>
                <w:color w:val="auto"/>
              </w:rPr>
            </w:pPr>
          </w:p>
        </w:tc>
        <w:tc>
          <w:tcPr>
            <w:tcW w:w="20" w:type="dxa"/>
            <w:vAlign w:val="bottom"/>
            <w:tcBorders>
              <w:bottom w:val="single" w:sz="8" w:color="CBEBF4"/>
            </w:tcBorders>
            <w:shd w:val="clear" w:color="auto" w:fill="CBEBF4"/>
          </w:tcPr>
          <w:p>
            <w:pPr>
              <w:spacing w:after="0"/>
              <w:rPr>
                <w:sz w:val="19"/>
                <w:szCs w:val="19"/>
                <w:color w:val="auto"/>
              </w:rPr>
            </w:pPr>
          </w:p>
        </w:tc>
        <w:tc>
          <w:tcPr>
            <w:tcW w:w="80" w:type="dxa"/>
            <w:vAlign w:val="bottom"/>
            <w:tcBorders>
              <w:bottom w:val="single" w:sz="8" w:color="auto"/>
            </w:tcBorders>
            <w:shd w:val="clear" w:color="auto" w:fill="CBEBF4"/>
          </w:tcPr>
          <w:p>
            <w:pPr>
              <w:spacing w:after="0"/>
              <w:rPr>
                <w:sz w:val="19"/>
                <w:szCs w:val="19"/>
                <w:color w:val="auto"/>
              </w:rPr>
            </w:pPr>
          </w:p>
        </w:tc>
        <w:tc>
          <w:tcPr>
            <w:tcW w:w="11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181"/>
        </w:trPr>
        <w:tc>
          <w:tcPr>
            <w:tcW w:w="260" w:type="dxa"/>
            <w:vAlign w:val="bottom"/>
          </w:tcPr>
          <w:p>
            <w:pPr>
              <w:spacing w:after="0"/>
              <w:rPr>
                <w:sz w:val="15"/>
                <w:szCs w:val="15"/>
                <w:color w:val="auto"/>
              </w:rPr>
            </w:pPr>
          </w:p>
        </w:tc>
        <w:tc>
          <w:tcPr>
            <w:tcW w:w="62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Total deferred income tax assets</w:t>
            </w:r>
          </w:p>
        </w:tc>
        <w:tc>
          <w:tcPr>
            <w:tcW w:w="180" w:type="dxa"/>
            <w:vAlign w:val="bottom"/>
          </w:tcPr>
          <w:p>
            <w:pPr>
              <w:spacing w:after="0"/>
              <w:rPr>
                <w:sz w:val="15"/>
                <w:szCs w:val="15"/>
                <w:color w:val="auto"/>
              </w:rPr>
            </w:pPr>
          </w:p>
        </w:tc>
        <w:tc>
          <w:tcPr>
            <w:tcW w:w="360" w:type="dxa"/>
            <w:vAlign w:val="bottom"/>
          </w:tcPr>
          <w:p>
            <w:pPr>
              <w:jc w:val="right"/>
              <w:ind w:right="198"/>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22,335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16,480</w:t>
            </w: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6260" w:type="dxa"/>
            <w:vAlign w:val="bottom"/>
            <w:gridSpan w:val="2"/>
            <w:shd w:val="clear" w:color="auto" w:fill="CBEBF4"/>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80" w:type="dxa"/>
            <w:vAlign w:val="bottom"/>
            <w:shd w:val="clear" w:color="auto" w:fill="CBEBF4"/>
          </w:tcPr>
          <w:p>
            <w:pPr>
              <w:spacing w:after="0"/>
              <w:rPr>
                <w:sz w:val="18"/>
                <w:szCs w:val="18"/>
                <w:color w:val="auto"/>
              </w:rPr>
            </w:pPr>
          </w:p>
        </w:tc>
        <w:tc>
          <w:tcPr>
            <w:tcW w:w="360" w:type="dxa"/>
            <w:vAlign w:val="bottom"/>
            <w:tcBorders>
              <w:bottom w:val="single" w:sz="8" w:color="auto"/>
            </w:tcBorders>
            <w:shd w:val="clear" w:color="auto" w:fill="CBEBF4"/>
          </w:tcPr>
          <w:p>
            <w:pPr>
              <w:spacing w:after="0"/>
              <w:rPr>
                <w:sz w:val="18"/>
                <w:szCs w:val="18"/>
                <w:color w:val="auto"/>
              </w:rPr>
            </w:pPr>
          </w:p>
        </w:tc>
        <w:tc>
          <w:tcPr>
            <w:tcW w:w="8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(22,335)</w:t>
            </w:r>
          </w:p>
        </w:tc>
        <w:tc>
          <w:tcPr>
            <w:tcW w:w="180" w:type="dxa"/>
            <w:vAlign w:val="bottom"/>
            <w:shd w:val="clear" w:color="auto" w:fill="CBEBF4"/>
          </w:tcPr>
          <w:p>
            <w:pPr>
              <w:spacing w:after="0"/>
              <w:rPr>
                <w:sz w:val="18"/>
                <w:szCs w:val="18"/>
                <w:color w:val="auto"/>
              </w:rPr>
            </w:pPr>
          </w:p>
        </w:tc>
        <w:tc>
          <w:tcPr>
            <w:tcW w:w="20" w:type="dxa"/>
            <w:vAlign w:val="bottom"/>
            <w:shd w:val="clear" w:color="auto" w:fill="CBEBF4"/>
          </w:tcPr>
          <w:p>
            <w:pPr>
              <w:spacing w:after="0"/>
              <w:rPr>
                <w:sz w:val="18"/>
                <w:szCs w:val="18"/>
                <w:color w:val="auto"/>
              </w:rPr>
            </w:pPr>
          </w:p>
        </w:tc>
        <w:tc>
          <w:tcPr>
            <w:tcW w:w="80" w:type="dxa"/>
            <w:vAlign w:val="bottom"/>
            <w:tcBorders>
              <w:bottom w:val="single" w:sz="8" w:color="auto"/>
            </w:tcBorders>
            <w:shd w:val="clear" w:color="auto" w:fill="CBEBF4"/>
          </w:tcPr>
          <w:p>
            <w:pPr>
              <w:spacing w:after="0"/>
              <w:rPr>
                <w:sz w:val="18"/>
                <w:szCs w:val="18"/>
                <w:color w:val="auto"/>
              </w:rPr>
            </w:pPr>
          </w:p>
        </w:tc>
        <w:tc>
          <w:tcPr>
            <w:tcW w:w="116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(16,480)</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6260" w:type="dxa"/>
            <w:vAlign w:val="bottom"/>
            <w:tcBorders>
              <w:bottom w:val="single" w:sz="8" w:color="CBEBF4"/>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Deferred tax asset recognized</w:t>
            </w:r>
          </w:p>
        </w:tc>
        <w:tc>
          <w:tcPr>
            <w:tcW w:w="180" w:type="dxa"/>
            <w:vAlign w:val="bottom"/>
            <w:tcBorders>
              <w:bottom w:val="single" w:sz="8" w:color="CBEBF4"/>
            </w:tcBorders>
          </w:tcPr>
          <w:p>
            <w:pPr>
              <w:spacing w:after="0"/>
              <w:rPr>
                <w:sz w:val="17"/>
                <w:szCs w:val="17"/>
                <w:color w:val="auto"/>
              </w:rPr>
            </w:pPr>
          </w:p>
        </w:tc>
        <w:tc>
          <w:tcPr>
            <w:tcW w:w="3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BEBF4"/>
            </w:tcBorders>
          </w:tcPr>
          <w:p>
            <w:pPr>
              <w:spacing w:after="0"/>
              <w:rPr>
                <w:sz w:val="17"/>
                <w:szCs w:val="17"/>
                <w:color w:val="auto"/>
              </w:rPr>
            </w:pPr>
          </w:p>
        </w:tc>
        <w:tc>
          <w:tcPr>
            <w:tcW w:w="20" w:type="dxa"/>
            <w:vAlign w:val="bottom"/>
            <w:tcBorders>
              <w:bottom w:val="single" w:sz="8" w:color="CBEBF4"/>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1"/>
        </w:trPr>
        <w:tc>
          <w:tcPr>
            <w:tcW w:w="260" w:type="dxa"/>
            <w:vAlign w:val="bottom"/>
          </w:tcPr>
          <w:p>
            <w:pPr>
              <w:spacing w:after="0"/>
              <w:rPr>
                <w:sz w:val="17"/>
                <w:szCs w:val="17"/>
                <w:color w:val="auto"/>
              </w:rPr>
            </w:pPr>
          </w:p>
        </w:tc>
        <w:tc>
          <w:tcPr>
            <w:tcW w:w="2160" w:type="dxa"/>
            <w:vAlign w:val="bottom"/>
            <w:shd w:val="clear" w:color="auto" w:fill="CBEBF4"/>
          </w:tcPr>
          <w:p>
            <w:pPr>
              <w:spacing w:after="0"/>
              <w:rPr>
                <w:sz w:val="17"/>
                <w:szCs w:val="17"/>
                <w:color w:val="auto"/>
              </w:rPr>
            </w:pPr>
          </w:p>
        </w:tc>
        <w:tc>
          <w:tcPr>
            <w:tcW w:w="4100" w:type="dxa"/>
            <w:vAlign w:val="bottom"/>
            <w:shd w:val="clear" w:color="auto" w:fill="CBEBF4"/>
          </w:tcPr>
          <w:p>
            <w:pPr>
              <w:spacing w:after="0"/>
              <w:rPr>
                <w:sz w:val="17"/>
                <w:szCs w:val="17"/>
                <w:color w:val="auto"/>
              </w:rPr>
            </w:pPr>
          </w:p>
        </w:tc>
        <w:tc>
          <w:tcPr>
            <w:tcW w:w="180" w:type="dxa"/>
            <w:vAlign w:val="bottom"/>
            <w:shd w:val="clear" w:color="auto" w:fill="CBEBF4"/>
          </w:tcPr>
          <w:p>
            <w:pPr>
              <w:spacing w:after="0"/>
              <w:rPr>
                <w:sz w:val="17"/>
                <w:szCs w:val="17"/>
                <w:color w:val="auto"/>
              </w:rPr>
            </w:pPr>
          </w:p>
        </w:tc>
        <w:tc>
          <w:tcPr>
            <w:tcW w:w="360" w:type="dxa"/>
            <w:vAlign w:val="bottom"/>
            <w:shd w:val="clear" w:color="auto" w:fill="CBEBF4"/>
          </w:tcPr>
          <w:p>
            <w:pPr>
              <w:spacing w:after="0"/>
              <w:rPr>
                <w:sz w:val="17"/>
                <w:szCs w:val="17"/>
                <w:color w:val="auto"/>
              </w:rPr>
            </w:pPr>
          </w:p>
        </w:tc>
        <w:tc>
          <w:tcPr>
            <w:tcW w:w="880" w:type="dxa"/>
            <w:vAlign w:val="bottom"/>
            <w:shd w:val="clear" w:color="auto" w:fill="CBEBF4"/>
          </w:tcPr>
          <w:p>
            <w:pPr>
              <w:spacing w:after="0"/>
              <w:rPr>
                <w:sz w:val="17"/>
                <w:szCs w:val="17"/>
                <w:color w:val="auto"/>
              </w:rPr>
            </w:pPr>
          </w:p>
        </w:tc>
        <w:tc>
          <w:tcPr>
            <w:tcW w:w="180" w:type="dxa"/>
            <w:vAlign w:val="bottom"/>
            <w:shd w:val="clear" w:color="auto" w:fill="CBEBF4"/>
          </w:tcPr>
          <w:p>
            <w:pPr>
              <w:spacing w:after="0"/>
              <w:rPr>
                <w:sz w:val="17"/>
                <w:szCs w:val="17"/>
                <w:color w:val="auto"/>
              </w:rPr>
            </w:pPr>
          </w:p>
        </w:tc>
        <w:tc>
          <w:tcPr>
            <w:tcW w:w="20" w:type="dxa"/>
            <w:vAlign w:val="bottom"/>
            <w:shd w:val="clear" w:color="auto" w:fill="CBEBF4"/>
          </w:tcPr>
          <w:p>
            <w:pPr>
              <w:spacing w:after="0"/>
              <w:rPr>
                <w:sz w:val="17"/>
                <w:szCs w:val="17"/>
                <w:color w:val="auto"/>
              </w:rPr>
            </w:pPr>
          </w:p>
        </w:tc>
        <w:tc>
          <w:tcPr>
            <w:tcW w:w="80" w:type="dxa"/>
            <w:vAlign w:val="bottom"/>
            <w:shd w:val="clear" w:color="auto" w:fill="CBEBF4"/>
          </w:tcPr>
          <w:p>
            <w:pPr>
              <w:spacing w:after="0"/>
              <w:rPr>
                <w:sz w:val="17"/>
                <w:szCs w:val="17"/>
                <w:color w:val="auto"/>
              </w:rPr>
            </w:pPr>
          </w:p>
        </w:tc>
        <w:tc>
          <w:tcPr>
            <w:tcW w:w="1160" w:type="dxa"/>
            <w:vAlign w:val="bottom"/>
            <w:shd w:val="clear" w:color="auto" w:fill="CBEBF4"/>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Deferred Tax Liability</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6260" w:type="dxa"/>
            <w:vAlign w:val="bottom"/>
            <w:gridSpan w:val="2"/>
            <w:shd w:val="clear" w:color="auto" w:fill="CBEBF4"/>
          </w:tcPr>
          <w:p>
            <w:pPr>
              <w:ind w:left="100"/>
              <w:spacing w:after="0" w:line="184" w:lineRule="exact"/>
              <w:rPr>
                <w:sz w:val="20"/>
                <w:szCs w:val="20"/>
                <w:color w:val="auto"/>
              </w:rPr>
            </w:pPr>
            <w:r>
              <w:rPr>
                <w:rFonts w:ascii="Times New Roman" w:cs="Times New Roman" w:eastAsia="Times New Roman" w:hAnsi="Times New Roman"/>
                <w:sz w:val="17"/>
                <w:szCs w:val="17"/>
                <w:color w:val="auto"/>
              </w:rPr>
              <w:t>Difference between the book value and the tax basis of the TOML exploration contract</w:t>
            </w:r>
          </w:p>
        </w:tc>
        <w:tc>
          <w:tcPr>
            <w:tcW w:w="540" w:type="dxa"/>
            <w:vAlign w:val="bottom"/>
            <w:gridSpan w:val="2"/>
            <w:vMerge w:val="restart"/>
            <w:shd w:val="clear" w:color="auto" w:fill="CBEBF4"/>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(10,675)</w:t>
            </w:r>
          </w:p>
        </w:tc>
        <w:tc>
          <w:tcPr>
            <w:tcW w:w="180" w:type="dxa"/>
            <w:vAlign w:val="bottom"/>
            <w:shd w:val="clear" w:color="auto" w:fill="CBEBF4"/>
          </w:tcPr>
          <w:p>
            <w:pPr>
              <w:spacing w:after="0"/>
              <w:rPr>
                <w:sz w:val="15"/>
                <w:szCs w:val="15"/>
                <w:color w:val="auto"/>
              </w:rPr>
            </w:pPr>
          </w:p>
        </w:tc>
        <w:tc>
          <w:tcPr>
            <w:tcW w:w="20" w:type="dxa"/>
            <w:vAlign w:val="bottom"/>
            <w:shd w:val="clear" w:color="auto" w:fill="CBEBF4"/>
          </w:tcPr>
          <w:p>
            <w:pPr>
              <w:spacing w:after="0"/>
              <w:rPr>
                <w:sz w:val="15"/>
                <w:szCs w:val="15"/>
                <w:color w:val="auto"/>
              </w:rPr>
            </w:pPr>
          </w:p>
        </w:tc>
        <w:tc>
          <w:tcPr>
            <w:tcW w:w="80" w:type="dxa"/>
            <w:vAlign w:val="bottom"/>
            <w:shd w:val="clear" w:color="auto" w:fill="CBEBF4"/>
          </w:tcPr>
          <w:p>
            <w:pPr>
              <w:spacing w:after="0"/>
              <w:rPr>
                <w:sz w:val="15"/>
                <w:szCs w:val="15"/>
                <w:color w:val="auto"/>
              </w:rPr>
            </w:pPr>
          </w:p>
        </w:tc>
        <w:tc>
          <w:tcPr>
            <w:tcW w:w="1160" w:type="dxa"/>
            <w:vAlign w:val="bottom"/>
            <w:shd w:val="clear" w:color="auto" w:fill="CBEBF4"/>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60" w:type="dxa"/>
            <w:vAlign w:val="bottom"/>
          </w:tcPr>
          <w:p>
            <w:pPr>
              <w:spacing w:after="0"/>
              <w:rPr>
                <w:sz w:val="20"/>
                <w:szCs w:val="20"/>
                <w:color w:val="auto"/>
              </w:rPr>
            </w:pPr>
          </w:p>
        </w:tc>
        <w:tc>
          <w:tcPr>
            <w:tcW w:w="6260" w:type="dxa"/>
            <w:vAlign w:val="bottom"/>
            <w:gridSpan w:val="2"/>
            <w:shd w:val="clear" w:color="auto" w:fill="CBEBF4"/>
          </w:tcPr>
          <w:p>
            <w:pPr>
              <w:ind w:left="100"/>
              <w:spacing w:after="0"/>
              <w:rPr>
                <w:sz w:val="20"/>
                <w:szCs w:val="20"/>
                <w:color w:val="auto"/>
              </w:rPr>
            </w:pPr>
            <w:r>
              <w:rPr>
                <w:rFonts w:ascii="Times New Roman" w:cs="Times New Roman" w:eastAsia="Times New Roman" w:hAnsi="Times New Roman"/>
                <w:sz w:val="17"/>
                <w:szCs w:val="17"/>
                <w:color w:val="auto"/>
              </w:rPr>
              <w:t>(Note 7)</w:t>
            </w:r>
          </w:p>
        </w:tc>
        <w:tc>
          <w:tcPr>
            <w:tcW w:w="540" w:type="dxa"/>
            <w:vAlign w:val="bottom"/>
            <w:gridSpan w:val="2"/>
            <w:vMerge w:val="continue"/>
            <w:shd w:val="clear" w:color="auto" w:fill="CBEBF4"/>
          </w:tcPr>
          <w:p>
            <w:pPr>
              <w:spacing w:after="0"/>
              <w:rPr>
                <w:sz w:val="20"/>
                <w:szCs w:val="20"/>
                <w:color w:val="auto"/>
              </w:rPr>
            </w:pPr>
          </w:p>
        </w:tc>
        <w:tc>
          <w:tcPr>
            <w:tcW w:w="880" w:type="dxa"/>
            <w:vAlign w:val="bottom"/>
            <w:vMerge w:val="continue"/>
            <w:shd w:val="clear" w:color="auto" w:fill="CBEBF4"/>
          </w:tcPr>
          <w:p>
            <w:pPr>
              <w:spacing w:after="0"/>
              <w:rPr>
                <w:sz w:val="20"/>
                <w:szCs w:val="20"/>
                <w:color w:val="auto"/>
              </w:rPr>
            </w:pPr>
          </w:p>
        </w:tc>
        <w:tc>
          <w:tcPr>
            <w:tcW w:w="180" w:type="dxa"/>
            <w:vAlign w:val="bottom"/>
            <w:shd w:val="clear" w:color="auto" w:fill="CBEBF4"/>
          </w:tcPr>
          <w:p>
            <w:pPr>
              <w:spacing w:after="0"/>
              <w:rPr>
                <w:sz w:val="20"/>
                <w:szCs w:val="20"/>
                <w:color w:val="auto"/>
              </w:rPr>
            </w:pPr>
          </w:p>
        </w:tc>
        <w:tc>
          <w:tcPr>
            <w:tcW w:w="10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0" w:type="dxa"/>
            <w:vAlign w:val="bottom"/>
          </w:tcPr>
          <w:p>
            <w:pPr>
              <w:spacing w:after="0"/>
              <w:rPr>
                <w:sz w:val="1"/>
                <w:szCs w:val="1"/>
                <w:color w:val="auto"/>
              </w:rPr>
            </w:pPr>
          </w:p>
        </w:tc>
      </w:tr>
      <w:tr>
        <w:trPr>
          <w:trHeight w:val="200"/>
        </w:trPr>
        <w:tc>
          <w:tcPr>
            <w:tcW w:w="260" w:type="dxa"/>
            <w:vAlign w:val="bottom"/>
          </w:tcPr>
          <w:p>
            <w:pPr>
              <w:spacing w:after="0"/>
              <w:rPr>
                <w:sz w:val="17"/>
                <w:szCs w:val="17"/>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Deferred tax liability recognized</w:t>
            </w:r>
          </w:p>
        </w:tc>
        <w:tc>
          <w:tcPr>
            <w:tcW w:w="1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(10,675)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0" w:type="dxa"/>
            <w:vAlign w:val="bottom"/>
          </w:tcPr>
          <w:p>
            <w:pPr>
              <w:spacing w:after="0"/>
              <w:rPr>
                <w:sz w:val="1"/>
                <w:szCs w:val="1"/>
                <w:color w:val="auto"/>
              </w:rPr>
            </w:pPr>
          </w:p>
        </w:tc>
      </w:tr>
      <w:tr>
        <w:trPr>
          <w:trHeight w:val="97"/>
        </w:trPr>
        <w:tc>
          <w:tcPr>
            <w:tcW w:w="2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right="1620" w:firstLine="31"/>
        <w:spacing w:after="0" w:line="406" w:lineRule="auto"/>
        <w:tabs>
          <w:tab w:leader="none" w:pos="657" w:val="left"/>
        </w:tabs>
        <w:numPr>
          <w:ilvl w:val="0"/>
          <w:numId w:val="8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Comparative amounts for the year ended December 31, 2022 are restated based on actual tax returns filed. Deductible temporary differences, unused tax losses and unused tax credits are as follows:</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Expiry Date Range</w:t>
            </w:r>
          </w:p>
        </w:tc>
        <w:tc>
          <w:tcPr>
            <w:tcW w:w="0" w:type="dxa"/>
            <w:vAlign w:val="bottom"/>
          </w:tcPr>
          <w:p>
            <w:pPr>
              <w:spacing w:after="0"/>
              <w:rPr>
                <w:sz w:val="1"/>
                <w:szCs w:val="1"/>
                <w:color w:val="auto"/>
              </w:rPr>
            </w:pPr>
          </w:p>
        </w:tc>
      </w:tr>
      <w:tr>
        <w:trPr>
          <w:trHeight w:val="213"/>
        </w:trPr>
        <w:tc>
          <w:tcPr>
            <w:tcW w:w="5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Non-capital losses</w:t>
            </w:r>
          </w:p>
        </w:tc>
        <w:tc>
          <w:tcPr>
            <w:tcW w:w="380" w:type="dxa"/>
            <w:vAlign w:val="bottom"/>
            <w:shd w:val="clear" w:color="auto" w:fill="CBEBF4"/>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89,333</w:t>
            </w:r>
          </w:p>
        </w:tc>
        <w:tc>
          <w:tcPr>
            <w:tcW w:w="20" w:type="dxa"/>
            <w:vAlign w:val="bottom"/>
            <w:vMerge w:val="continue"/>
          </w:tcPr>
          <w:p>
            <w:pPr>
              <w:spacing w:after="0"/>
              <w:rPr>
                <w:sz w:val="18"/>
                <w:szCs w:val="18"/>
                <w:color w:val="auto"/>
              </w:rPr>
            </w:pPr>
          </w:p>
        </w:tc>
        <w:tc>
          <w:tcPr>
            <w:tcW w:w="480" w:type="dxa"/>
            <w:vAlign w:val="bottom"/>
            <w:gridSpan w:val="2"/>
            <w:shd w:val="clear" w:color="auto" w:fill="CBEBF4"/>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67,409</w:t>
            </w:r>
          </w:p>
        </w:tc>
        <w:tc>
          <w:tcPr>
            <w:tcW w:w="20" w:type="dxa"/>
            <w:vAlign w:val="bottom"/>
            <w:vMerge w:val="continue"/>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See below</w:t>
            </w:r>
          </w:p>
        </w:tc>
        <w:tc>
          <w:tcPr>
            <w:tcW w:w="0" w:type="dxa"/>
            <w:vAlign w:val="bottom"/>
          </w:tcPr>
          <w:p>
            <w:pPr>
              <w:spacing w:after="0"/>
              <w:rPr>
                <w:sz w:val="1"/>
                <w:szCs w:val="1"/>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Investments</w:t>
            </w: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2,856</w:t>
            </w:r>
          </w:p>
        </w:tc>
        <w:tc>
          <w:tcPr>
            <w:tcW w:w="20" w:type="dxa"/>
            <w:vAlign w:val="bottom"/>
          </w:tcPr>
          <w:p>
            <w:pPr>
              <w:spacing w:after="0"/>
              <w:rPr>
                <w:sz w:val="18"/>
                <w:szCs w:val="18"/>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r>
        <w:trPr>
          <w:trHeight w:val="207"/>
        </w:trPr>
        <w:tc>
          <w:tcPr>
            <w:tcW w:w="50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Equipment</w:t>
            </w:r>
          </w:p>
        </w:tc>
        <w:tc>
          <w:tcPr>
            <w:tcW w:w="38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962</w:t>
            </w:r>
          </w:p>
        </w:tc>
        <w:tc>
          <w:tcPr>
            <w:tcW w:w="20" w:type="dxa"/>
            <w:vAlign w:val="bottom"/>
          </w:tcPr>
          <w:p>
            <w:pPr>
              <w:spacing w:after="0"/>
              <w:rPr>
                <w:sz w:val="18"/>
                <w:szCs w:val="18"/>
                <w:color w:val="auto"/>
              </w:rPr>
            </w:pPr>
          </w:p>
        </w:tc>
        <w:tc>
          <w:tcPr>
            <w:tcW w:w="480" w:type="dxa"/>
            <w:vAlign w:val="bottom"/>
            <w:gridSpan w:val="2"/>
            <w:shd w:val="clear" w:color="auto" w:fill="CBEBF4"/>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b w:val="1"/>
                <w:bCs w:val="1"/>
                <w:color w:val="auto"/>
              </w:rPr>
              <w:t>291</w:t>
            </w:r>
          </w:p>
        </w:tc>
        <w:tc>
          <w:tcPr>
            <w:tcW w:w="20" w:type="dxa"/>
            <w:vAlign w:val="bottom"/>
          </w:tcPr>
          <w:p>
            <w:pPr>
              <w:spacing w:after="0"/>
              <w:rPr>
                <w:sz w:val="18"/>
                <w:szCs w:val="18"/>
                <w:color w:val="auto"/>
              </w:rPr>
            </w:pPr>
          </w:p>
        </w:tc>
        <w:tc>
          <w:tcPr>
            <w:tcW w:w="120" w:type="dxa"/>
            <w:vAlign w:val="bottom"/>
            <w:shd w:val="clear" w:color="auto" w:fill="CBEBF4"/>
          </w:tcPr>
          <w:p>
            <w:pPr>
              <w:spacing w:after="0"/>
              <w:rPr>
                <w:sz w:val="18"/>
                <w:szCs w:val="18"/>
                <w:color w:val="auto"/>
              </w:rPr>
            </w:pPr>
          </w:p>
        </w:tc>
        <w:tc>
          <w:tcPr>
            <w:tcW w:w="12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1,860</w:t>
            </w:r>
          </w:p>
        </w:tc>
        <w:tc>
          <w:tcPr>
            <w:tcW w:w="2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320"/>
        <w:spacing w:after="0" w:line="298" w:lineRule="auto"/>
        <w:rPr>
          <w:sz w:val="20"/>
          <w:szCs w:val="20"/>
          <w:color w:val="auto"/>
        </w:rPr>
      </w:pPr>
      <w:r>
        <w:rPr>
          <w:rFonts w:ascii="Times New Roman" w:cs="Times New Roman" w:eastAsia="Times New Roman" w:hAnsi="Times New Roman"/>
          <w:sz w:val="17"/>
          <w:szCs w:val="17"/>
          <w:color w:val="auto"/>
        </w:rPr>
        <w:t>As at December 31, 2023, the Company had non-capital loss carry-forwards of $89.3 million that may be used to offset future taxable income.</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losses, if not utilized, will expire as follows: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26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4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Tonga</w:t>
            </w:r>
          </w:p>
        </w:tc>
      </w:tr>
      <w:tr>
        <w:trPr>
          <w:trHeight w:val="201"/>
        </w:trPr>
        <w:tc>
          <w:tcPr>
            <w:tcW w:w="3120" w:type="dxa"/>
            <w:vAlign w:val="bottom"/>
            <w:tcBorders>
              <w:top w:val="single" w:sz="8" w:color="CBEBF4"/>
            </w:tcBorders>
            <w:shd w:val="clear" w:color="auto" w:fill="CBEBF4"/>
          </w:tcPr>
          <w:p>
            <w:pPr>
              <w:spacing w:after="0"/>
              <w:rPr>
                <w:sz w:val="20"/>
                <w:szCs w:val="20"/>
                <w:color w:val="auto"/>
              </w:rPr>
            </w:pPr>
            <w:r>
              <w:rPr>
                <w:rFonts w:ascii="Times New Roman" w:cs="Times New Roman" w:eastAsia="Times New Roman" w:hAnsi="Times New Roman"/>
                <w:sz w:val="17"/>
                <w:szCs w:val="17"/>
                <w:color w:val="auto"/>
              </w:rPr>
              <w:t>2035</w:t>
            </w:r>
          </w:p>
        </w:tc>
        <w:tc>
          <w:tcPr>
            <w:tcW w:w="400" w:type="dxa"/>
            <w:vAlign w:val="bottom"/>
            <w:tcBorders>
              <w:top w:val="single" w:sz="8" w:color="auto"/>
            </w:tcBorders>
            <w:shd w:val="clear" w:color="auto" w:fill="CBEBF4"/>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BEBF4"/>
            </w:tcBorders>
            <w:shd w:val="clear" w:color="auto" w:fill="CBEBF4"/>
          </w:tcPr>
          <w:p>
            <w:pPr>
              <w:spacing w:after="0"/>
              <w:rPr>
                <w:sz w:val="17"/>
                <w:szCs w:val="17"/>
                <w:color w:val="auto"/>
              </w:rPr>
            </w:pPr>
          </w:p>
        </w:tc>
        <w:tc>
          <w:tcPr>
            <w:tcW w:w="340" w:type="dxa"/>
            <w:vAlign w:val="bottom"/>
            <w:tcBorders>
              <w:top w:val="single" w:sz="8" w:color="auto"/>
            </w:tcBorders>
            <w:shd w:val="clear" w:color="auto" w:fill="CBEBF4"/>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BEBF4"/>
            </w:tcBorders>
            <w:shd w:val="clear" w:color="auto" w:fill="CBEBF4"/>
          </w:tcPr>
          <w:p>
            <w:pPr>
              <w:spacing w:after="0"/>
              <w:rPr>
                <w:sz w:val="17"/>
                <w:szCs w:val="17"/>
                <w:color w:val="auto"/>
              </w:rPr>
            </w:pPr>
          </w:p>
        </w:tc>
        <w:tc>
          <w:tcPr>
            <w:tcW w:w="260" w:type="dxa"/>
            <w:vAlign w:val="bottom"/>
            <w:tcBorders>
              <w:top w:val="single" w:sz="8" w:color="auto"/>
            </w:tcBorders>
            <w:shd w:val="clear" w:color="auto" w:fill="CBEBF4"/>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Borders>
              <w:top w:val="single" w:sz="8" w:color="CBEBF4"/>
            </w:tcBorders>
            <w:shd w:val="clear" w:color="auto" w:fill="CBEBF4"/>
          </w:tcPr>
          <w:p>
            <w:pPr>
              <w:spacing w:after="0"/>
              <w:rPr>
                <w:sz w:val="17"/>
                <w:szCs w:val="17"/>
                <w:color w:val="auto"/>
              </w:rPr>
            </w:pPr>
          </w:p>
        </w:tc>
        <w:tc>
          <w:tcPr>
            <w:tcW w:w="400" w:type="dxa"/>
            <w:vAlign w:val="bottom"/>
            <w:tcBorders>
              <w:top w:val="single" w:sz="8" w:color="auto"/>
            </w:tcBorders>
            <w:shd w:val="clear" w:color="auto" w:fill="CBEBF4"/>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2041</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1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2042</w:t>
            </w:r>
          </w:p>
        </w:tc>
        <w:tc>
          <w:tcPr>
            <w:tcW w:w="400" w:type="dxa"/>
            <w:vAlign w:val="bottom"/>
            <w:shd w:val="clear" w:color="auto" w:fill="CBEBF4"/>
          </w:tcPr>
          <w:p>
            <w:pPr>
              <w:spacing w:after="0"/>
              <w:rPr>
                <w:sz w:val="18"/>
                <w:szCs w:val="18"/>
                <w:color w:val="auto"/>
              </w:rPr>
            </w:pPr>
          </w:p>
        </w:tc>
        <w:tc>
          <w:tcPr>
            <w:tcW w:w="8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13,707</w:t>
            </w:r>
          </w:p>
        </w:tc>
        <w:tc>
          <w:tcPr>
            <w:tcW w:w="260" w:type="dxa"/>
            <w:vAlign w:val="bottom"/>
            <w:shd w:val="clear" w:color="auto" w:fill="CBEBF4"/>
          </w:tcPr>
          <w:p>
            <w:pPr>
              <w:spacing w:after="0"/>
              <w:rPr>
                <w:sz w:val="18"/>
                <w:szCs w:val="18"/>
                <w:color w:val="auto"/>
              </w:rPr>
            </w:pPr>
          </w:p>
        </w:tc>
        <w:tc>
          <w:tcPr>
            <w:tcW w:w="340" w:type="dxa"/>
            <w:vAlign w:val="bottom"/>
            <w:shd w:val="clear" w:color="auto" w:fill="CBEBF4"/>
          </w:tcPr>
          <w:p>
            <w:pPr>
              <w:spacing w:after="0"/>
              <w:rPr>
                <w:sz w:val="18"/>
                <w:szCs w:val="18"/>
                <w:color w:val="auto"/>
              </w:rPr>
            </w:pPr>
          </w:p>
        </w:tc>
        <w:tc>
          <w:tcPr>
            <w:tcW w:w="1140" w:type="dxa"/>
            <w:vAlign w:val="bottom"/>
            <w:gridSpan w:val="2"/>
            <w:shd w:val="clear" w:color="auto" w:fill="CBEBF4"/>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BEBF4"/>
          </w:tcPr>
          <w:p>
            <w:pPr>
              <w:spacing w:after="0"/>
              <w:rPr>
                <w:sz w:val="18"/>
                <w:szCs w:val="18"/>
                <w:color w:val="auto"/>
              </w:rPr>
            </w:pPr>
          </w:p>
        </w:tc>
        <w:tc>
          <w:tcPr>
            <w:tcW w:w="9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BEBF4"/>
          </w:tcPr>
          <w:p>
            <w:pPr>
              <w:spacing w:after="0"/>
              <w:rPr>
                <w:sz w:val="18"/>
                <w:szCs w:val="18"/>
                <w:color w:val="auto"/>
              </w:rPr>
            </w:pPr>
          </w:p>
        </w:tc>
        <w:tc>
          <w:tcPr>
            <w:tcW w:w="400" w:type="dxa"/>
            <w:vAlign w:val="bottom"/>
            <w:shd w:val="clear" w:color="auto" w:fill="CBEBF4"/>
          </w:tcPr>
          <w:p>
            <w:pPr>
              <w:spacing w:after="0"/>
              <w:rPr>
                <w:sz w:val="18"/>
                <w:szCs w:val="18"/>
                <w:color w:val="auto"/>
              </w:rPr>
            </w:pP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2043</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8"/>
        </w:trPr>
        <w:tc>
          <w:tcPr>
            <w:tcW w:w="3120" w:type="dxa"/>
            <w:vAlign w:val="bottom"/>
            <w:shd w:val="clear" w:color="auto" w:fill="CBEBF4"/>
          </w:tcPr>
          <w:p>
            <w:pPr>
              <w:spacing w:after="0"/>
              <w:rPr>
                <w:sz w:val="20"/>
                <w:szCs w:val="20"/>
                <w:color w:val="auto"/>
              </w:rPr>
            </w:pPr>
            <w:r>
              <w:rPr>
                <w:rFonts w:ascii="Times New Roman" w:cs="Times New Roman" w:eastAsia="Times New Roman" w:hAnsi="Times New Roman"/>
                <w:sz w:val="17"/>
                <w:szCs w:val="17"/>
                <w:color w:val="auto"/>
              </w:rPr>
              <w:t>No expiry</w:t>
            </w:r>
          </w:p>
        </w:tc>
        <w:tc>
          <w:tcPr>
            <w:tcW w:w="400" w:type="dxa"/>
            <w:vAlign w:val="bottom"/>
            <w:shd w:val="clear" w:color="auto" w:fill="CBEBF4"/>
          </w:tcPr>
          <w:p>
            <w:pPr>
              <w:spacing w:after="0"/>
              <w:rPr>
                <w:sz w:val="18"/>
                <w:szCs w:val="18"/>
                <w:color w:val="auto"/>
              </w:rPr>
            </w:pPr>
          </w:p>
        </w:tc>
        <w:tc>
          <w:tcPr>
            <w:tcW w:w="1080" w:type="dxa"/>
            <w:vAlign w:val="bottom"/>
            <w:gridSpan w:val="2"/>
            <w:shd w:val="clear" w:color="auto" w:fill="CBEBF4"/>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BEBF4"/>
          </w:tcPr>
          <w:p>
            <w:pPr>
              <w:spacing w:after="0"/>
              <w:rPr>
                <w:sz w:val="18"/>
                <w:szCs w:val="18"/>
                <w:color w:val="auto"/>
              </w:rPr>
            </w:pPr>
          </w:p>
        </w:tc>
        <w:tc>
          <w:tcPr>
            <w:tcW w:w="8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20,567</w:t>
            </w:r>
          </w:p>
        </w:tc>
        <w:tc>
          <w:tcPr>
            <w:tcW w:w="260" w:type="dxa"/>
            <w:vAlign w:val="bottom"/>
            <w:shd w:val="clear" w:color="auto" w:fill="CBEBF4"/>
          </w:tcPr>
          <w:p>
            <w:pPr>
              <w:spacing w:after="0"/>
              <w:rPr>
                <w:sz w:val="18"/>
                <w:szCs w:val="18"/>
                <w:color w:val="auto"/>
              </w:rPr>
            </w:pPr>
          </w:p>
        </w:tc>
        <w:tc>
          <w:tcPr>
            <w:tcW w:w="260" w:type="dxa"/>
            <w:vAlign w:val="bottom"/>
            <w:shd w:val="clear" w:color="auto" w:fill="CBEBF4"/>
          </w:tcPr>
          <w:p>
            <w:pPr>
              <w:spacing w:after="0"/>
              <w:rPr>
                <w:sz w:val="18"/>
                <w:szCs w:val="18"/>
                <w:color w:val="auto"/>
              </w:rPr>
            </w:pPr>
          </w:p>
        </w:tc>
        <w:tc>
          <w:tcPr>
            <w:tcW w:w="1240" w:type="dxa"/>
            <w:vAlign w:val="bottom"/>
            <w:gridSpan w:val="2"/>
            <w:shd w:val="clear" w:color="auto" w:fill="CBEBF4"/>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BEBF4"/>
          </w:tcPr>
          <w:p>
            <w:pPr>
              <w:spacing w:after="0"/>
              <w:rPr>
                <w:sz w:val="18"/>
                <w:szCs w:val="18"/>
                <w:color w:val="auto"/>
              </w:rPr>
            </w:pPr>
          </w:p>
        </w:tc>
        <w:tc>
          <w:tcPr>
            <w:tcW w:w="8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7"/>
                <w:szCs w:val="17"/>
                <w:color w:val="auto"/>
              </w:rPr>
              <w:t>38,969</w:t>
            </w:r>
          </w:p>
        </w:tc>
      </w:tr>
      <w:tr>
        <w:trPr>
          <w:trHeight w:val="200"/>
        </w:trPr>
        <w:tc>
          <w:tcPr>
            <w:tcW w:w="3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carry-forwards</w:t>
            </w: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29,791</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20,567</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w:t>
            </w:r>
          </w:p>
        </w:tc>
        <w:tc>
          <w:tcPr>
            <w:tcW w:w="26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38,969</w:t>
            </w:r>
          </w:p>
        </w:tc>
      </w:tr>
      <w:tr>
        <w:trPr>
          <w:trHeight w:val="20"/>
        </w:trPr>
        <w:tc>
          <w:tcPr>
            <w:tcW w:w="3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The Company files income tax returns in Canada, the United States, Singapore and Tonga, and is subject to examination in these jurisdictions for all years since the Company’s inception in 2011. As at December 31, 2023,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2023, the 2023 tax year filings for the Company and its subsidiaries (where applicable) remain unfiled and have not been assessed by the relative tax authorities.</w:t>
      </w:r>
    </w:p>
    <w:p>
      <w:pPr>
        <w:sectPr>
          <w:pgSz w:w="12240" w:h="15840" w:orient="portrait"/>
          <w:cols w:equalWidth="0" w:num="1">
            <w:col w:w="9620"/>
          </w:cols>
          <w:pgMar w:left="1300" w:top="1324" w:right="132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367030</wp:posOffset>
                </wp:positionV>
                <wp:extent cx="6110605" cy="0"/>
                <wp:wrapNone/>
                <wp:docPr id="857" name="Shape 8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857" o:spid="_x0000_s18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9pt" to="481.55pt,28.9pt" o:allowincell="f" strokecolor="#000000" strokeweight="1.2947pt"/>
            </w:pict>
          </mc:Fallback>
        </mc:AlternateContent>
      </w:r>
    </w:p>
    <w:p>
      <w:pPr>
        <w:sectPr>
          <w:pgSz w:w="12240" w:h="15840" w:orient="portrait"/>
          <w:cols w:equalWidth="0" w:num="1">
            <w:col w:w="9620"/>
          </w:cols>
          <w:pgMar w:left="1300" w:top="1324" w:right="1320" w:bottom="1440" w:gutter="0" w:footer="0" w:header="0"/>
          <w:type w:val="continuous"/>
        </w:sectPr>
      </w:pPr>
    </w:p>
    <w:bookmarkStart w:id="162" w:name="page163"/>
    <w:bookmarkEnd w:id="162"/>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59" name="Shape 8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59" o:spid="_x0000_s18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60" name="Shape 8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60" o:spid="_x0000_s18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61" name="Shape 8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1" o:spid="_x0000_s18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06" w:hanging="306"/>
        <w:spacing w:after="0"/>
        <w:tabs>
          <w:tab w:leader="none" w:pos="306"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Quarterly Financial Data (Unaudited) Restatement of Previously Issued Financial Statements</w:t>
      </w:r>
    </w:p>
    <w:p>
      <w:pPr>
        <w:spacing w:after="0" w:line="222" w:lineRule="exact"/>
        <w:rPr>
          <w:rFonts w:ascii="Times New Roman" w:cs="Times New Roman" w:eastAsia="Times New Roman" w:hAnsi="Times New Roman"/>
          <w:sz w:val="17"/>
          <w:szCs w:val="17"/>
          <w:b w:val="1"/>
          <w:bCs w:val="1"/>
          <w:color w:val="auto"/>
        </w:rPr>
      </w:pPr>
    </w:p>
    <w:p>
      <w:pPr>
        <w:jc w:val="both"/>
        <w:ind w:left="306" w:firstLine="1"/>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right to royalty payments underlying the NORI asset (sale of future revenue) amounting to $14 million (Note 9) was considered as the transfer (sale) of a non-financial asset in the Company’s previously issued financial statements for the three months ended March 31, 2023, the six months ended June 30, 2023 and the nine months ended September 30, 2023 contained in its Quarterly Reports on Form 10-Q for the quarter ended March 31, 2023, June 30, 2023 and September 30, 2023, respectively, filed with the SEC (the “Previous Financial Statements”). In preparing the Previous Financial Statements, the Company derecognized the capitalized exploration contract related to the NORI project amounting to $0.25 million and recorded the remaining value of the non-financial asset received amounting to $13.75 million as a gain on disposition. In connection with the preparation of the financial statements for the year ended December 31, 2023 and a re-evaluation of ASC 470 by the Company, the Company concluded that the sale of future revenue falls within the scope of ASC 470 and, as a result, the Company re-evaluated whether the offsetting entry to the proceeds it received from Low Carbon Royalties should be classified as debt or deferred income. As the transaction with Low Carbon Royalties was considered an equity investment rather than a sale transaction, the sale of future revenue was reclassified as Royalty Liability, as per ASC 470, in the Company’s 2023 financial statements for the year ended December 31, 2023. Factors that also influenced this reclassification included the Company’s continued significant involvement in generating future cash flows from operations and the fact that the earnings process implied in this transaction had not been completed. As a result, the Company has restated the Previous Financial Statements.</w:t>
      </w:r>
    </w:p>
    <w:p>
      <w:pPr>
        <w:spacing w:after="0" w:line="387" w:lineRule="exact"/>
        <w:rPr>
          <w:rFonts w:ascii="Times New Roman" w:cs="Times New Roman" w:eastAsia="Times New Roman" w:hAnsi="Times New Roman"/>
          <w:sz w:val="17"/>
          <w:szCs w:val="17"/>
          <w:b w:val="1"/>
          <w:bCs w:val="1"/>
          <w:color w:val="auto"/>
        </w:rPr>
      </w:pPr>
    </w:p>
    <w:p>
      <w:pPr>
        <w:ind w:left="766" w:hanging="101"/>
        <w:spacing w:after="0"/>
        <w:tabs>
          <w:tab w:leader="none" w:pos="766" w:val="left"/>
        </w:tabs>
        <w:numPr>
          <w:ilvl w:val="2"/>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error had no impact on our annual audited financial statements as of December 31, 2023.</w:t>
      </w:r>
    </w:p>
    <w:p>
      <w:pPr>
        <w:spacing w:after="0" w:line="11" w:lineRule="exact"/>
        <w:rPr>
          <w:rFonts w:ascii="Times New Roman" w:cs="Times New Roman" w:eastAsia="Times New Roman" w:hAnsi="Times New Roman"/>
          <w:sz w:val="17"/>
          <w:szCs w:val="17"/>
          <w:color w:val="auto"/>
        </w:rPr>
      </w:pPr>
    </w:p>
    <w:p>
      <w:pPr>
        <w:ind w:left="806" w:hanging="184"/>
        <w:spacing w:after="0" w:line="254" w:lineRule="auto"/>
        <w:tabs>
          <w:tab w:leader="none" w:pos="72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error had no impact on the consolidated statements of loss and comprehensive loss for the three-month period ended June 30, 2023 and the three month period ended September 30, 2023</w:t>
      </w:r>
    </w:p>
    <w:p>
      <w:pPr>
        <w:ind w:left="806" w:hanging="185"/>
        <w:spacing w:after="0" w:line="299" w:lineRule="auto"/>
        <w:tabs>
          <w:tab w:leader="none" w:pos="732"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error and restatement of the 2023 quarterly financial statements does not impact the Company's reported cash position in any of the previously reported periods or as of December 31, 2023.</w:t>
      </w:r>
    </w:p>
    <w:p>
      <w:pPr>
        <w:spacing w:after="0" w:line="135" w:lineRule="exact"/>
        <w:rPr>
          <w:sz w:val="20"/>
          <w:szCs w:val="20"/>
          <w:color w:val="auto"/>
        </w:rPr>
      </w:pPr>
    </w:p>
    <w:p>
      <w:pPr>
        <w:jc w:val="both"/>
        <w:ind w:left="306"/>
        <w:spacing w:after="0" w:line="264" w:lineRule="auto"/>
        <w:rPr>
          <w:sz w:val="20"/>
          <w:szCs w:val="20"/>
          <w:color w:val="auto"/>
        </w:rPr>
      </w:pPr>
      <w:r>
        <w:rPr>
          <w:rFonts w:ascii="Times New Roman" w:cs="Times New Roman" w:eastAsia="Times New Roman" w:hAnsi="Times New Roman"/>
          <w:sz w:val="17"/>
          <w:szCs w:val="17"/>
          <w:color w:val="auto"/>
        </w:rPr>
        <w:t>In the following tables, we have presented a reconciliation of our unaudited condensed consolidated financial information as originally reported in the Previous Financial Statements to the as restated amounts as of and for the three months ended March 31, 2023, six months ended June 30, 2023, and nine months ended September 30, 2023. The restatements will be reflected in the comparative financial statements included in our future filings of our 2024 unaudited condensed consolidated financial statements within our Quarterly Reports on Form 10-Q for the quarters ended March 31, 2024, June 30, 2024 and September 30, 2024, respectively.</w:t>
      </w:r>
    </w:p>
    <w:p>
      <w:pPr>
        <w:spacing w:after="0" w:line="376" w:lineRule="exact"/>
        <w:rPr>
          <w:sz w:val="20"/>
          <w:szCs w:val="20"/>
          <w:color w:val="auto"/>
        </w:rPr>
      </w:pPr>
    </w:p>
    <w:p>
      <w:pPr>
        <w:jc w:val="both"/>
        <w:ind w:left="306" w:firstLine="1"/>
        <w:spacing w:after="0" w:line="276" w:lineRule="auto"/>
        <w:rPr>
          <w:sz w:val="20"/>
          <w:szCs w:val="20"/>
          <w:color w:val="auto"/>
        </w:rPr>
      </w:pPr>
      <w:r>
        <w:rPr>
          <w:rFonts w:ascii="Times New Roman" w:cs="Times New Roman" w:eastAsia="Times New Roman" w:hAnsi="Times New Roman"/>
          <w:sz w:val="17"/>
          <w:szCs w:val="17"/>
          <w:color w:val="auto"/>
        </w:rPr>
        <w:t>The tables below set forth the unaudited condensed consolidated balance sheet information, the unaudited condensed statements of loss and comprehensive loss and the unaudited condensed consolidated statements of cash flows including the amounts as reported, adjustments and the amounts as restated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862" name="Shape 8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62" o:spid="_x0000_s18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324" w:right="1320" w:bottom="1440" w:gutter="0" w:footer="0" w:header="0"/>
        </w:sectPr>
      </w:pPr>
    </w:p>
    <w:bookmarkStart w:id="163" w:name="page164"/>
    <w:bookmarkEnd w:id="16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63" name="Shape 8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63" o:spid="_x0000_s188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64" name="Shape 8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4" o:spid="_x0000_s188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65" name="Shape 8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65" o:spid="_x0000_s189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66" name="Shape 8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6" o:spid="_x0000_s18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As at March 31, 2023</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w w:val="98"/>
              </w:rPr>
              <w:t>As at June 30, 2023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As at September 30, 2023</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40" w:type="dxa"/>
            <w:vAlign w:val="bottom"/>
          </w:tcPr>
          <w:p>
            <w:pPr>
              <w:spacing w:after="0"/>
              <w:rPr>
                <w:sz w:val="8"/>
                <w:szCs w:val="8"/>
                <w:color w:val="auto"/>
              </w:rPr>
            </w:pPr>
          </w:p>
        </w:tc>
        <w:tc>
          <w:tcPr>
            <w:tcW w:w="70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120" w:type="dxa"/>
            <w:vAlign w:val="bottom"/>
          </w:tcPr>
          <w:p>
            <w:pPr>
              <w:spacing w:after="0"/>
              <w:rPr>
                <w:sz w:val="8"/>
                <w:szCs w:val="8"/>
                <w:color w:val="auto"/>
              </w:rPr>
            </w:pPr>
          </w:p>
        </w:tc>
        <w:tc>
          <w:tcPr>
            <w:tcW w:w="7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40" w:type="dxa"/>
            <w:vAlign w:val="bottom"/>
          </w:tcPr>
          <w:p>
            <w:pPr>
              <w:spacing w:after="0"/>
              <w:rPr>
                <w:sz w:val="8"/>
                <w:szCs w:val="8"/>
                <w:color w:val="auto"/>
              </w:rPr>
            </w:pPr>
          </w:p>
        </w:tc>
        <w:tc>
          <w:tcPr>
            <w:tcW w:w="800" w:type="dxa"/>
            <w:vAlign w:val="bottom"/>
            <w:gridSpan w:val="3"/>
          </w:tcPr>
          <w:p>
            <w:pPr>
              <w:jc w:val="right"/>
              <w:ind w:right="140"/>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40" w:type="dxa"/>
            <w:vAlign w:val="bottom"/>
          </w:tcPr>
          <w:p>
            <w:pPr>
              <w:spacing w:after="0"/>
              <w:rPr>
                <w:sz w:val="8"/>
                <w:szCs w:val="8"/>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As Restated</w:t>
            </w:r>
          </w:p>
        </w:tc>
        <w:tc>
          <w:tcPr>
            <w:tcW w:w="140" w:type="dxa"/>
            <w:vAlign w:val="bottom"/>
          </w:tcPr>
          <w:p>
            <w:pPr>
              <w:spacing w:after="0"/>
              <w:rPr>
                <w:sz w:val="8"/>
                <w:szCs w:val="8"/>
                <w:color w:val="auto"/>
              </w:rPr>
            </w:pPr>
          </w:p>
        </w:tc>
        <w:tc>
          <w:tcPr>
            <w:tcW w:w="7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20" w:type="dxa"/>
            <w:vAlign w:val="bottom"/>
          </w:tcPr>
          <w:p>
            <w:pPr>
              <w:spacing w:after="0"/>
              <w:rPr>
                <w:sz w:val="8"/>
                <w:szCs w:val="8"/>
                <w:color w:val="auto"/>
              </w:rPr>
            </w:pPr>
          </w:p>
        </w:tc>
        <w:tc>
          <w:tcPr>
            <w:tcW w:w="72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120" w:type="dxa"/>
            <w:vAlign w:val="bottom"/>
          </w:tcPr>
          <w:p>
            <w:pPr>
              <w:spacing w:after="0"/>
              <w:rPr>
                <w:sz w:val="8"/>
                <w:szCs w:val="8"/>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40" w:type="dxa"/>
            <w:vAlign w:val="bottom"/>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top w:val="single" w:sz="8" w:color="CBEBF4"/>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Borders>
              <w:top w:val="single" w:sz="8" w:color="CBEBF4"/>
            </w:tcBorders>
            <w:shd w:val="clear" w:color="auto" w:fill="CBEBF4"/>
          </w:tcPr>
          <w:p>
            <w:pPr>
              <w:spacing w:after="0"/>
              <w:rPr>
                <w:sz w:val="10"/>
                <w:szCs w:val="10"/>
                <w:color w:val="auto"/>
              </w:rPr>
            </w:pPr>
          </w:p>
        </w:tc>
        <w:tc>
          <w:tcPr>
            <w:tcW w:w="140" w:type="dxa"/>
            <w:vAlign w:val="bottom"/>
            <w:tcBorders>
              <w:top w:val="single" w:sz="8" w:color="auto"/>
            </w:tcBorders>
            <w:shd w:val="clear" w:color="auto" w:fill="CBEBF4"/>
          </w:tcPr>
          <w:p>
            <w:pPr>
              <w:spacing w:after="0"/>
              <w:rPr>
                <w:sz w:val="10"/>
                <w:szCs w:val="10"/>
                <w:color w:val="auto"/>
              </w:rPr>
            </w:pPr>
          </w:p>
        </w:tc>
        <w:tc>
          <w:tcPr>
            <w:tcW w:w="62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auto"/>
            </w:tcBorders>
            <w:shd w:val="clear" w:color="auto" w:fill="CBEBF4"/>
          </w:tcPr>
          <w:p>
            <w:pPr>
              <w:spacing w:after="0"/>
              <w:rPr>
                <w:sz w:val="10"/>
                <w:szCs w:val="10"/>
                <w:color w:val="auto"/>
              </w:rPr>
            </w:pPr>
          </w:p>
        </w:tc>
        <w:tc>
          <w:tcPr>
            <w:tcW w:w="540" w:type="dxa"/>
            <w:vAlign w:val="bottom"/>
            <w:tcBorders>
              <w:top w:val="single" w:sz="8" w:color="auto"/>
            </w:tcBorders>
            <w:shd w:val="clear" w:color="auto" w:fill="CBEBF4"/>
          </w:tcPr>
          <w:p>
            <w:pPr>
              <w:spacing w:after="0"/>
              <w:rPr>
                <w:sz w:val="10"/>
                <w:szCs w:val="10"/>
                <w:color w:val="auto"/>
              </w:rPr>
            </w:pPr>
          </w:p>
        </w:tc>
        <w:tc>
          <w:tcPr>
            <w:tcW w:w="18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auto"/>
            </w:tcBorders>
            <w:shd w:val="clear" w:color="auto" w:fill="CBEBF4"/>
          </w:tcPr>
          <w:p>
            <w:pPr>
              <w:spacing w:after="0"/>
              <w:rPr>
                <w:sz w:val="10"/>
                <w:szCs w:val="10"/>
                <w:color w:val="auto"/>
              </w:rPr>
            </w:pPr>
          </w:p>
        </w:tc>
        <w:tc>
          <w:tcPr>
            <w:tcW w:w="540" w:type="dxa"/>
            <w:vAlign w:val="bottom"/>
            <w:tcBorders>
              <w:top w:val="single" w:sz="8" w:color="auto"/>
            </w:tcBorders>
            <w:shd w:val="clear" w:color="auto" w:fill="CBEBF4"/>
          </w:tcPr>
          <w:p>
            <w:pPr>
              <w:spacing w:after="0"/>
              <w:rPr>
                <w:sz w:val="10"/>
                <w:szCs w:val="10"/>
                <w:color w:val="auto"/>
              </w:rPr>
            </w:pPr>
          </w:p>
        </w:tc>
        <w:tc>
          <w:tcPr>
            <w:tcW w:w="100" w:type="dxa"/>
            <w:vAlign w:val="bottom"/>
            <w:tcBorders>
              <w:top w:val="single" w:sz="8" w:color="CBEBF4"/>
            </w:tcBorders>
            <w:shd w:val="clear" w:color="auto" w:fill="CBEBF4"/>
          </w:tcPr>
          <w:p>
            <w:pPr>
              <w:spacing w:after="0"/>
              <w:rPr>
                <w:sz w:val="10"/>
                <w:szCs w:val="10"/>
                <w:color w:val="auto"/>
              </w:rPr>
            </w:pPr>
          </w:p>
        </w:tc>
        <w:tc>
          <w:tcPr>
            <w:tcW w:w="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58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tcBorders>
            <w:shd w:val="clear" w:color="auto" w:fill="CBEBF4"/>
          </w:tcPr>
          <w:p>
            <w:pPr>
              <w:spacing w:after="0"/>
              <w:rPr>
                <w:sz w:val="10"/>
                <w:szCs w:val="10"/>
                <w:color w:val="auto"/>
              </w:rPr>
            </w:pPr>
          </w:p>
        </w:tc>
        <w:tc>
          <w:tcPr>
            <w:tcW w:w="62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auto"/>
            </w:tcBorders>
            <w:shd w:val="clear" w:color="auto" w:fill="CBEBF4"/>
          </w:tcPr>
          <w:p>
            <w:pPr>
              <w:spacing w:after="0"/>
              <w:rPr>
                <w:sz w:val="10"/>
                <w:szCs w:val="10"/>
                <w:color w:val="auto"/>
              </w:rPr>
            </w:pPr>
          </w:p>
        </w:tc>
        <w:tc>
          <w:tcPr>
            <w:tcW w:w="540" w:type="dxa"/>
            <w:vAlign w:val="bottom"/>
            <w:tcBorders>
              <w:top w:val="single" w:sz="8" w:color="auto"/>
            </w:tcBorders>
            <w:shd w:val="clear" w:color="auto" w:fill="CBEBF4"/>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Current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Cash</w:t>
            </w:r>
          </w:p>
        </w:tc>
        <w:tc>
          <w:tcPr>
            <w:tcW w:w="200" w:type="dxa"/>
            <w:vAlign w:val="bottom"/>
            <w:gridSpan w:val="2"/>
            <w:shd w:val="clear" w:color="auto" w:fill="CBEBF4"/>
          </w:tcPr>
          <w:p>
            <w:pPr>
              <w:ind w:left="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28,390</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28,390</w:t>
            </w:r>
          </w:p>
        </w:tc>
        <w:tc>
          <w:tcPr>
            <w:tcW w:w="22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20,006</w:t>
            </w:r>
          </w:p>
        </w:tc>
        <w:tc>
          <w:tcPr>
            <w:tcW w:w="300" w:type="dxa"/>
            <w:vAlign w:val="bottom"/>
            <w:gridSpan w:val="2"/>
            <w:shd w:val="clear" w:color="auto" w:fill="CBEBF4"/>
          </w:tcPr>
          <w:p>
            <w:pPr>
              <w:jc w:val="right"/>
              <w:ind w:right="78"/>
              <w:spacing w:after="0" w:line="130"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20,006</w:t>
            </w:r>
          </w:p>
        </w:tc>
        <w:tc>
          <w:tcPr>
            <w:tcW w:w="24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22,548</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shd w:val="clear" w:color="auto" w:fill="CBEBF4"/>
          </w:tcPr>
          <w:p>
            <w:pPr>
              <w:jc w:val="right"/>
              <w:ind w:right="43"/>
              <w:spacing w:after="0" w:line="130"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22,548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Borders>
              <w:bottom w:val="single" w:sz="8" w:color="CBEBF4"/>
            </w:tcBorders>
          </w:tcPr>
          <w:p>
            <w:pPr>
              <w:spacing w:after="0" w:line="130" w:lineRule="exact"/>
              <w:rPr>
                <w:sz w:val="20"/>
                <w:szCs w:val="20"/>
                <w:color w:val="auto"/>
              </w:rPr>
            </w:pPr>
            <w:r>
              <w:rPr>
                <w:rFonts w:ascii="Times New Roman" w:cs="Times New Roman" w:eastAsia="Times New Roman" w:hAnsi="Times New Roman"/>
                <w:sz w:val="12"/>
                <w:szCs w:val="12"/>
                <w:color w:val="auto"/>
              </w:rPr>
              <w:t>Receivables and prepayments</w:t>
            </w:r>
          </w:p>
        </w:tc>
        <w:tc>
          <w:tcPr>
            <w:tcW w:w="60" w:type="dxa"/>
            <w:vAlign w:val="bottom"/>
            <w:tcBorders>
              <w:bottom w:val="single" w:sz="8" w:color="CBEBF4"/>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3,230</w:t>
            </w: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BEBF4"/>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3,230</w:t>
            </w: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1,637</w:t>
            </w: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BEBF4"/>
            </w:tcBorders>
          </w:tcPr>
          <w:p>
            <w:pPr>
              <w:spacing w:after="0"/>
              <w:rPr>
                <w:sz w:val="11"/>
                <w:szCs w:val="11"/>
                <w:color w:val="auto"/>
              </w:rPr>
            </w:pPr>
          </w:p>
        </w:tc>
        <w:tc>
          <w:tcPr>
            <w:tcW w:w="40" w:type="dxa"/>
            <w:vAlign w:val="bottom"/>
            <w:tcBorders>
              <w:bottom w:val="single" w:sz="8" w:color="CBEBF4"/>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1,637</w:t>
            </w:r>
          </w:p>
        </w:tc>
        <w:tc>
          <w:tcPr>
            <w:tcW w:w="14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5,325</w:t>
            </w: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CBEBF4"/>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5,325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shd w:val="clear" w:color="auto" w:fill="CBEBF4"/>
          </w:tcPr>
          <w:p>
            <w:pPr>
              <w:spacing w:after="0"/>
              <w:rPr>
                <w:sz w:val="10"/>
                <w:szCs w:val="10"/>
                <w:color w:val="auto"/>
              </w:rPr>
            </w:pPr>
          </w:p>
        </w:tc>
        <w:tc>
          <w:tcPr>
            <w:tcW w:w="60" w:type="dxa"/>
            <w:vAlign w:val="bottom"/>
            <w:shd w:val="clear" w:color="auto" w:fill="CBEBF4"/>
          </w:tcPr>
          <w:p>
            <w:pPr>
              <w:spacing w:after="0"/>
              <w:rPr>
                <w:sz w:val="10"/>
                <w:szCs w:val="10"/>
                <w:color w:val="auto"/>
              </w:rPr>
            </w:pPr>
          </w:p>
        </w:tc>
        <w:tc>
          <w:tcPr>
            <w:tcW w:w="140" w:type="dxa"/>
            <w:vAlign w:val="bottom"/>
            <w:shd w:val="clear" w:color="auto" w:fill="CBEBF4"/>
          </w:tcPr>
          <w:p>
            <w:pPr>
              <w:spacing w:after="0"/>
              <w:rPr>
                <w:sz w:val="10"/>
                <w:szCs w:val="10"/>
                <w:color w:val="auto"/>
              </w:rPr>
            </w:pPr>
          </w:p>
        </w:tc>
        <w:tc>
          <w:tcPr>
            <w:tcW w:w="62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31,620</w:t>
            </w:r>
          </w:p>
        </w:tc>
        <w:tc>
          <w:tcPr>
            <w:tcW w:w="14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54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BEBF4"/>
          </w:tcPr>
          <w:p>
            <w:pPr>
              <w:spacing w:after="0"/>
              <w:rPr>
                <w:sz w:val="10"/>
                <w:szCs w:val="10"/>
                <w:color w:val="auto"/>
              </w:rPr>
            </w:pPr>
          </w:p>
        </w:tc>
        <w:tc>
          <w:tcPr>
            <w:tcW w:w="60" w:type="dxa"/>
            <w:vAlign w:val="bottom"/>
            <w:shd w:val="clear" w:color="auto" w:fill="CBEBF4"/>
          </w:tcPr>
          <w:p>
            <w:pPr>
              <w:spacing w:after="0"/>
              <w:rPr>
                <w:sz w:val="10"/>
                <w:szCs w:val="10"/>
                <w:color w:val="auto"/>
              </w:rPr>
            </w:pPr>
          </w:p>
        </w:tc>
        <w:tc>
          <w:tcPr>
            <w:tcW w:w="70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31,620</w:t>
            </w: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8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21,643</w:t>
            </w:r>
          </w:p>
        </w:tc>
        <w:tc>
          <w:tcPr>
            <w:tcW w:w="14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54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BEBF4"/>
          </w:tcPr>
          <w:p>
            <w:pPr>
              <w:spacing w:after="0"/>
              <w:rPr>
                <w:sz w:val="10"/>
                <w:szCs w:val="10"/>
                <w:color w:val="auto"/>
              </w:rPr>
            </w:pPr>
          </w:p>
        </w:tc>
        <w:tc>
          <w:tcPr>
            <w:tcW w:w="4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58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21,643</w:t>
            </w:r>
          </w:p>
        </w:tc>
        <w:tc>
          <w:tcPr>
            <w:tcW w:w="14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8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27,873</w:t>
            </w: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2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54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27,873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Non-current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Exploration contracts</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42,900</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250</w:t>
            </w: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43,150</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42,900</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250</w:t>
            </w: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43,150</w:t>
            </w: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42,900</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250</w:t>
            </w: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43,150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Equipment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1,997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1,970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1,970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2,078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2,078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Right-of-use asset</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6,198</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6,198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Borders>
              <w:bottom w:val="single" w:sz="8" w:color="CBEBF4"/>
            </w:tcBorders>
          </w:tcPr>
          <w:p>
            <w:pPr>
              <w:spacing w:after="0" w:line="130" w:lineRule="exact"/>
              <w:rPr>
                <w:sz w:val="20"/>
                <w:szCs w:val="20"/>
                <w:color w:val="auto"/>
              </w:rPr>
            </w:pPr>
            <w:r>
              <w:rPr>
                <w:rFonts w:ascii="Times New Roman" w:cs="Times New Roman" w:eastAsia="Times New Roman" w:hAnsi="Times New Roman"/>
                <w:sz w:val="12"/>
                <w:szCs w:val="12"/>
                <w:color w:val="auto"/>
              </w:rPr>
              <w:t>Investment</w:t>
            </w:r>
          </w:p>
        </w:tc>
        <w:tc>
          <w:tcPr>
            <w:tcW w:w="60" w:type="dxa"/>
            <w:vAlign w:val="bottom"/>
            <w:tcBorders>
              <w:bottom w:val="single" w:sz="8" w:color="CBEBF4"/>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8,781</w:t>
            </w: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BEBF4"/>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8,781</w:t>
            </w: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8,644</w:t>
            </w: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BEBF4"/>
            </w:tcBorders>
          </w:tcPr>
          <w:p>
            <w:pPr>
              <w:spacing w:after="0"/>
              <w:rPr>
                <w:sz w:val="11"/>
                <w:szCs w:val="11"/>
                <w:color w:val="auto"/>
              </w:rPr>
            </w:pPr>
          </w:p>
        </w:tc>
        <w:tc>
          <w:tcPr>
            <w:tcW w:w="40" w:type="dxa"/>
            <w:vAlign w:val="bottom"/>
            <w:tcBorders>
              <w:bottom w:val="single" w:sz="8" w:color="CBEBF4"/>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8,644</w:t>
            </w:r>
          </w:p>
        </w:tc>
        <w:tc>
          <w:tcPr>
            <w:tcW w:w="14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8,525</w:t>
            </w: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8,525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shd w:val="clear" w:color="auto" w:fill="CBEBF4"/>
          </w:tcPr>
          <w:p>
            <w:pPr>
              <w:spacing w:after="0"/>
              <w:rPr>
                <w:sz w:val="10"/>
                <w:szCs w:val="10"/>
                <w:color w:val="auto"/>
              </w:rPr>
            </w:pPr>
          </w:p>
        </w:tc>
        <w:tc>
          <w:tcPr>
            <w:tcW w:w="60" w:type="dxa"/>
            <w:vAlign w:val="bottom"/>
            <w:shd w:val="clear" w:color="auto" w:fill="CBEBF4"/>
          </w:tcPr>
          <w:p>
            <w:pPr>
              <w:spacing w:after="0"/>
              <w:rPr>
                <w:sz w:val="10"/>
                <w:szCs w:val="10"/>
                <w:color w:val="auto"/>
              </w:rPr>
            </w:pPr>
          </w:p>
        </w:tc>
        <w:tc>
          <w:tcPr>
            <w:tcW w:w="140" w:type="dxa"/>
            <w:vAlign w:val="bottom"/>
            <w:shd w:val="clear" w:color="auto" w:fill="CBEBF4"/>
          </w:tcPr>
          <w:p>
            <w:pPr>
              <w:spacing w:after="0"/>
              <w:rPr>
                <w:sz w:val="10"/>
                <w:szCs w:val="10"/>
                <w:color w:val="auto"/>
              </w:rPr>
            </w:pPr>
          </w:p>
        </w:tc>
        <w:tc>
          <w:tcPr>
            <w:tcW w:w="62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53,678</w:t>
            </w:r>
          </w:p>
        </w:tc>
        <w:tc>
          <w:tcPr>
            <w:tcW w:w="14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54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250</w:t>
            </w:r>
          </w:p>
        </w:tc>
        <w:tc>
          <w:tcPr>
            <w:tcW w:w="180" w:type="dxa"/>
            <w:vAlign w:val="bottom"/>
            <w:shd w:val="clear" w:color="auto" w:fill="CBEBF4"/>
          </w:tcPr>
          <w:p>
            <w:pPr>
              <w:spacing w:after="0"/>
              <w:rPr>
                <w:sz w:val="10"/>
                <w:szCs w:val="10"/>
                <w:color w:val="auto"/>
              </w:rPr>
            </w:pPr>
          </w:p>
        </w:tc>
        <w:tc>
          <w:tcPr>
            <w:tcW w:w="60" w:type="dxa"/>
            <w:vAlign w:val="bottom"/>
            <w:shd w:val="clear" w:color="auto" w:fill="CBEBF4"/>
          </w:tcPr>
          <w:p>
            <w:pPr>
              <w:spacing w:after="0"/>
              <w:rPr>
                <w:sz w:val="10"/>
                <w:szCs w:val="10"/>
                <w:color w:val="auto"/>
              </w:rPr>
            </w:pPr>
          </w:p>
        </w:tc>
        <w:tc>
          <w:tcPr>
            <w:tcW w:w="70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53,928</w:t>
            </w: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8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53,514</w:t>
            </w:r>
          </w:p>
        </w:tc>
        <w:tc>
          <w:tcPr>
            <w:tcW w:w="14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54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250</w:t>
            </w:r>
          </w:p>
        </w:tc>
        <w:tc>
          <w:tcPr>
            <w:tcW w:w="100" w:type="dxa"/>
            <w:vAlign w:val="bottom"/>
            <w:shd w:val="clear" w:color="auto" w:fill="CBEBF4"/>
          </w:tcPr>
          <w:p>
            <w:pPr>
              <w:spacing w:after="0"/>
              <w:rPr>
                <w:sz w:val="10"/>
                <w:szCs w:val="10"/>
                <w:color w:val="auto"/>
              </w:rPr>
            </w:pPr>
          </w:p>
        </w:tc>
        <w:tc>
          <w:tcPr>
            <w:tcW w:w="40" w:type="dxa"/>
            <w:vAlign w:val="bottom"/>
            <w:shd w:val="clear" w:color="auto" w:fill="CBEBF4"/>
          </w:tcPr>
          <w:p>
            <w:pPr>
              <w:spacing w:after="0"/>
              <w:rPr>
                <w:sz w:val="10"/>
                <w:szCs w:val="10"/>
                <w:color w:val="auto"/>
              </w:rPr>
            </w:pPr>
          </w:p>
        </w:tc>
        <w:tc>
          <w:tcPr>
            <w:tcW w:w="80" w:type="dxa"/>
            <w:vAlign w:val="bottom"/>
            <w:shd w:val="clear" w:color="auto" w:fill="CBEBF4"/>
          </w:tcPr>
          <w:p>
            <w:pPr>
              <w:spacing w:after="0"/>
              <w:rPr>
                <w:sz w:val="10"/>
                <w:szCs w:val="10"/>
                <w:color w:val="auto"/>
              </w:rPr>
            </w:pPr>
          </w:p>
        </w:tc>
        <w:tc>
          <w:tcPr>
            <w:tcW w:w="58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53,764</w:t>
            </w:r>
          </w:p>
        </w:tc>
        <w:tc>
          <w:tcPr>
            <w:tcW w:w="14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8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59,701</w:t>
            </w:r>
          </w:p>
        </w:tc>
        <w:tc>
          <w:tcPr>
            <w:tcW w:w="120" w:type="dxa"/>
            <w:vAlign w:val="bottom"/>
            <w:shd w:val="clear" w:color="auto" w:fill="CBEBF4"/>
          </w:tcPr>
          <w:p>
            <w:pPr>
              <w:spacing w:after="0"/>
              <w:rPr>
                <w:sz w:val="10"/>
                <w:szCs w:val="10"/>
                <w:color w:val="auto"/>
              </w:rPr>
            </w:pPr>
          </w:p>
        </w:tc>
        <w:tc>
          <w:tcPr>
            <w:tcW w:w="100" w:type="dxa"/>
            <w:vAlign w:val="bottom"/>
            <w:shd w:val="clear" w:color="auto" w:fill="CBEBF4"/>
          </w:tcPr>
          <w:p>
            <w:pPr>
              <w:spacing w:after="0"/>
              <w:rPr>
                <w:sz w:val="10"/>
                <w:szCs w:val="10"/>
                <w:color w:val="auto"/>
              </w:rPr>
            </w:pPr>
          </w:p>
        </w:tc>
        <w:tc>
          <w:tcPr>
            <w:tcW w:w="62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250</w:t>
            </w:r>
          </w:p>
        </w:tc>
        <w:tc>
          <w:tcPr>
            <w:tcW w:w="120" w:type="dxa"/>
            <w:vAlign w:val="bottom"/>
            <w:shd w:val="clear" w:color="auto" w:fill="CBEBF4"/>
          </w:tcPr>
          <w:p>
            <w:pPr>
              <w:spacing w:after="0"/>
              <w:rPr>
                <w:sz w:val="10"/>
                <w:szCs w:val="10"/>
                <w:color w:val="auto"/>
              </w:rPr>
            </w:pPr>
          </w:p>
        </w:tc>
        <w:tc>
          <w:tcPr>
            <w:tcW w:w="160" w:type="dxa"/>
            <w:vAlign w:val="bottom"/>
            <w:shd w:val="clear" w:color="auto" w:fill="CBEBF4"/>
          </w:tcPr>
          <w:p>
            <w:pPr>
              <w:spacing w:after="0"/>
              <w:rPr>
                <w:sz w:val="10"/>
                <w:szCs w:val="10"/>
                <w:color w:val="auto"/>
              </w:rPr>
            </w:pPr>
          </w:p>
        </w:tc>
        <w:tc>
          <w:tcPr>
            <w:tcW w:w="540" w:type="dxa"/>
            <w:vAlign w:val="bottom"/>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59,951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Borders>
              <w:bottom w:val="single" w:sz="8" w:color="CBEBF4"/>
            </w:tcBorders>
          </w:tcPr>
          <w:p>
            <w:pPr>
              <w:spacing w:after="0"/>
              <w:rPr>
                <w:sz w:val="11"/>
                <w:szCs w:val="11"/>
                <w:color w:val="auto"/>
              </w:rPr>
            </w:pPr>
          </w:p>
        </w:tc>
        <w:tc>
          <w:tcPr>
            <w:tcW w:w="60" w:type="dxa"/>
            <w:vAlign w:val="bottom"/>
            <w:tcBorders>
              <w:bottom w:val="single" w:sz="8" w:color="CBEBF4"/>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CBEBF4"/>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CBEBF4"/>
            </w:tcBorders>
          </w:tcPr>
          <w:p>
            <w:pPr>
              <w:spacing w:after="0"/>
              <w:rPr>
                <w:sz w:val="11"/>
                <w:szCs w:val="11"/>
                <w:color w:val="auto"/>
              </w:rPr>
            </w:pPr>
          </w:p>
        </w:tc>
        <w:tc>
          <w:tcPr>
            <w:tcW w:w="40" w:type="dxa"/>
            <w:vAlign w:val="bottom"/>
            <w:tcBorders>
              <w:bottom w:val="single" w:sz="8" w:color="CBEBF4"/>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bottom w:val="single" w:sz="8" w:color="CBEBF4"/>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0" w:type="dxa"/>
            <w:vAlign w:val="bottom"/>
            <w:tcBorders>
              <w:bottom w:val="single" w:sz="8" w:color="CBEBF4"/>
            </w:tcBorders>
            <w:shd w:val="clear" w:color="auto" w:fill="CBEBF4"/>
          </w:tcPr>
          <w:p>
            <w:pPr>
              <w:spacing w:after="0"/>
              <w:rPr>
                <w:sz w:val="10"/>
                <w:szCs w:val="10"/>
                <w:color w:val="auto"/>
              </w:rPr>
            </w:pPr>
          </w:p>
        </w:tc>
        <w:tc>
          <w:tcPr>
            <w:tcW w:w="140" w:type="dxa"/>
            <w:vAlign w:val="bottom"/>
            <w:tcBorders>
              <w:bottom w:val="single" w:sz="8" w:color="auto"/>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85,298</w:t>
            </w:r>
          </w:p>
        </w:tc>
        <w:tc>
          <w:tcPr>
            <w:tcW w:w="140" w:type="dxa"/>
            <w:vAlign w:val="bottom"/>
            <w:tcBorders>
              <w:bottom w:val="single" w:sz="8" w:color="CBEBF4"/>
            </w:tcBorders>
            <w:shd w:val="clear" w:color="auto" w:fill="CBEBF4"/>
          </w:tcPr>
          <w:p>
            <w:pPr>
              <w:spacing w:after="0"/>
              <w:rPr>
                <w:sz w:val="10"/>
                <w:szCs w:val="10"/>
                <w:color w:val="auto"/>
              </w:rPr>
            </w:pPr>
          </w:p>
        </w:tc>
        <w:tc>
          <w:tcPr>
            <w:tcW w:w="160" w:type="dxa"/>
            <w:vAlign w:val="bottom"/>
            <w:tcBorders>
              <w:bottom w:val="single" w:sz="8" w:color="auto"/>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250</w:t>
            </w:r>
          </w:p>
        </w:tc>
        <w:tc>
          <w:tcPr>
            <w:tcW w:w="180" w:type="dxa"/>
            <w:vAlign w:val="bottom"/>
            <w:tcBorders>
              <w:bottom w:val="single" w:sz="8" w:color="CBEBF4"/>
            </w:tcBorders>
            <w:shd w:val="clear" w:color="auto" w:fill="CBEBF4"/>
          </w:tcPr>
          <w:p>
            <w:pPr>
              <w:spacing w:after="0"/>
              <w:rPr>
                <w:sz w:val="10"/>
                <w:szCs w:val="10"/>
                <w:color w:val="auto"/>
              </w:rPr>
            </w:pPr>
          </w:p>
        </w:tc>
        <w:tc>
          <w:tcPr>
            <w:tcW w:w="6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85,548</w:t>
            </w:r>
          </w:p>
        </w:tc>
        <w:tc>
          <w:tcPr>
            <w:tcW w:w="120" w:type="dxa"/>
            <w:vAlign w:val="bottom"/>
            <w:tcBorders>
              <w:bottom w:val="single" w:sz="8" w:color="CBEBF4"/>
            </w:tcBorders>
            <w:shd w:val="clear" w:color="auto" w:fill="CBEBF4"/>
          </w:tcPr>
          <w:p>
            <w:pPr>
              <w:spacing w:after="0"/>
              <w:rPr>
                <w:sz w:val="10"/>
                <w:szCs w:val="10"/>
                <w:color w:val="auto"/>
              </w:rPr>
            </w:pPr>
          </w:p>
        </w:tc>
        <w:tc>
          <w:tcPr>
            <w:tcW w:w="10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75,157</w:t>
            </w:r>
          </w:p>
        </w:tc>
        <w:tc>
          <w:tcPr>
            <w:tcW w:w="140" w:type="dxa"/>
            <w:vAlign w:val="bottom"/>
            <w:tcBorders>
              <w:bottom w:val="single" w:sz="8" w:color="CBEBF4"/>
            </w:tcBorders>
            <w:shd w:val="clear" w:color="auto" w:fill="CBEBF4"/>
          </w:tcPr>
          <w:p>
            <w:pPr>
              <w:spacing w:after="0"/>
              <w:rPr>
                <w:sz w:val="10"/>
                <w:szCs w:val="10"/>
                <w:color w:val="auto"/>
              </w:rPr>
            </w:pPr>
          </w:p>
        </w:tc>
        <w:tc>
          <w:tcPr>
            <w:tcW w:w="160" w:type="dxa"/>
            <w:vAlign w:val="bottom"/>
            <w:tcBorders>
              <w:bottom w:val="single" w:sz="8" w:color="auto"/>
            </w:tcBorders>
            <w:shd w:val="clear" w:color="auto" w:fill="CBEBF4"/>
          </w:tcPr>
          <w:p>
            <w:pPr>
              <w:jc w:val="right"/>
              <w:ind w:right="7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250</w:t>
            </w:r>
          </w:p>
        </w:tc>
        <w:tc>
          <w:tcPr>
            <w:tcW w:w="100" w:type="dxa"/>
            <w:vAlign w:val="bottom"/>
            <w:tcBorders>
              <w:bottom w:val="single" w:sz="8" w:color="CBEBF4"/>
            </w:tcBorders>
            <w:shd w:val="clear" w:color="auto" w:fill="CBEBF4"/>
          </w:tcPr>
          <w:p>
            <w:pPr>
              <w:spacing w:after="0"/>
              <w:rPr>
                <w:sz w:val="10"/>
                <w:szCs w:val="10"/>
                <w:color w:val="auto"/>
              </w:rPr>
            </w:pPr>
          </w:p>
        </w:tc>
        <w:tc>
          <w:tcPr>
            <w:tcW w:w="40" w:type="dxa"/>
            <w:vAlign w:val="bottom"/>
            <w:tcBorders>
              <w:bottom w:val="single" w:sz="8" w:color="CBEBF4"/>
            </w:tcBorders>
            <w:shd w:val="clear" w:color="auto" w:fill="CBEBF4"/>
          </w:tcPr>
          <w:p>
            <w:pPr>
              <w:spacing w:after="0"/>
              <w:rPr>
                <w:sz w:val="10"/>
                <w:szCs w:val="10"/>
                <w:color w:val="auto"/>
              </w:rPr>
            </w:pPr>
          </w:p>
        </w:tc>
        <w:tc>
          <w:tcPr>
            <w:tcW w:w="80" w:type="dxa"/>
            <w:vAlign w:val="bottom"/>
            <w:tcBorders>
              <w:bottom w:val="single" w:sz="8" w:color="auto"/>
            </w:tcBorders>
            <w:shd w:val="clear" w:color="auto" w:fill="CBEBF4"/>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75,407</w:t>
            </w:r>
          </w:p>
        </w:tc>
        <w:tc>
          <w:tcPr>
            <w:tcW w:w="140" w:type="dxa"/>
            <w:vAlign w:val="bottom"/>
            <w:tcBorders>
              <w:bottom w:val="single" w:sz="8" w:color="CBEBF4"/>
            </w:tcBorders>
            <w:shd w:val="clear" w:color="auto" w:fill="CBEBF4"/>
          </w:tcPr>
          <w:p>
            <w:pPr>
              <w:spacing w:after="0"/>
              <w:rPr>
                <w:sz w:val="10"/>
                <w:szCs w:val="10"/>
                <w:color w:val="auto"/>
              </w:rPr>
            </w:pPr>
          </w:p>
        </w:tc>
        <w:tc>
          <w:tcPr>
            <w:tcW w:w="10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87,574</w:t>
            </w:r>
          </w:p>
        </w:tc>
        <w:tc>
          <w:tcPr>
            <w:tcW w:w="120" w:type="dxa"/>
            <w:vAlign w:val="bottom"/>
            <w:tcBorders>
              <w:bottom w:val="single" w:sz="8" w:color="CBEBF4"/>
            </w:tcBorders>
            <w:shd w:val="clear" w:color="auto" w:fill="CBEBF4"/>
          </w:tcPr>
          <w:p>
            <w:pPr>
              <w:spacing w:after="0"/>
              <w:rPr>
                <w:sz w:val="10"/>
                <w:szCs w:val="10"/>
                <w:color w:val="auto"/>
              </w:rPr>
            </w:pPr>
          </w:p>
        </w:tc>
        <w:tc>
          <w:tcPr>
            <w:tcW w:w="100" w:type="dxa"/>
            <w:vAlign w:val="bottom"/>
            <w:tcBorders>
              <w:bottom w:val="single" w:sz="8" w:color="auto"/>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250</w:t>
            </w:r>
          </w:p>
        </w:tc>
        <w:tc>
          <w:tcPr>
            <w:tcW w:w="120" w:type="dxa"/>
            <w:vAlign w:val="bottom"/>
            <w:tcBorders>
              <w:bottom w:val="single" w:sz="8" w:color="CBEBF4"/>
            </w:tcBorders>
            <w:shd w:val="clear" w:color="auto" w:fill="CBEBF4"/>
          </w:tcPr>
          <w:p>
            <w:pPr>
              <w:spacing w:after="0"/>
              <w:rPr>
                <w:sz w:val="10"/>
                <w:szCs w:val="10"/>
                <w:color w:val="auto"/>
              </w:rPr>
            </w:pPr>
          </w:p>
        </w:tc>
        <w:tc>
          <w:tcPr>
            <w:tcW w:w="160" w:type="dxa"/>
            <w:vAlign w:val="bottom"/>
            <w:tcBorders>
              <w:bottom w:val="single" w:sz="8" w:color="auto"/>
            </w:tcBorders>
            <w:shd w:val="clear" w:color="auto" w:fill="CBEBF4"/>
          </w:tcPr>
          <w:p>
            <w:pPr>
              <w:jc w:val="right"/>
              <w:ind w:right="43"/>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87,824</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LIABILITIES</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Current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Accounts payable and accrued</w:t>
            </w:r>
          </w:p>
        </w:tc>
        <w:tc>
          <w:tcPr>
            <w:tcW w:w="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62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160" w:type="dxa"/>
            <w:vAlign w:val="bottom"/>
            <w:shd w:val="clear" w:color="auto" w:fill="CBEBF4"/>
          </w:tcPr>
          <w:p>
            <w:pPr>
              <w:spacing w:after="0"/>
              <w:rPr>
                <w:sz w:val="9"/>
                <w:szCs w:val="9"/>
                <w:color w:val="auto"/>
              </w:rPr>
            </w:pPr>
          </w:p>
        </w:tc>
        <w:tc>
          <w:tcPr>
            <w:tcW w:w="540" w:type="dxa"/>
            <w:vAlign w:val="bottom"/>
            <w:shd w:val="clear" w:color="auto" w:fill="CBEBF4"/>
          </w:tcPr>
          <w:p>
            <w:pPr>
              <w:spacing w:after="0"/>
              <w:rPr>
                <w:sz w:val="9"/>
                <w:szCs w:val="9"/>
                <w:color w:val="auto"/>
              </w:rPr>
            </w:pPr>
          </w:p>
        </w:tc>
        <w:tc>
          <w:tcPr>
            <w:tcW w:w="18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160" w:type="dxa"/>
            <w:vAlign w:val="bottom"/>
            <w:shd w:val="clear" w:color="auto" w:fill="CBEBF4"/>
          </w:tcPr>
          <w:p>
            <w:pPr>
              <w:spacing w:after="0"/>
              <w:rPr>
                <w:sz w:val="9"/>
                <w:szCs w:val="9"/>
                <w:color w:val="auto"/>
              </w:rPr>
            </w:pPr>
          </w:p>
        </w:tc>
        <w:tc>
          <w:tcPr>
            <w:tcW w:w="54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5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6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60" w:type="dxa"/>
            <w:vAlign w:val="bottom"/>
            <w:shd w:val="clear" w:color="auto" w:fill="CBEBF4"/>
          </w:tcPr>
          <w:p>
            <w:pPr>
              <w:spacing w:after="0"/>
              <w:rPr>
                <w:sz w:val="9"/>
                <w:szCs w:val="9"/>
                <w:color w:val="auto"/>
              </w:rPr>
            </w:pPr>
          </w:p>
        </w:tc>
        <w:tc>
          <w:tcPr>
            <w:tcW w:w="54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80" w:type="dxa"/>
            <w:vAlign w:val="bottom"/>
            <w:tcBorders>
              <w:bottom w:val="single" w:sz="8" w:color="CBEBF4"/>
            </w:tcBorders>
            <w:shd w:val="clear" w:color="auto" w:fill="CBEBF4"/>
          </w:tcPr>
          <w:p>
            <w:pPr>
              <w:spacing w:after="0"/>
              <w:rPr>
                <w:sz w:val="20"/>
                <w:szCs w:val="20"/>
                <w:color w:val="auto"/>
              </w:rPr>
            </w:pPr>
            <w:r>
              <w:rPr>
                <w:rFonts w:ascii="Times New Roman" w:cs="Times New Roman" w:eastAsia="Times New Roman" w:hAnsi="Times New Roman"/>
                <w:sz w:val="12"/>
                <w:szCs w:val="12"/>
                <w:color w:val="auto"/>
              </w:rPr>
              <w:t>liabilities</w:t>
            </w:r>
          </w:p>
        </w:tc>
        <w:tc>
          <w:tcPr>
            <w:tcW w:w="60" w:type="dxa"/>
            <w:vAlign w:val="bottom"/>
            <w:tcBorders>
              <w:bottom w:val="single" w:sz="8" w:color="CBEBF4"/>
            </w:tcBorders>
            <w:shd w:val="clear" w:color="auto" w:fill="CBEBF4"/>
          </w:tcPr>
          <w:p>
            <w:pPr>
              <w:spacing w:after="0"/>
              <w:rPr>
                <w:sz w:val="13"/>
                <w:szCs w:val="13"/>
                <w:color w:val="auto"/>
              </w:rPr>
            </w:pPr>
          </w:p>
        </w:tc>
        <w:tc>
          <w:tcPr>
            <w:tcW w:w="140" w:type="dxa"/>
            <w:vAlign w:val="bottom"/>
            <w:tcBorders>
              <w:bottom w:val="single" w:sz="8" w:color="auto"/>
            </w:tcBorders>
            <w:shd w:val="clear" w:color="auto" w:fill="CBEBF4"/>
          </w:tcPr>
          <w:p>
            <w:pPr>
              <w:spacing w:after="0"/>
              <w:rPr>
                <w:sz w:val="13"/>
                <w:szCs w:val="13"/>
                <w:color w:val="auto"/>
              </w:rPr>
            </w:pPr>
          </w:p>
        </w:tc>
        <w:tc>
          <w:tcPr>
            <w:tcW w:w="6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17,544</w:t>
            </w:r>
          </w:p>
        </w:tc>
        <w:tc>
          <w:tcPr>
            <w:tcW w:w="140" w:type="dxa"/>
            <w:vAlign w:val="bottom"/>
            <w:tcBorders>
              <w:bottom w:val="single" w:sz="8" w:color="CBEBF4"/>
            </w:tcBorders>
            <w:shd w:val="clear" w:color="auto" w:fill="CBEBF4"/>
          </w:tcPr>
          <w:p>
            <w:pPr>
              <w:spacing w:after="0"/>
              <w:rPr>
                <w:sz w:val="13"/>
                <w:szCs w:val="13"/>
                <w:color w:val="auto"/>
              </w:rPr>
            </w:pPr>
          </w:p>
        </w:tc>
        <w:tc>
          <w:tcPr>
            <w:tcW w:w="160" w:type="dxa"/>
            <w:vAlign w:val="bottom"/>
            <w:tcBorders>
              <w:bottom w:val="single" w:sz="8" w:color="auto"/>
            </w:tcBorders>
            <w:shd w:val="clear" w:color="auto" w:fill="CBEBF4"/>
          </w:tcPr>
          <w:p>
            <w:pPr>
              <w:spacing w:after="0"/>
              <w:rPr>
                <w:sz w:val="13"/>
                <w:szCs w:val="13"/>
                <w:color w:val="auto"/>
              </w:rPr>
            </w:pPr>
          </w:p>
        </w:tc>
        <w:tc>
          <w:tcPr>
            <w:tcW w:w="5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BEBF4"/>
            </w:tcBorders>
            <w:shd w:val="clear" w:color="auto" w:fill="CBEBF4"/>
          </w:tcPr>
          <w:p>
            <w:pPr>
              <w:spacing w:after="0"/>
              <w:rPr>
                <w:sz w:val="13"/>
                <w:szCs w:val="13"/>
                <w:color w:val="auto"/>
              </w:rPr>
            </w:pPr>
          </w:p>
        </w:tc>
        <w:tc>
          <w:tcPr>
            <w:tcW w:w="60" w:type="dxa"/>
            <w:vAlign w:val="bottom"/>
            <w:tcBorders>
              <w:bottom w:val="single" w:sz="8" w:color="auto"/>
            </w:tcBorders>
            <w:shd w:val="clear" w:color="auto" w:fill="CBEBF4"/>
          </w:tcPr>
          <w:p>
            <w:pPr>
              <w:spacing w:after="0"/>
              <w:rPr>
                <w:sz w:val="13"/>
                <w:szCs w:val="13"/>
                <w:color w:val="auto"/>
              </w:rPr>
            </w:pPr>
          </w:p>
        </w:tc>
        <w:tc>
          <w:tcPr>
            <w:tcW w:w="70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17,544</w:t>
            </w:r>
          </w:p>
        </w:tc>
        <w:tc>
          <w:tcPr>
            <w:tcW w:w="120" w:type="dxa"/>
            <w:vAlign w:val="bottom"/>
            <w:tcBorders>
              <w:bottom w:val="single" w:sz="8" w:color="CBEBF4"/>
            </w:tcBorders>
            <w:shd w:val="clear" w:color="auto" w:fill="CBEBF4"/>
          </w:tcPr>
          <w:p>
            <w:pPr>
              <w:spacing w:after="0"/>
              <w:rPr>
                <w:sz w:val="13"/>
                <w:szCs w:val="13"/>
                <w:color w:val="auto"/>
              </w:rPr>
            </w:pPr>
          </w:p>
        </w:tc>
        <w:tc>
          <w:tcPr>
            <w:tcW w:w="100" w:type="dxa"/>
            <w:vAlign w:val="bottom"/>
            <w:tcBorders>
              <w:bottom w:val="single" w:sz="8" w:color="auto"/>
            </w:tcBorders>
            <w:shd w:val="clear" w:color="auto" w:fill="CBEBF4"/>
          </w:tcPr>
          <w:p>
            <w:pPr>
              <w:spacing w:after="0"/>
              <w:rPr>
                <w:sz w:val="13"/>
                <w:szCs w:val="13"/>
                <w:color w:val="auto"/>
              </w:rPr>
            </w:pPr>
          </w:p>
        </w:tc>
        <w:tc>
          <w:tcPr>
            <w:tcW w:w="6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18,113</w:t>
            </w:r>
          </w:p>
        </w:tc>
        <w:tc>
          <w:tcPr>
            <w:tcW w:w="140" w:type="dxa"/>
            <w:vAlign w:val="bottom"/>
            <w:tcBorders>
              <w:bottom w:val="single" w:sz="8" w:color="CBEBF4"/>
            </w:tcBorders>
            <w:shd w:val="clear" w:color="auto" w:fill="CBEBF4"/>
          </w:tcPr>
          <w:p>
            <w:pPr>
              <w:spacing w:after="0"/>
              <w:rPr>
                <w:sz w:val="13"/>
                <w:szCs w:val="13"/>
                <w:color w:val="auto"/>
              </w:rPr>
            </w:pPr>
          </w:p>
        </w:tc>
        <w:tc>
          <w:tcPr>
            <w:tcW w:w="160" w:type="dxa"/>
            <w:vAlign w:val="bottom"/>
            <w:tcBorders>
              <w:bottom w:val="single" w:sz="8" w:color="auto"/>
            </w:tcBorders>
            <w:shd w:val="clear" w:color="auto" w:fill="CBEBF4"/>
          </w:tcPr>
          <w:p>
            <w:pPr>
              <w:spacing w:after="0"/>
              <w:rPr>
                <w:sz w:val="13"/>
                <w:szCs w:val="13"/>
                <w:color w:val="auto"/>
              </w:rPr>
            </w:pPr>
          </w:p>
        </w:tc>
        <w:tc>
          <w:tcPr>
            <w:tcW w:w="5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BEBF4"/>
            </w:tcBorders>
            <w:shd w:val="clear" w:color="auto" w:fill="CBEBF4"/>
          </w:tcPr>
          <w:p>
            <w:pPr>
              <w:spacing w:after="0"/>
              <w:rPr>
                <w:sz w:val="13"/>
                <w:szCs w:val="13"/>
                <w:color w:val="auto"/>
              </w:rPr>
            </w:pPr>
          </w:p>
        </w:tc>
        <w:tc>
          <w:tcPr>
            <w:tcW w:w="4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auto"/>
            </w:tcBorders>
            <w:shd w:val="clear" w:color="auto" w:fill="CBEBF4"/>
          </w:tcPr>
          <w:p>
            <w:pPr>
              <w:spacing w:after="0"/>
              <w:rPr>
                <w:sz w:val="13"/>
                <w:szCs w:val="13"/>
                <w:color w:val="auto"/>
              </w:rPr>
            </w:pPr>
          </w:p>
        </w:tc>
        <w:tc>
          <w:tcPr>
            <w:tcW w:w="5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18,113</w:t>
            </w:r>
          </w:p>
        </w:tc>
        <w:tc>
          <w:tcPr>
            <w:tcW w:w="140" w:type="dxa"/>
            <w:vAlign w:val="bottom"/>
            <w:tcBorders>
              <w:bottom w:val="single" w:sz="8" w:color="CBEBF4"/>
            </w:tcBorders>
            <w:shd w:val="clear" w:color="auto" w:fill="CBEBF4"/>
          </w:tcPr>
          <w:p>
            <w:pPr>
              <w:spacing w:after="0"/>
              <w:rPr>
                <w:sz w:val="13"/>
                <w:szCs w:val="13"/>
                <w:color w:val="auto"/>
              </w:rPr>
            </w:pPr>
          </w:p>
        </w:tc>
        <w:tc>
          <w:tcPr>
            <w:tcW w:w="100" w:type="dxa"/>
            <w:vAlign w:val="bottom"/>
            <w:tcBorders>
              <w:bottom w:val="single" w:sz="8" w:color="auto"/>
            </w:tcBorders>
            <w:shd w:val="clear" w:color="auto" w:fill="CBEBF4"/>
          </w:tcPr>
          <w:p>
            <w:pPr>
              <w:spacing w:after="0"/>
              <w:rPr>
                <w:sz w:val="13"/>
                <w:szCs w:val="13"/>
                <w:color w:val="auto"/>
              </w:rPr>
            </w:pPr>
          </w:p>
        </w:tc>
        <w:tc>
          <w:tcPr>
            <w:tcW w:w="68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19,344</w:t>
            </w:r>
          </w:p>
        </w:tc>
        <w:tc>
          <w:tcPr>
            <w:tcW w:w="120" w:type="dxa"/>
            <w:vAlign w:val="bottom"/>
            <w:tcBorders>
              <w:bottom w:val="single" w:sz="8" w:color="CBEBF4"/>
            </w:tcBorders>
            <w:shd w:val="clear" w:color="auto" w:fill="CBEBF4"/>
          </w:tcPr>
          <w:p>
            <w:pPr>
              <w:spacing w:after="0"/>
              <w:rPr>
                <w:sz w:val="13"/>
                <w:szCs w:val="13"/>
                <w:color w:val="auto"/>
              </w:rPr>
            </w:pPr>
          </w:p>
        </w:tc>
        <w:tc>
          <w:tcPr>
            <w:tcW w:w="100" w:type="dxa"/>
            <w:vAlign w:val="bottom"/>
            <w:tcBorders>
              <w:bottom w:val="single" w:sz="8" w:color="auto"/>
            </w:tcBorders>
            <w:shd w:val="clear" w:color="auto" w:fill="CBEBF4"/>
          </w:tcPr>
          <w:p>
            <w:pPr>
              <w:spacing w:after="0"/>
              <w:rPr>
                <w:sz w:val="13"/>
                <w:szCs w:val="13"/>
                <w:color w:val="auto"/>
              </w:rPr>
            </w:pPr>
          </w:p>
        </w:tc>
        <w:tc>
          <w:tcPr>
            <w:tcW w:w="62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BEBF4"/>
            </w:tcBorders>
            <w:shd w:val="clear" w:color="auto" w:fill="CBEBF4"/>
          </w:tcPr>
          <w:p>
            <w:pPr>
              <w:spacing w:after="0"/>
              <w:rPr>
                <w:sz w:val="13"/>
                <w:szCs w:val="13"/>
                <w:color w:val="auto"/>
              </w:rPr>
            </w:pPr>
          </w:p>
        </w:tc>
        <w:tc>
          <w:tcPr>
            <w:tcW w:w="160" w:type="dxa"/>
            <w:vAlign w:val="bottom"/>
            <w:tcBorders>
              <w:bottom w:val="single" w:sz="8" w:color="auto"/>
            </w:tcBorders>
            <w:shd w:val="clear" w:color="auto" w:fill="CBEBF4"/>
          </w:tcPr>
          <w:p>
            <w:pPr>
              <w:spacing w:after="0"/>
              <w:rPr>
                <w:sz w:val="13"/>
                <w:szCs w:val="13"/>
                <w:color w:val="auto"/>
              </w:rPr>
            </w:pPr>
          </w:p>
        </w:tc>
        <w:tc>
          <w:tcPr>
            <w:tcW w:w="540" w:type="dxa"/>
            <w:vAlign w:val="bottom"/>
            <w:tcBorders>
              <w:bottom w:val="single" w:sz="8" w:color="auto"/>
            </w:tcBorders>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19,344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17,544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17,544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18,113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18,113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19,344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Times New Roman" w:cs="Times New Roman" w:eastAsia="Times New Roman" w:hAnsi="Times New Roman"/>
                <w:sz w:val="12"/>
                <w:szCs w:val="12"/>
                <w:color w:val="auto"/>
              </w:rPr>
              <w:t>19,344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Non-current</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Deferred tax liability</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10,675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Royalty Liability</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14,000</w:t>
            </w: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14,000</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14,000</w:t>
            </w: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14,000</w:t>
            </w: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14,000</w:t>
            </w: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14,000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880" w:type="dxa"/>
            <w:vAlign w:val="bottom"/>
            <w:tcBorders>
              <w:bottom w:val="single" w:sz="8" w:color="CBEBF4"/>
            </w:tcBorders>
          </w:tcPr>
          <w:p>
            <w:pPr>
              <w:spacing w:after="0" w:line="130" w:lineRule="exact"/>
              <w:rPr>
                <w:sz w:val="20"/>
                <w:szCs w:val="20"/>
                <w:color w:val="auto"/>
              </w:rPr>
            </w:pPr>
            <w:r>
              <w:rPr>
                <w:rFonts w:ascii="Times New Roman" w:cs="Times New Roman" w:eastAsia="Times New Roman" w:hAnsi="Times New Roman"/>
                <w:sz w:val="12"/>
                <w:szCs w:val="12"/>
                <w:color w:val="auto"/>
              </w:rPr>
              <w:t>Warrants liability</w:t>
            </w:r>
          </w:p>
        </w:tc>
        <w:tc>
          <w:tcPr>
            <w:tcW w:w="60" w:type="dxa"/>
            <w:vAlign w:val="bottom"/>
            <w:tcBorders>
              <w:bottom w:val="single" w:sz="8" w:color="CBEBF4"/>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1,528</w:t>
            </w:r>
          </w:p>
        </w:tc>
        <w:tc>
          <w:tcPr>
            <w:tcW w:w="140" w:type="dxa"/>
            <w:vAlign w:val="bottom"/>
            <w:tcBorders>
              <w:bottom w:val="single" w:sz="8" w:color="CBEB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BEBF4"/>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1,528</w:t>
            </w:r>
          </w:p>
        </w:tc>
        <w:tc>
          <w:tcPr>
            <w:tcW w:w="120" w:type="dxa"/>
            <w:vAlign w:val="bottom"/>
            <w:tcBorders>
              <w:bottom w:val="single" w:sz="8" w:color="CBEB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2,314</w:t>
            </w:r>
          </w:p>
        </w:tc>
        <w:tc>
          <w:tcPr>
            <w:tcW w:w="140" w:type="dxa"/>
            <w:vAlign w:val="bottom"/>
            <w:tcBorders>
              <w:bottom w:val="single" w:sz="8" w:color="CBEB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BEBF4"/>
            </w:tcBorders>
          </w:tcPr>
          <w:p>
            <w:pPr>
              <w:spacing w:after="0"/>
              <w:rPr>
                <w:sz w:val="13"/>
                <w:szCs w:val="13"/>
                <w:color w:val="auto"/>
              </w:rPr>
            </w:pPr>
          </w:p>
        </w:tc>
        <w:tc>
          <w:tcPr>
            <w:tcW w:w="40" w:type="dxa"/>
            <w:vAlign w:val="bottom"/>
            <w:tcBorders>
              <w:bottom w:val="single" w:sz="8" w:color="CBEBF4"/>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2,314</w:t>
            </w:r>
          </w:p>
        </w:tc>
        <w:tc>
          <w:tcPr>
            <w:tcW w:w="140" w:type="dxa"/>
            <w:vAlign w:val="bottom"/>
            <w:tcBorders>
              <w:bottom w:val="single" w:sz="8" w:color="CBEB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2,197</w:t>
            </w:r>
          </w:p>
        </w:tc>
        <w:tc>
          <w:tcPr>
            <w:tcW w:w="120" w:type="dxa"/>
            <w:vAlign w:val="bottom"/>
            <w:tcBorders>
              <w:bottom w:val="single" w:sz="8" w:color="CBEBF4"/>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BEBF4"/>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2,197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tcBorders>
              <w:top w:val="single" w:sz="8" w:color="CBEBF4"/>
            </w:tcBorders>
            <w:shd w:val="clear" w:color="auto" w:fill="CBEBF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60" w:type="dxa"/>
            <w:vAlign w:val="bottom"/>
            <w:tcBorders>
              <w:top w:val="single" w:sz="8" w:color="CBEBF4"/>
            </w:tcBorders>
            <w:shd w:val="clear" w:color="auto" w:fill="CBEBF4"/>
          </w:tcPr>
          <w:p>
            <w:pPr>
              <w:spacing w:after="0"/>
              <w:rPr>
                <w:sz w:val="10"/>
                <w:szCs w:val="10"/>
                <w:color w:val="auto"/>
              </w:rPr>
            </w:pPr>
          </w:p>
        </w:tc>
        <w:tc>
          <w:tcPr>
            <w:tcW w:w="140" w:type="dxa"/>
            <w:vAlign w:val="bottom"/>
            <w:tcBorders>
              <w:top w:val="single" w:sz="8" w:color="CBEBF4"/>
              <w:bottom w:val="single" w:sz="8" w:color="auto"/>
            </w:tcBorders>
            <w:shd w:val="clear" w:color="auto" w:fill="CBEBF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29,747</w:t>
            </w:r>
          </w:p>
        </w:tc>
        <w:tc>
          <w:tcPr>
            <w:tcW w:w="14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CBEBF4"/>
              <w:bottom w:val="single" w:sz="8" w:color="auto"/>
            </w:tcBorders>
            <w:shd w:val="clear" w:color="auto" w:fill="CBEBF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14,000</w:t>
            </w:r>
          </w:p>
        </w:tc>
        <w:tc>
          <w:tcPr>
            <w:tcW w:w="18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43,747</w:t>
            </w: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31,102</w:t>
            </w:r>
          </w:p>
        </w:tc>
        <w:tc>
          <w:tcPr>
            <w:tcW w:w="14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CBEBF4"/>
              <w:bottom w:val="single" w:sz="8" w:color="auto"/>
            </w:tcBorders>
            <w:shd w:val="clear" w:color="auto" w:fill="CBEBF4"/>
          </w:tcPr>
          <w:p>
            <w:pPr>
              <w:jc w:val="right"/>
              <w:ind w:right="78"/>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14,000</w:t>
            </w:r>
          </w:p>
        </w:tc>
        <w:tc>
          <w:tcPr>
            <w:tcW w:w="100" w:type="dxa"/>
            <w:vAlign w:val="bottom"/>
            <w:tcBorders>
              <w:top w:val="single" w:sz="8" w:color="CBEBF4"/>
            </w:tcBorders>
            <w:shd w:val="clear" w:color="auto" w:fill="CBEBF4"/>
          </w:tcPr>
          <w:p>
            <w:pPr>
              <w:spacing w:after="0"/>
              <w:rPr>
                <w:sz w:val="10"/>
                <w:szCs w:val="10"/>
                <w:color w:val="auto"/>
              </w:rPr>
            </w:pPr>
          </w:p>
        </w:tc>
        <w:tc>
          <w:tcPr>
            <w:tcW w:w="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bottom w:val="single" w:sz="8" w:color="auto"/>
            </w:tcBorders>
            <w:shd w:val="clear" w:color="auto" w:fill="CBEBF4"/>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top w:val="single" w:sz="8" w:color="auto"/>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45,102</w:t>
            </w:r>
          </w:p>
        </w:tc>
        <w:tc>
          <w:tcPr>
            <w:tcW w:w="14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32,216</w:t>
            </w: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CBEBF4"/>
              <w:bottom w:val="single" w:sz="8" w:color="auto"/>
            </w:tcBorders>
            <w:shd w:val="clear" w:color="auto" w:fill="CBEBF4"/>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14,000</w:t>
            </w:r>
          </w:p>
        </w:tc>
        <w:tc>
          <w:tcPr>
            <w:tcW w:w="120" w:type="dxa"/>
            <w:vAlign w:val="bottom"/>
            <w:tcBorders>
              <w:top w:val="single" w:sz="8" w:color="CBEBF4"/>
            </w:tcBorders>
            <w:shd w:val="clear" w:color="auto" w:fill="CBEBF4"/>
          </w:tcPr>
          <w:p>
            <w:pPr>
              <w:spacing w:after="0"/>
              <w:rPr>
                <w:sz w:val="10"/>
                <w:szCs w:val="10"/>
                <w:color w:val="auto"/>
              </w:rPr>
            </w:pPr>
          </w:p>
        </w:tc>
        <w:tc>
          <w:tcPr>
            <w:tcW w:w="160" w:type="dxa"/>
            <w:vAlign w:val="bottom"/>
            <w:tcBorders>
              <w:top w:val="single" w:sz="8" w:color="CBEBF4"/>
              <w:bottom w:val="single" w:sz="8" w:color="auto"/>
            </w:tcBorders>
            <w:shd w:val="clear" w:color="auto" w:fill="CBEBF4"/>
          </w:tcPr>
          <w:p>
            <w:pPr>
              <w:jc w:val="right"/>
              <w:ind w:right="43"/>
              <w:spacing w:after="0" w:line="10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CBEBF4"/>
              <w:bottom w:val="single" w:sz="8" w:color="auto"/>
            </w:tcBorders>
            <w:shd w:val="clear" w:color="auto" w:fill="CBEBF4"/>
          </w:tcPr>
          <w:p>
            <w:pPr>
              <w:jc w:val="right"/>
              <w:spacing w:after="0" w:line="103" w:lineRule="exact"/>
              <w:rPr>
                <w:sz w:val="20"/>
                <w:szCs w:val="20"/>
                <w:color w:val="auto"/>
              </w:rPr>
            </w:pPr>
            <w:r>
              <w:rPr>
                <w:rFonts w:ascii="Times New Roman" w:cs="Times New Roman" w:eastAsia="Times New Roman" w:hAnsi="Times New Roman"/>
                <w:sz w:val="11"/>
                <w:szCs w:val="11"/>
                <w:b w:val="1"/>
                <w:bCs w:val="1"/>
                <w:color w:val="auto"/>
              </w:rPr>
              <w:t>46,216</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8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 xml:space="preserve">Common shares </w:t>
            </w:r>
            <w:r>
              <w:rPr>
                <w:rFonts w:ascii="Times New Roman" w:cs="Times New Roman" w:eastAsia="Times New Roman" w:hAnsi="Times New Roman"/>
                <w:sz w:val="12"/>
                <w:szCs w:val="12"/>
                <w:i w:val="1"/>
                <w:iCs w:val="1"/>
                <w:color w:val="auto"/>
              </w:rPr>
              <w:t>(unlimited shares, no</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345,090</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345,090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345,775</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345,775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434,099</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434,099</w:t>
            </w:r>
          </w:p>
        </w:tc>
        <w:tc>
          <w:tcPr>
            <w:tcW w:w="0" w:type="dxa"/>
            <w:vAlign w:val="bottom"/>
          </w:tcPr>
          <w:p>
            <w:pPr>
              <w:spacing w:after="0"/>
              <w:rPr>
                <w:sz w:val="1"/>
                <w:szCs w:val="1"/>
                <w:color w:val="auto"/>
              </w:rPr>
            </w:pPr>
          </w:p>
        </w:tc>
      </w:tr>
      <w:tr>
        <w:trPr>
          <w:trHeight w:val="150"/>
        </w:trPr>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par value)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Special Shares</w:t>
            </w:r>
          </w:p>
        </w:tc>
        <w:tc>
          <w:tcPr>
            <w:tcW w:w="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BEBF4"/>
          </w:tcPr>
          <w:p>
            <w:pPr>
              <w:spacing w:after="0"/>
              <w:rPr>
                <w:sz w:val="11"/>
                <w:szCs w:val="11"/>
                <w:color w:val="auto"/>
              </w:rPr>
            </w:pPr>
          </w:p>
        </w:tc>
        <w:tc>
          <w:tcPr>
            <w:tcW w:w="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5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6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160" w:type="dxa"/>
            <w:vAlign w:val="bottom"/>
            <w:shd w:val="clear" w:color="auto" w:fill="CBEBF4"/>
          </w:tcPr>
          <w:p>
            <w:pPr>
              <w:spacing w:after="0"/>
              <w:rPr>
                <w:sz w:val="11"/>
                <w:szCs w:val="11"/>
                <w:color w:val="auto"/>
              </w:rPr>
            </w:pPr>
          </w:p>
        </w:tc>
        <w:tc>
          <w:tcPr>
            <w:tcW w:w="54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Additional paid in capital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186,796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186,796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188,722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188,722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124,168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124,168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88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Accumulated other comprehensive</w:t>
            </w:r>
          </w:p>
        </w:tc>
        <w:tc>
          <w:tcPr>
            <w:tcW w:w="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62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160" w:type="dxa"/>
            <w:vAlign w:val="bottom"/>
            <w:shd w:val="clear" w:color="auto" w:fill="CBEBF4"/>
          </w:tcPr>
          <w:p>
            <w:pPr>
              <w:spacing w:after="0"/>
              <w:rPr>
                <w:sz w:val="9"/>
                <w:szCs w:val="9"/>
                <w:color w:val="auto"/>
              </w:rPr>
            </w:pPr>
          </w:p>
        </w:tc>
        <w:tc>
          <w:tcPr>
            <w:tcW w:w="540" w:type="dxa"/>
            <w:vAlign w:val="bottom"/>
            <w:shd w:val="clear" w:color="auto" w:fill="CBEBF4"/>
          </w:tcPr>
          <w:p>
            <w:pPr>
              <w:spacing w:after="0"/>
              <w:rPr>
                <w:sz w:val="9"/>
                <w:szCs w:val="9"/>
                <w:color w:val="auto"/>
              </w:rPr>
            </w:pPr>
          </w:p>
        </w:tc>
        <w:tc>
          <w:tcPr>
            <w:tcW w:w="18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160" w:type="dxa"/>
            <w:vAlign w:val="bottom"/>
            <w:shd w:val="clear" w:color="auto" w:fill="CBEBF4"/>
          </w:tcPr>
          <w:p>
            <w:pPr>
              <w:spacing w:after="0"/>
              <w:rPr>
                <w:sz w:val="9"/>
                <w:szCs w:val="9"/>
                <w:color w:val="auto"/>
              </w:rPr>
            </w:pPr>
          </w:p>
        </w:tc>
        <w:tc>
          <w:tcPr>
            <w:tcW w:w="54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5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6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60" w:type="dxa"/>
            <w:vAlign w:val="bottom"/>
            <w:shd w:val="clear" w:color="auto" w:fill="CBEBF4"/>
          </w:tcPr>
          <w:p>
            <w:pPr>
              <w:spacing w:after="0"/>
              <w:rPr>
                <w:sz w:val="9"/>
                <w:szCs w:val="9"/>
                <w:color w:val="auto"/>
              </w:rPr>
            </w:pPr>
          </w:p>
        </w:tc>
        <w:tc>
          <w:tcPr>
            <w:tcW w:w="54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880" w:type="dxa"/>
            <w:vAlign w:val="bottom"/>
            <w:shd w:val="clear" w:color="auto" w:fill="CBEBF4"/>
          </w:tcPr>
          <w:p>
            <w:pPr>
              <w:spacing w:after="0"/>
              <w:rPr>
                <w:sz w:val="20"/>
                <w:szCs w:val="20"/>
                <w:color w:val="auto"/>
              </w:rPr>
            </w:pPr>
            <w:r>
              <w:rPr>
                <w:rFonts w:ascii="Times New Roman" w:cs="Times New Roman" w:eastAsia="Times New Roman" w:hAnsi="Times New Roman"/>
                <w:sz w:val="12"/>
                <w:szCs w:val="12"/>
                <w:color w:val="auto"/>
              </w:rPr>
              <w:t>loss</w:t>
            </w:r>
          </w:p>
        </w:tc>
        <w:tc>
          <w:tcPr>
            <w:tcW w:w="60" w:type="dxa"/>
            <w:vAlign w:val="bottom"/>
            <w:shd w:val="clear" w:color="auto" w:fill="CBEBF4"/>
          </w:tcPr>
          <w:p>
            <w:pPr>
              <w:spacing w:after="0"/>
              <w:rPr>
                <w:sz w:val="13"/>
                <w:szCs w:val="13"/>
                <w:color w:val="auto"/>
              </w:rPr>
            </w:pPr>
          </w:p>
        </w:tc>
        <w:tc>
          <w:tcPr>
            <w:tcW w:w="140" w:type="dxa"/>
            <w:vAlign w:val="bottom"/>
            <w:shd w:val="clear" w:color="auto" w:fill="CBEBF4"/>
          </w:tcPr>
          <w:p>
            <w:pPr>
              <w:spacing w:after="0"/>
              <w:rPr>
                <w:sz w:val="13"/>
                <w:szCs w:val="13"/>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140" w:type="dxa"/>
            <w:vAlign w:val="bottom"/>
            <w:shd w:val="clear" w:color="auto" w:fill="CBEBF4"/>
          </w:tcPr>
          <w:p>
            <w:pPr>
              <w:spacing w:after="0"/>
              <w:rPr>
                <w:sz w:val="13"/>
                <w:szCs w:val="13"/>
                <w:color w:val="auto"/>
              </w:rPr>
            </w:pPr>
          </w:p>
        </w:tc>
        <w:tc>
          <w:tcPr>
            <w:tcW w:w="160" w:type="dxa"/>
            <w:vAlign w:val="bottom"/>
            <w:shd w:val="clear" w:color="auto" w:fill="CBEBF4"/>
          </w:tcPr>
          <w:p>
            <w:pPr>
              <w:spacing w:after="0"/>
              <w:rPr>
                <w:sz w:val="13"/>
                <w:szCs w:val="13"/>
                <w:color w:val="auto"/>
              </w:rPr>
            </w:pPr>
          </w:p>
        </w:tc>
        <w:tc>
          <w:tcPr>
            <w:tcW w:w="5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12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140" w:type="dxa"/>
            <w:vAlign w:val="bottom"/>
            <w:shd w:val="clear" w:color="auto" w:fill="CBEBF4"/>
          </w:tcPr>
          <w:p>
            <w:pPr>
              <w:spacing w:after="0"/>
              <w:rPr>
                <w:sz w:val="13"/>
                <w:szCs w:val="13"/>
                <w:color w:val="auto"/>
              </w:rPr>
            </w:pPr>
          </w:p>
        </w:tc>
        <w:tc>
          <w:tcPr>
            <w:tcW w:w="160" w:type="dxa"/>
            <w:vAlign w:val="bottom"/>
            <w:shd w:val="clear" w:color="auto" w:fill="CBEBF4"/>
          </w:tcPr>
          <w:p>
            <w:pPr>
              <w:spacing w:after="0"/>
              <w:rPr>
                <w:sz w:val="13"/>
                <w:szCs w:val="13"/>
                <w:color w:val="auto"/>
              </w:rPr>
            </w:pPr>
          </w:p>
        </w:tc>
        <w:tc>
          <w:tcPr>
            <w:tcW w:w="5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BEBF4"/>
          </w:tcPr>
          <w:p>
            <w:pPr>
              <w:spacing w:after="0"/>
              <w:rPr>
                <w:sz w:val="13"/>
                <w:szCs w:val="13"/>
                <w:color w:val="auto"/>
              </w:rPr>
            </w:pPr>
          </w:p>
        </w:tc>
        <w:tc>
          <w:tcPr>
            <w:tcW w:w="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5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14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12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6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160" w:type="dxa"/>
            <w:vAlign w:val="bottom"/>
            <w:shd w:val="clear" w:color="auto" w:fill="CBEBF4"/>
          </w:tcPr>
          <w:p>
            <w:pPr>
              <w:spacing w:after="0"/>
              <w:rPr>
                <w:sz w:val="13"/>
                <w:szCs w:val="13"/>
                <w:color w:val="auto"/>
              </w:rPr>
            </w:pPr>
          </w:p>
        </w:tc>
        <w:tc>
          <w:tcPr>
            <w:tcW w:w="54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80" w:type="dxa"/>
            <w:vAlign w:val="bottom"/>
            <w:tcBorders>
              <w:bottom w:val="single" w:sz="8" w:color="CBEBF4"/>
            </w:tcBorders>
          </w:tcPr>
          <w:p>
            <w:pPr>
              <w:spacing w:after="0" w:line="130" w:lineRule="exact"/>
              <w:rPr>
                <w:sz w:val="20"/>
                <w:szCs w:val="20"/>
                <w:color w:val="auto"/>
              </w:rPr>
            </w:pPr>
            <w:r>
              <w:rPr>
                <w:rFonts w:ascii="Times New Roman" w:cs="Times New Roman" w:eastAsia="Times New Roman" w:hAnsi="Times New Roman"/>
                <w:sz w:val="12"/>
                <w:szCs w:val="12"/>
                <w:color w:val="auto"/>
              </w:rPr>
              <w:t>Deficit</w:t>
            </w:r>
          </w:p>
        </w:tc>
        <w:tc>
          <w:tcPr>
            <w:tcW w:w="60" w:type="dxa"/>
            <w:vAlign w:val="bottom"/>
            <w:tcBorders>
              <w:bottom w:val="single" w:sz="8" w:color="CBEBF4"/>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(475,119)</w:t>
            </w: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80" w:type="dxa"/>
            <w:vAlign w:val="bottom"/>
            <w:tcBorders>
              <w:bottom w:val="single" w:sz="8" w:color="CBEBF4"/>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(488,869)</w:t>
            </w: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(489,226)</w:t>
            </w:r>
          </w:p>
        </w:tc>
        <w:tc>
          <w:tcPr>
            <w:tcW w:w="14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00" w:type="dxa"/>
            <w:vAlign w:val="bottom"/>
            <w:tcBorders>
              <w:bottom w:val="single" w:sz="8" w:color="CBEBF4"/>
            </w:tcBorders>
          </w:tcPr>
          <w:p>
            <w:pPr>
              <w:spacing w:after="0"/>
              <w:rPr>
                <w:sz w:val="11"/>
                <w:szCs w:val="11"/>
                <w:color w:val="auto"/>
              </w:rPr>
            </w:pPr>
          </w:p>
        </w:tc>
        <w:tc>
          <w:tcPr>
            <w:tcW w:w="40" w:type="dxa"/>
            <w:vAlign w:val="bottom"/>
            <w:tcBorders>
              <w:bottom w:val="single" w:sz="8" w:color="CBEBF4"/>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(502,976)</w:t>
            </w:r>
          </w:p>
        </w:tc>
        <w:tc>
          <w:tcPr>
            <w:tcW w:w="14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(501,693)</w:t>
            </w:r>
          </w:p>
        </w:tc>
        <w:tc>
          <w:tcPr>
            <w:tcW w:w="120" w:type="dxa"/>
            <w:vAlign w:val="bottom"/>
            <w:tcBorders>
              <w:bottom w:val="single" w:sz="8" w:color="CBEBF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Borders>
              <w:bottom w:val="single" w:sz="8" w:color="CBEBF4"/>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(515,443)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80" w:type="dxa"/>
            <w:vAlign w:val="bottom"/>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TOTAL EQUITY</w:t>
            </w:r>
          </w:p>
        </w:tc>
        <w:tc>
          <w:tcPr>
            <w:tcW w:w="60" w:type="dxa"/>
            <w:vAlign w:val="bottom"/>
            <w:shd w:val="clear" w:color="auto" w:fill="CBEBF4"/>
          </w:tcPr>
          <w:p>
            <w:pPr>
              <w:spacing w:after="0"/>
              <w:rPr>
                <w:sz w:val="10"/>
                <w:szCs w:val="10"/>
                <w:color w:val="auto"/>
              </w:rPr>
            </w:pPr>
          </w:p>
        </w:tc>
        <w:tc>
          <w:tcPr>
            <w:tcW w:w="140" w:type="dxa"/>
            <w:vAlign w:val="bottom"/>
            <w:tcBorders>
              <w:bottom w:val="single" w:sz="8" w:color="auto"/>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55,551</w:t>
            </w:r>
          </w:p>
        </w:tc>
        <w:tc>
          <w:tcPr>
            <w:tcW w:w="140" w:type="dxa"/>
            <w:vAlign w:val="bottom"/>
            <w:shd w:val="clear" w:color="auto" w:fill="CBEBF4"/>
          </w:tcPr>
          <w:p>
            <w:pPr>
              <w:spacing w:after="0"/>
              <w:rPr>
                <w:sz w:val="10"/>
                <w:szCs w:val="10"/>
                <w:color w:val="auto"/>
              </w:rPr>
            </w:pPr>
          </w:p>
        </w:tc>
        <w:tc>
          <w:tcPr>
            <w:tcW w:w="160" w:type="dxa"/>
            <w:vAlign w:val="bottom"/>
            <w:tcBorders>
              <w:bottom w:val="single" w:sz="8" w:color="auto"/>
            </w:tcBorders>
            <w:shd w:val="clear" w:color="auto" w:fill="CBEBF4"/>
          </w:tcPr>
          <w:p>
            <w:pPr>
              <w:spacing w:after="0"/>
              <w:rPr>
                <w:sz w:val="10"/>
                <w:szCs w:val="10"/>
                <w:color w:val="auto"/>
              </w:rPr>
            </w:pPr>
          </w:p>
        </w:tc>
        <w:tc>
          <w:tcPr>
            <w:tcW w:w="54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(13,750)</w:t>
            </w:r>
          </w:p>
        </w:tc>
        <w:tc>
          <w:tcPr>
            <w:tcW w:w="180" w:type="dxa"/>
            <w:vAlign w:val="bottom"/>
            <w:shd w:val="clear" w:color="auto" w:fill="CBEBF4"/>
          </w:tcPr>
          <w:p>
            <w:pPr>
              <w:spacing w:after="0"/>
              <w:rPr>
                <w:sz w:val="10"/>
                <w:szCs w:val="10"/>
                <w:color w:val="auto"/>
              </w:rPr>
            </w:pPr>
          </w:p>
        </w:tc>
        <w:tc>
          <w:tcPr>
            <w:tcW w:w="6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41,801</w:t>
            </w:r>
          </w:p>
        </w:tc>
        <w:tc>
          <w:tcPr>
            <w:tcW w:w="120" w:type="dxa"/>
            <w:vAlign w:val="bottom"/>
            <w:shd w:val="clear" w:color="auto" w:fill="CBEBF4"/>
          </w:tcPr>
          <w:p>
            <w:pPr>
              <w:spacing w:after="0"/>
              <w:rPr>
                <w:sz w:val="10"/>
                <w:szCs w:val="10"/>
                <w:color w:val="auto"/>
              </w:rPr>
            </w:pPr>
          </w:p>
        </w:tc>
        <w:tc>
          <w:tcPr>
            <w:tcW w:w="10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44,055</w:t>
            </w:r>
          </w:p>
        </w:tc>
        <w:tc>
          <w:tcPr>
            <w:tcW w:w="140" w:type="dxa"/>
            <w:vAlign w:val="bottom"/>
            <w:shd w:val="clear" w:color="auto" w:fill="CBEBF4"/>
          </w:tcPr>
          <w:p>
            <w:pPr>
              <w:spacing w:after="0"/>
              <w:rPr>
                <w:sz w:val="10"/>
                <w:szCs w:val="10"/>
                <w:color w:val="auto"/>
              </w:rPr>
            </w:pPr>
          </w:p>
        </w:tc>
        <w:tc>
          <w:tcPr>
            <w:tcW w:w="160" w:type="dxa"/>
            <w:vAlign w:val="bottom"/>
            <w:tcBorders>
              <w:bottom w:val="single" w:sz="8" w:color="auto"/>
            </w:tcBorders>
            <w:shd w:val="clear" w:color="auto" w:fill="CBEBF4"/>
          </w:tcPr>
          <w:p>
            <w:pPr>
              <w:spacing w:after="0"/>
              <w:rPr>
                <w:sz w:val="10"/>
                <w:szCs w:val="10"/>
                <w:color w:val="auto"/>
              </w:rPr>
            </w:pPr>
          </w:p>
        </w:tc>
        <w:tc>
          <w:tcPr>
            <w:tcW w:w="54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(13,750)</w:t>
            </w:r>
          </w:p>
        </w:tc>
        <w:tc>
          <w:tcPr>
            <w:tcW w:w="100" w:type="dxa"/>
            <w:vAlign w:val="bottom"/>
            <w:shd w:val="clear" w:color="auto" w:fill="CBEBF4"/>
          </w:tcPr>
          <w:p>
            <w:pPr>
              <w:spacing w:after="0"/>
              <w:rPr>
                <w:sz w:val="10"/>
                <w:szCs w:val="10"/>
                <w:color w:val="auto"/>
              </w:rPr>
            </w:pPr>
          </w:p>
        </w:tc>
        <w:tc>
          <w:tcPr>
            <w:tcW w:w="40" w:type="dxa"/>
            <w:vAlign w:val="bottom"/>
            <w:shd w:val="clear" w:color="auto" w:fill="CBEBF4"/>
          </w:tcPr>
          <w:p>
            <w:pPr>
              <w:spacing w:after="0"/>
              <w:rPr>
                <w:sz w:val="10"/>
                <w:szCs w:val="10"/>
                <w:color w:val="auto"/>
              </w:rPr>
            </w:pPr>
          </w:p>
        </w:tc>
        <w:tc>
          <w:tcPr>
            <w:tcW w:w="80" w:type="dxa"/>
            <w:vAlign w:val="bottom"/>
            <w:tcBorders>
              <w:bottom w:val="single" w:sz="8" w:color="auto"/>
            </w:tcBorders>
            <w:shd w:val="clear" w:color="auto" w:fill="CBEBF4"/>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8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30,305</w:t>
            </w:r>
          </w:p>
        </w:tc>
        <w:tc>
          <w:tcPr>
            <w:tcW w:w="140" w:type="dxa"/>
            <w:vAlign w:val="bottom"/>
            <w:shd w:val="clear" w:color="auto" w:fill="CBEBF4"/>
          </w:tcPr>
          <w:p>
            <w:pPr>
              <w:spacing w:after="0"/>
              <w:rPr>
                <w:sz w:val="10"/>
                <w:szCs w:val="10"/>
                <w:color w:val="auto"/>
              </w:rPr>
            </w:pPr>
          </w:p>
        </w:tc>
        <w:tc>
          <w:tcPr>
            <w:tcW w:w="10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55,358</w:t>
            </w:r>
          </w:p>
        </w:tc>
        <w:tc>
          <w:tcPr>
            <w:tcW w:w="120" w:type="dxa"/>
            <w:vAlign w:val="bottom"/>
            <w:shd w:val="clear" w:color="auto" w:fill="CBEBF4"/>
          </w:tcPr>
          <w:p>
            <w:pPr>
              <w:spacing w:after="0"/>
              <w:rPr>
                <w:sz w:val="10"/>
                <w:szCs w:val="10"/>
                <w:color w:val="auto"/>
              </w:rPr>
            </w:pPr>
          </w:p>
        </w:tc>
        <w:tc>
          <w:tcPr>
            <w:tcW w:w="100" w:type="dxa"/>
            <w:vAlign w:val="bottom"/>
            <w:tcBorders>
              <w:bottom w:val="single" w:sz="8" w:color="auto"/>
            </w:tcBorders>
            <w:shd w:val="clear" w:color="auto" w:fill="CBEBF4"/>
          </w:tcPr>
          <w:p>
            <w:pPr>
              <w:spacing w:after="0"/>
              <w:rPr>
                <w:sz w:val="10"/>
                <w:szCs w:val="10"/>
                <w:color w:val="auto"/>
              </w:rPr>
            </w:pPr>
          </w:p>
        </w:tc>
        <w:tc>
          <w:tcPr>
            <w:tcW w:w="62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shd w:val="clear" w:color="auto" w:fill="CBEBF4"/>
          </w:tcPr>
          <w:p>
            <w:pPr>
              <w:spacing w:after="0"/>
              <w:rPr>
                <w:sz w:val="10"/>
                <w:szCs w:val="10"/>
                <w:color w:val="auto"/>
              </w:rPr>
            </w:pPr>
          </w:p>
        </w:tc>
        <w:tc>
          <w:tcPr>
            <w:tcW w:w="160" w:type="dxa"/>
            <w:vAlign w:val="bottom"/>
            <w:tcBorders>
              <w:bottom w:val="single" w:sz="8" w:color="auto"/>
            </w:tcBorders>
            <w:shd w:val="clear" w:color="auto" w:fill="CBEBF4"/>
          </w:tcPr>
          <w:p>
            <w:pPr>
              <w:jc w:val="right"/>
              <w:ind w:right="43"/>
              <w:spacing w:after="0" w:line="123"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41,608</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1880" w:type="dxa"/>
            <w:vAlign w:val="bottom"/>
            <w:shd w:val="clear" w:color="auto" w:fill="CBEBF4"/>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TOTAL LIABILITIES AND</w:t>
            </w:r>
          </w:p>
        </w:tc>
        <w:tc>
          <w:tcPr>
            <w:tcW w:w="60" w:type="dxa"/>
            <w:vAlign w:val="bottom"/>
            <w:vMerge w:val="restart"/>
            <w:shd w:val="clear" w:color="auto" w:fill="CBEBF4"/>
          </w:tcPr>
          <w:p>
            <w:pPr>
              <w:spacing w:after="0"/>
              <w:rPr>
                <w:sz w:val="9"/>
                <w:szCs w:val="9"/>
                <w:color w:val="auto"/>
              </w:rPr>
            </w:pPr>
          </w:p>
        </w:tc>
        <w:tc>
          <w:tcPr>
            <w:tcW w:w="140" w:type="dxa"/>
            <w:vAlign w:val="bottom"/>
            <w:vMerge w:val="restart"/>
            <w:shd w:val="clear" w:color="auto" w:fill="CBEBF4"/>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85,298</w:t>
            </w:r>
          </w:p>
        </w:tc>
        <w:tc>
          <w:tcPr>
            <w:tcW w:w="140" w:type="dxa"/>
            <w:vAlign w:val="bottom"/>
            <w:shd w:val="clear" w:color="auto" w:fill="CBEBF4"/>
          </w:tcPr>
          <w:p>
            <w:pPr>
              <w:spacing w:after="0"/>
              <w:rPr>
                <w:sz w:val="9"/>
                <w:szCs w:val="9"/>
                <w:color w:val="auto"/>
              </w:rPr>
            </w:pPr>
          </w:p>
        </w:tc>
        <w:tc>
          <w:tcPr>
            <w:tcW w:w="160" w:type="dxa"/>
            <w:vAlign w:val="bottom"/>
            <w:vMerge w:val="restart"/>
            <w:shd w:val="clear" w:color="auto" w:fill="CBEBF4"/>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250</w:t>
            </w:r>
          </w:p>
        </w:tc>
        <w:tc>
          <w:tcPr>
            <w:tcW w:w="240" w:type="dxa"/>
            <w:vAlign w:val="bottom"/>
            <w:gridSpan w:val="2"/>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85,548</w:t>
            </w:r>
          </w:p>
        </w:tc>
        <w:tc>
          <w:tcPr>
            <w:tcW w:w="220" w:type="dxa"/>
            <w:vAlign w:val="bottom"/>
            <w:gridSpan w:val="2"/>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75,157</w:t>
            </w:r>
          </w:p>
        </w:tc>
        <w:tc>
          <w:tcPr>
            <w:tcW w:w="300" w:type="dxa"/>
            <w:vAlign w:val="bottom"/>
            <w:gridSpan w:val="2"/>
            <w:vMerge w:val="restart"/>
            <w:shd w:val="clear" w:color="auto" w:fill="CBEBF4"/>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250</w:t>
            </w:r>
          </w:p>
        </w:tc>
        <w:tc>
          <w:tcPr>
            <w:tcW w:w="100" w:type="dxa"/>
            <w:vAlign w:val="bottom"/>
            <w:shd w:val="clear" w:color="auto" w:fill="CBEBF4"/>
          </w:tcPr>
          <w:p>
            <w:pPr>
              <w:spacing w:after="0"/>
              <w:rPr>
                <w:sz w:val="9"/>
                <w:szCs w:val="9"/>
                <w:color w:val="auto"/>
              </w:rPr>
            </w:pPr>
          </w:p>
        </w:tc>
        <w:tc>
          <w:tcPr>
            <w:tcW w:w="120" w:type="dxa"/>
            <w:vAlign w:val="bottom"/>
            <w:gridSpan w:val="2"/>
            <w:vMerge w:val="restart"/>
            <w:shd w:val="clear" w:color="auto" w:fill="CBEBF4"/>
          </w:tcPr>
          <w:p>
            <w:pPr>
              <w:jc w:val="right"/>
              <w:ind w:right="6"/>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75,407</w:t>
            </w:r>
          </w:p>
        </w:tc>
        <w:tc>
          <w:tcPr>
            <w:tcW w:w="240" w:type="dxa"/>
            <w:vAlign w:val="bottom"/>
            <w:gridSpan w:val="2"/>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87,574</w:t>
            </w:r>
          </w:p>
        </w:tc>
        <w:tc>
          <w:tcPr>
            <w:tcW w:w="120" w:type="dxa"/>
            <w:vAlign w:val="bottom"/>
            <w:shd w:val="clear" w:color="auto" w:fill="CBEBF4"/>
          </w:tcPr>
          <w:p>
            <w:pPr>
              <w:spacing w:after="0"/>
              <w:rPr>
                <w:sz w:val="9"/>
                <w:szCs w:val="9"/>
                <w:color w:val="auto"/>
              </w:rPr>
            </w:pPr>
          </w:p>
        </w:tc>
        <w:tc>
          <w:tcPr>
            <w:tcW w:w="100" w:type="dxa"/>
            <w:vAlign w:val="bottom"/>
            <w:vMerge w:val="restart"/>
            <w:shd w:val="clear" w:color="auto" w:fill="CBEBF4"/>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250</w:t>
            </w:r>
          </w:p>
        </w:tc>
        <w:tc>
          <w:tcPr>
            <w:tcW w:w="280" w:type="dxa"/>
            <w:vAlign w:val="bottom"/>
            <w:gridSpan w:val="2"/>
            <w:vMerge w:val="restart"/>
            <w:shd w:val="clear" w:color="auto" w:fill="CBEBF4"/>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87,824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80" w:type="dxa"/>
            <w:vAlign w:val="bottom"/>
            <w:shd w:val="clear" w:color="auto" w:fill="CBEBF4"/>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vMerge w:val="continue"/>
            <w:shd w:val="clear" w:color="auto" w:fill="CBEBF4"/>
          </w:tcPr>
          <w:p>
            <w:pPr>
              <w:spacing w:after="0"/>
              <w:rPr>
                <w:sz w:val="13"/>
                <w:szCs w:val="13"/>
                <w:color w:val="auto"/>
              </w:rPr>
            </w:pPr>
          </w:p>
        </w:tc>
        <w:tc>
          <w:tcPr>
            <w:tcW w:w="140" w:type="dxa"/>
            <w:vAlign w:val="bottom"/>
            <w:vMerge w:val="continue"/>
            <w:shd w:val="clear" w:color="auto" w:fill="CBEBF4"/>
          </w:tcPr>
          <w:p>
            <w:pPr>
              <w:spacing w:after="0"/>
              <w:rPr>
                <w:sz w:val="13"/>
                <w:szCs w:val="13"/>
                <w:color w:val="auto"/>
              </w:rPr>
            </w:pPr>
          </w:p>
        </w:tc>
        <w:tc>
          <w:tcPr>
            <w:tcW w:w="620" w:type="dxa"/>
            <w:vAlign w:val="bottom"/>
            <w:vMerge w:val="continue"/>
            <w:shd w:val="clear" w:color="auto" w:fill="CBEBF4"/>
          </w:tcPr>
          <w:p>
            <w:pPr>
              <w:spacing w:after="0"/>
              <w:rPr>
                <w:sz w:val="13"/>
                <w:szCs w:val="13"/>
                <w:color w:val="auto"/>
              </w:rPr>
            </w:pPr>
          </w:p>
        </w:tc>
        <w:tc>
          <w:tcPr>
            <w:tcW w:w="140" w:type="dxa"/>
            <w:vAlign w:val="bottom"/>
            <w:shd w:val="clear" w:color="auto" w:fill="CBEBF4"/>
          </w:tcPr>
          <w:p>
            <w:pPr>
              <w:spacing w:after="0"/>
              <w:rPr>
                <w:sz w:val="13"/>
                <w:szCs w:val="13"/>
                <w:color w:val="auto"/>
              </w:rPr>
            </w:pPr>
          </w:p>
        </w:tc>
        <w:tc>
          <w:tcPr>
            <w:tcW w:w="160" w:type="dxa"/>
            <w:vAlign w:val="bottom"/>
            <w:vMerge w:val="continue"/>
            <w:shd w:val="clear" w:color="auto" w:fill="CBEBF4"/>
          </w:tcPr>
          <w:p>
            <w:pPr>
              <w:spacing w:after="0"/>
              <w:rPr>
                <w:sz w:val="13"/>
                <w:szCs w:val="13"/>
                <w:color w:val="auto"/>
              </w:rPr>
            </w:pPr>
          </w:p>
        </w:tc>
        <w:tc>
          <w:tcPr>
            <w:tcW w:w="540" w:type="dxa"/>
            <w:vAlign w:val="bottom"/>
            <w:vMerge w:val="continue"/>
            <w:shd w:val="clear" w:color="auto" w:fill="CBEBF4"/>
          </w:tcPr>
          <w:p>
            <w:pPr>
              <w:spacing w:after="0"/>
              <w:rPr>
                <w:sz w:val="13"/>
                <w:szCs w:val="13"/>
                <w:color w:val="auto"/>
              </w:rPr>
            </w:pPr>
          </w:p>
        </w:tc>
        <w:tc>
          <w:tcPr>
            <w:tcW w:w="240" w:type="dxa"/>
            <w:vAlign w:val="bottom"/>
            <w:gridSpan w:val="2"/>
            <w:vMerge w:val="continue"/>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220" w:type="dxa"/>
            <w:vAlign w:val="bottom"/>
            <w:gridSpan w:val="2"/>
            <w:vMerge w:val="continue"/>
            <w:shd w:val="clear" w:color="auto" w:fill="CBEBF4"/>
          </w:tcPr>
          <w:p>
            <w:pPr>
              <w:spacing w:after="0"/>
              <w:rPr>
                <w:sz w:val="13"/>
                <w:szCs w:val="13"/>
                <w:color w:val="auto"/>
              </w:rPr>
            </w:pPr>
          </w:p>
        </w:tc>
        <w:tc>
          <w:tcPr>
            <w:tcW w:w="680" w:type="dxa"/>
            <w:vAlign w:val="bottom"/>
            <w:vMerge w:val="continue"/>
            <w:shd w:val="clear" w:color="auto" w:fill="CBEBF4"/>
          </w:tcPr>
          <w:p>
            <w:pPr>
              <w:spacing w:after="0"/>
              <w:rPr>
                <w:sz w:val="13"/>
                <w:szCs w:val="13"/>
                <w:color w:val="auto"/>
              </w:rPr>
            </w:pPr>
          </w:p>
        </w:tc>
        <w:tc>
          <w:tcPr>
            <w:tcW w:w="300" w:type="dxa"/>
            <w:vAlign w:val="bottom"/>
            <w:gridSpan w:val="2"/>
            <w:vMerge w:val="continue"/>
            <w:shd w:val="clear" w:color="auto" w:fill="CBEBF4"/>
          </w:tcPr>
          <w:p>
            <w:pPr>
              <w:spacing w:after="0"/>
              <w:rPr>
                <w:sz w:val="13"/>
                <w:szCs w:val="13"/>
                <w:color w:val="auto"/>
              </w:rPr>
            </w:pPr>
          </w:p>
        </w:tc>
        <w:tc>
          <w:tcPr>
            <w:tcW w:w="540" w:type="dxa"/>
            <w:vAlign w:val="bottom"/>
            <w:vMerge w:val="continue"/>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120" w:type="dxa"/>
            <w:vAlign w:val="bottom"/>
            <w:gridSpan w:val="2"/>
            <w:vMerge w:val="continue"/>
            <w:shd w:val="clear" w:color="auto" w:fill="CBEBF4"/>
          </w:tcPr>
          <w:p>
            <w:pPr>
              <w:spacing w:after="0"/>
              <w:rPr>
                <w:sz w:val="13"/>
                <w:szCs w:val="13"/>
                <w:color w:val="auto"/>
              </w:rPr>
            </w:pPr>
          </w:p>
        </w:tc>
        <w:tc>
          <w:tcPr>
            <w:tcW w:w="580" w:type="dxa"/>
            <w:vAlign w:val="bottom"/>
            <w:vMerge w:val="continue"/>
            <w:shd w:val="clear" w:color="auto" w:fill="CBEBF4"/>
          </w:tcPr>
          <w:p>
            <w:pPr>
              <w:spacing w:after="0"/>
              <w:rPr>
                <w:sz w:val="13"/>
                <w:szCs w:val="13"/>
                <w:color w:val="auto"/>
              </w:rPr>
            </w:pPr>
          </w:p>
        </w:tc>
        <w:tc>
          <w:tcPr>
            <w:tcW w:w="240" w:type="dxa"/>
            <w:vAlign w:val="bottom"/>
            <w:gridSpan w:val="2"/>
            <w:vMerge w:val="continue"/>
            <w:shd w:val="clear" w:color="auto" w:fill="CBEBF4"/>
          </w:tcPr>
          <w:p>
            <w:pPr>
              <w:spacing w:after="0"/>
              <w:rPr>
                <w:sz w:val="13"/>
                <w:szCs w:val="13"/>
                <w:color w:val="auto"/>
              </w:rPr>
            </w:pPr>
          </w:p>
        </w:tc>
        <w:tc>
          <w:tcPr>
            <w:tcW w:w="68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100" w:type="dxa"/>
            <w:vAlign w:val="bottom"/>
            <w:vMerge w:val="continue"/>
            <w:shd w:val="clear" w:color="auto" w:fill="CBEBF4"/>
          </w:tcPr>
          <w:p>
            <w:pPr>
              <w:spacing w:after="0"/>
              <w:rPr>
                <w:sz w:val="13"/>
                <w:szCs w:val="13"/>
                <w:color w:val="auto"/>
              </w:rPr>
            </w:pPr>
          </w:p>
        </w:tc>
        <w:tc>
          <w:tcPr>
            <w:tcW w:w="620" w:type="dxa"/>
            <w:vAlign w:val="bottom"/>
            <w:vMerge w:val="continue"/>
            <w:shd w:val="clear" w:color="auto" w:fill="CBEBF4"/>
          </w:tcPr>
          <w:p>
            <w:pPr>
              <w:spacing w:after="0"/>
              <w:rPr>
                <w:sz w:val="13"/>
                <w:szCs w:val="13"/>
                <w:color w:val="auto"/>
              </w:rPr>
            </w:pPr>
          </w:p>
        </w:tc>
        <w:tc>
          <w:tcPr>
            <w:tcW w:w="280" w:type="dxa"/>
            <w:vAlign w:val="bottom"/>
            <w:gridSpan w:val="2"/>
            <w:vMerge w:val="continue"/>
            <w:shd w:val="clear" w:color="auto" w:fill="CBEBF4"/>
          </w:tcPr>
          <w:p>
            <w:pPr>
              <w:spacing w:after="0"/>
              <w:rPr>
                <w:sz w:val="13"/>
                <w:szCs w:val="13"/>
                <w:color w:val="auto"/>
              </w:rPr>
            </w:pPr>
          </w:p>
        </w:tc>
        <w:tc>
          <w:tcPr>
            <w:tcW w:w="540" w:type="dxa"/>
            <w:vAlign w:val="bottom"/>
            <w:vMerge w:val="continue"/>
            <w:shd w:val="clear" w:color="auto" w:fill="CBEBF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867" name="Shape 8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67" o:spid="_x0000_s18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68" name="Shape 8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68" o:spid="_x0000_s18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69" name="Shape 8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69" o:spid="_x0000_s18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70" name="Shape 8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70" o:spid="_x0000_s18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71" name="Shape 8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71" o:spid="_x0000_s18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Loss and Comprehensive Loss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7"/>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For three months period ended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7"/>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For six months period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For nine months period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2023</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w w:val="99"/>
              </w:rPr>
              <w:t>September 30, 2023</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As Restated</w:t>
            </w:r>
          </w:p>
        </w:tc>
        <w:tc>
          <w:tcPr>
            <w:tcW w:w="140" w:type="dxa"/>
            <w:vAlign w:val="bottom"/>
          </w:tcPr>
          <w:p>
            <w:pPr>
              <w:spacing w:after="0"/>
              <w:rPr>
                <w:sz w:val="8"/>
                <w:szCs w:val="8"/>
                <w:color w:val="auto"/>
              </w:rPr>
            </w:pPr>
          </w:p>
        </w:tc>
        <w:tc>
          <w:tcPr>
            <w:tcW w:w="78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120" w:type="dxa"/>
            <w:vAlign w:val="bottom"/>
          </w:tcPr>
          <w:p>
            <w:pPr>
              <w:spacing w:after="0"/>
              <w:rPr>
                <w:sz w:val="8"/>
                <w:szCs w:val="8"/>
                <w:color w:val="auto"/>
              </w:rPr>
            </w:pPr>
          </w:p>
        </w:tc>
        <w:tc>
          <w:tcPr>
            <w:tcW w:w="800" w:type="dxa"/>
            <w:vAlign w:val="bottom"/>
            <w:gridSpan w:val="2"/>
          </w:tcPr>
          <w:p>
            <w:pPr>
              <w:jc w:val="right"/>
              <w:ind w:right="20"/>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4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0" w:type="dxa"/>
            <w:vAlign w:val="bottom"/>
          </w:tcPr>
          <w:p>
            <w:pPr>
              <w:spacing w:after="0"/>
              <w:rPr>
                <w:sz w:val="13"/>
                <w:szCs w:val="13"/>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00" w:type="dxa"/>
            <w:vAlign w:val="bottom"/>
            <w:tcBorders>
              <w:top w:val="single" w:sz="8" w:color="CBEBF4"/>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66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Exploration and evaluation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General and administrative</w:t>
            </w:r>
          </w:p>
        </w:tc>
        <w:tc>
          <w:tcPr>
            <w:tcW w:w="8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expenses</w:t>
            </w:r>
          </w:p>
        </w:tc>
        <w:tc>
          <w:tcPr>
            <w:tcW w:w="8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6,214</w:t>
            </w:r>
          </w:p>
        </w:tc>
        <w:tc>
          <w:tcPr>
            <w:tcW w:w="14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6,214</w:t>
            </w: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11,345</w:t>
            </w: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11,345</w:t>
            </w:r>
          </w:p>
        </w:tc>
        <w:tc>
          <w:tcPr>
            <w:tcW w:w="12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15,958</w:t>
            </w: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82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15,958</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600" w:type="dxa"/>
            <w:vAlign w:val="bottom"/>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Operating loss</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13,383</w:t>
            </w: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13,383</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26,612</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26,612</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39,130</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39,130</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60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Other items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Equity-accounted investment</w:t>
            </w:r>
          </w:p>
        </w:tc>
        <w:tc>
          <w:tcPr>
            <w:tcW w:w="8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loss</w:t>
            </w:r>
          </w:p>
        </w:tc>
        <w:tc>
          <w:tcPr>
            <w:tcW w:w="8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356</w:t>
            </w:r>
          </w:p>
        </w:tc>
        <w:tc>
          <w:tcPr>
            <w:tcW w:w="12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82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Gain on disposition of asset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Change in fair value of warrants</w:t>
            </w:r>
          </w:p>
        </w:tc>
        <w:tc>
          <w:tcPr>
            <w:tcW w:w="8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liability</w:t>
            </w:r>
          </w:p>
        </w:tc>
        <w:tc>
          <w:tcPr>
            <w:tcW w:w="8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4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2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82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Foreign exchange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Interest income</w:t>
            </w:r>
          </w:p>
        </w:tc>
        <w:tc>
          <w:tcPr>
            <w:tcW w:w="8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(454)</w:t>
            </w:r>
          </w:p>
        </w:tc>
        <w:tc>
          <w:tcPr>
            <w:tcW w:w="14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(454)</w:t>
            </w: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(773)</w:t>
            </w: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(773)</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(1,092)</w:t>
            </w: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820" w:type="dxa"/>
            <w:vAlign w:val="bottom"/>
            <w:gridSpan w:val="2"/>
            <w:shd w:val="clear" w:color="auto" w:fill="CBEBF4"/>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(1,092)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Fees and interest on credit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facility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60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66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16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Loss and comprehensive loss</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13,750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13,748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14,105</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13,750</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27,855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26,572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13,750</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40,322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year, before tax</w:t>
            </w:r>
          </w:p>
        </w:tc>
        <w:tc>
          <w:tcPr>
            <w:tcW w:w="1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60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Tax expense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60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auto"/>
            </w:tcBorders>
            <w:shd w:val="clear" w:color="auto" w:fill="CBEBF4"/>
          </w:tcPr>
          <w:p>
            <w:pPr>
              <w:spacing w:after="0"/>
              <w:rPr>
                <w:sz w:val="13"/>
                <w:szCs w:val="13"/>
                <w:color w:val="auto"/>
              </w:rPr>
            </w:pPr>
          </w:p>
        </w:tc>
        <w:tc>
          <w:tcPr>
            <w:tcW w:w="700" w:type="dxa"/>
            <w:vAlign w:val="bottom"/>
            <w:tcBorders>
              <w:bottom w:val="single" w:sz="8" w:color="auto"/>
            </w:tcBorders>
            <w:shd w:val="clear" w:color="auto" w:fill="CBEBF4"/>
          </w:tcPr>
          <w:p>
            <w:pPr>
              <w:spacing w:after="0"/>
              <w:rPr>
                <w:sz w:val="13"/>
                <w:szCs w:val="13"/>
                <w:color w:val="auto"/>
              </w:rPr>
            </w:pPr>
          </w:p>
        </w:tc>
        <w:tc>
          <w:tcPr>
            <w:tcW w:w="140" w:type="dxa"/>
            <w:vAlign w:val="bottom"/>
            <w:tcBorders>
              <w:bottom w:val="single" w:sz="8" w:color="CBEBF4"/>
            </w:tcBorders>
            <w:shd w:val="clear" w:color="auto" w:fill="CBEBF4"/>
          </w:tcPr>
          <w:p>
            <w:pPr>
              <w:spacing w:after="0"/>
              <w:rPr>
                <w:sz w:val="13"/>
                <w:szCs w:val="13"/>
                <w:color w:val="auto"/>
              </w:rPr>
            </w:pPr>
          </w:p>
        </w:tc>
        <w:tc>
          <w:tcPr>
            <w:tcW w:w="60" w:type="dxa"/>
            <w:vAlign w:val="bottom"/>
            <w:tcBorders>
              <w:bottom w:val="single" w:sz="8" w:color="CBEBF4"/>
            </w:tcBorders>
            <w:shd w:val="clear" w:color="auto" w:fill="CBEBF4"/>
          </w:tcPr>
          <w:p>
            <w:pPr>
              <w:spacing w:after="0"/>
              <w:rPr>
                <w:sz w:val="13"/>
                <w:szCs w:val="13"/>
                <w:color w:val="auto"/>
              </w:rPr>
            </w:pPr>
          </w:p>
        </w:tc>
        <w:tc>
          <w:tcPr>
            <w:tcW w:w="680" w:type="dxa"/>
            <w:vAlign w:val="bottom"/>
            <w:tcBorders>
              <w:bottom w:val="single" w:sz="8" w:color="CBEBF4"/>
            </w:tcBorders>
            <w:shd w:val="clear" w:color="auto" w:fill="CBEBF4"/>
          </w:tcPr>
          <w:p>
            <w:pPr>
              <w:spacing w:after="0"/>
              <w:rPr>
                <w:sz w:val="13"/>
                <w:szCs w:val="13"/>
                <w:color w:val="auto"/>
              </w:rPr>
            </w:pPr>
          </w:p>
        </w:tc>
        <w:tc>
          <w:tcPr>
            <w:tcW w:w="14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CBEBF4"/>
            </w:tcBorders>
            <w:shd w:val="clear" w:color="auto" w:fill="CBEBF4"/>
          </w:tcPr>
          <w:p>
            <w:pPr>
              <w:spacing w:after="0"/>
              <w:rPr>
                <w:sz w:val="13"/>
                <w:szCs w:val="13"/>
                <w:color w:val="auto"/>
              </w:rPr>
            </w:pPr>
          </w:p>
        </w:tc>
        <w:tc>
          <w:tcPr>
            <w:tcW w:w="660" w:type="dxa"/>
            <w:vAlign w:val="bottom"/>
            <w:tcBorders>
              <w:bottom w:val="single" w:sz="8" w:color="CBEBF4"/>
            </w:tcBorders>
            <w:shd w:val="clear" w:color="auto" w:fill="CBEBF4"/>
          </w:tcPr>
          <w:p>
            <w:pPr>
              <w:spacing w:after="0"/>
              <w:rPr>
                <w:sz w:val="13"/>
                <w:szCs w:val="13"/>
                <w:color w:val="auto"/>
              </w:rPr>
            </w:pPr>
          </w:p>
        </w:tc>
        <w:tc>
          <w:tcPr>
            <w:tcW w:w="14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auto"/>
            </w:tcBorders>
            <w:shd w:val="clear" w:color="auto" w:fill="CBEBF4"/>
          </w:tcPr>
          <w:p>
            <w:pPr>
              <w:spacing w:after="0"/>
              <w:rPr>
                <w:sz w:val="13"/>
                <w:szCs w:val="13"/>
                <w:color w:val="auto"/>
              </w:rPr>
            </w:pPr>
          </w:p>
        </w:tc>
        <w:tc>
          <w:tcPr>
            <w:tcW w:w="700" w:type="dxa"/>
            <w:vAlign w:val="bottom"/>
            <w:tcBorders>
              <w:bottom w:val="single" w:sz="8" w:color="auto"/>
            </w:tcBorders>
            <w:shd w:val="clear" w:color="auto" w:fill="CBEBF4"/>
          </w:tcPr>
          <w:p>
            <w:pPr>
              <w:spacing w:after="0"/>
              <w:rPr>
                <w:sz w:val="13"/>
                <w:szCs w:val="13"/>
                <w:color w:val="auto"/>
              </w:rPr>
            </w:pPr>
          </w:p>
        </w:tc>
        <w:tc>
          <w:tcPr>
            <w:tcW w:w="120" w:type="dxa"/>
            <w:vAlign w:val="bottom"/>
            <w:tcBorders>
              <w:bottom w:val="single" w:sz="8" w:color="CBEBF4"/>
            </w:tcBorders>
            <w:shd w:val="clear" w:color="auto" w:fill="CBEBF4"/>
          </w:tcPr>
          <w:p>
            <w:pPr>
              <w:spacing w:after="0"/>
              <w:rPr>
                <w:sz w:val="13"/>
                <w:szCs w:val="13"/>
                <w:color w:val="auto"/>
              </w:rPr>
            </w:pPr>
          </w:p>
        </w:tc>
        <w:tc>
          <w:tcPr>
            <w:tcW w:w="60" w:type="dxa"/>
            <w:vAlign w:val="bottom"/>
            <w:tcBorders>
              <w:bottom w:val="single" w:sz="8" w:color="CBEBF4"/>
            </w:tcBorders>
            <w:shd w:val="clear" w:color="auto" w:fill="CBEBF4"/>
          </w:tcPr>
          <w:p>
            <w:pPr>
              <w:spacing w:after="0"/>
              <w:rPr>
                <w:sz w:val="13"/>
                <w:szCs w:val="13"/>
                <w:color w:val="auto"/>
              </w:rPr>
            </w:pPr>
          </w:p>
        </w:tc>
        <w:tc>
          <w:tcPr>
            <w:tcW w:w="700" w:type="dxa"/>
            <w:vAlign w:val="bottom"/>
            <w:tcBorders>
              <w:bottom w:val="single" w:sz="8" w:color="CBEBF4"/>
            </w:tcBorders>
            <w:shd w:val="clear" w:color="auto" w:fill="CBEBF4"/>
          </w:tcPr>
          <w:p>
            <w:pPr>
              <w:spacing w:after="0"/>
              <w:rPr>
                <w:sz w:val="13"/>
                <w:szCs w:val="13"/>
                <w:color w:val="auto"/>
              </w:rPr>
            </w:pPr>
          </w:p>
        </w:tc>
        <w:tc>
          <w:tcPr>
            <w:tcW w:w="12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CBEBF4"/>
            </w:tcBorders>
            <w:shd w:val="clear" w:color="auto" w:fill="CBEBF4"/>
          </w:tcPr>
          <w:p>
            <w:pPr>
              <w:spacing w:after="0"/>
              <w:rPr>
                <w:sz w:val="13"/>
                <w:szCs w:val="13"/>
                <w:color w:val="auto"/>
              </w:rPr>
            </w:pPr>
          </w:p>
        </w:tc>
        <w:tc>
          <w:tcPr>
            <w:tcW w:w="680" w:type="dxa"/>
            <w:vAlign w:val="bottom"/>
            <w:tcBorders>
              <w:bottom w:val="single" w:sz="8" w:color="CBEBF4"/>
            </w:tcBorders>
            <w:shd w:val="clear" w:color="auto" w:fill="CBEBF4"/>
          </w:tcPr>
          <w:p>
            <w:pPr>
              <w:spacing w:after="0"/>
              <w:rPr>
                <w:sz w:val="13"/>
                <w:szCs w:val="13"/>
                <w:color w:val="auto"/>
              </w:rPr>
            </w:pPr>
          </w:p>
        </w:tc>
        <w:tc>
          <w:tcPr>
            <w:tcW w:w="120" w:type="dxa"/>
            <w:vAlign w:val="bottom"/>
            <w:tcBorders>
              <w:bottom w:val="single" w:sz="8" w:color="CBEBF4"/>
            </w:tcBorders>
            <w:shd w:val="clear" w:color="auto" w:fill="CBEBF4"/>
          </w:tcPr>
          <w:p>
            <w:pPr>
              <w:spacing w:after="0"/>
              <w:rPr>
                <w:sz w:val="13"/>
                <w:szCs w:val="13"/>
                <w:color w:val="auto"/>
              </w:rPr>
            </w:pPr>
          </w:p>
        </w:tc>
        <w:tc>
          <w:tcPr>
            <w:tcW w:w="100" w:type="dxa"/>
            <w:vAlign w:val="bottom"/>
            <w:tcBorders>
              <w:bottom w:val="single" w:sz="8" w:color="auto"/>
            </w:tcBorders>
            <w:shd w:val="clear" w:color="auto" w:fill="CBEBF4"/>
          </w:tcPr>
          <w:p>
            <w:pPr>
              <w:spacing w:after="0"/>
              <w:rPr>
                <w:sz w:val="13"/>
                <w:szCs w:val="13"/>
                <w:color w:val="auto"/>
              </w:rPr>
            </w:pPr>
          </w:p>
        </w:tc>
        <w:tc>
          <w:tcPr>
            <w:tcW w:w="700" w:type="dxa"/>
            <w:vAlign w:val="bottom"/>
            <w:tcBorders>
              <w:bottom w:val="single" w:sz="8" w:color="auto"/>
            </w:tcBorders>
            <w:shd w:val="clear" w:color="auto" w:fill="CBEBF4"/>
          </w:tcPr>
          <w:p>
            <w:pPr>
              <w:spacing w:after="0"/>
              <w:rPr>
                <w:sz w:val="13"/>
                <w:szCs w:val="13"/>
                <w:color w:val="auto"/>
              </w:rPr>
            </w:pPr>
          </w:p>
        </w:tc>
        <w:tc>
          <w:tcPr>
            <w:tcW w:w="120" w:type="dxa"/>
            <w:vAlign w:val="bottom"/>
            <w:tcBorders>
              <w:bottom w:val="single" w:sz="8" w:color="CBEBF4"/>
            </w:tcBorders>
            <w:shd w:val="clear" w:color="auto" w:fill="CBEBF4"/>
          </w:tcPr>
          <w:p>
            <w:pPr>
              <w:spacing w:after="0"/>
              <w:rPr>
                <w:sz w:val="13"/>
                <w:szCs w:val="13"/>
                <w:color w:val="auto"/>
              </w:rPr>
            </w:pPr>
          </w:p>
        </w:tc>
        <w:tc>
          <w:tcPr>
            <w:tcW w:w="60" w:type="dxa"/>
            <w:vAlign w:val="bottom"/>
            <w:tcBorders>
              <w:bottom w:val="single" w:sz="8" w:color="CBEBF4"/>
            </w:tcBorders>
            <w:shd w:val="clear" w:color="auto" w:fill="CBEBF4"/>
          </w:tcPr>
          <w:p>
            <w:pPr>
              <w:spacing w:after="0"/>
              <w:rPr>
                <w:sz w:val="13"/>
                <w:szCs w:val="13"/>
                <w:color w:val="auto"/>
              </w:rPr>
            </w:pPr>
          </w:p>
        </w:tc>
        <w:tc>
          <w:tcPr>
            <w:tcW w:w="700" w:type="dxa"/>
            <w:vAlign w:val="bottom"/>
            <w:tcBorders>
              <w:bottom w:val="single" w:sz="8" w:color="CBEBF4"/>
            </w:tcBorders>
            <w:shd w:val="clear" w:color="auto" w:fill="CBEBF4"/>
          </w:tcPr>
          <w:p>
            <w:pPr>
              <w:spacing w:after="0"/>
              <w:rPr>
                <w:sz w:val="13"/>
                <w:szCs w:val="13"/>
                <w:color w:val="auto"/>
              </w:rPr>
            </w:pPr>
          </w:p>
        </w:tc>
        <w:tc>
          <w:tcPr>
            <w:tcW w:w="120" w:type="dxa"/>
            <w:vAlign w:val="bottom"/>
            <w:tcBorders>
              <w:bottom w:val="single" w:sz="8" w:color="CBEBF4"/>
            </w:tcBorders>
            <w:shd w:val="clear" w:color="auto" w:fill="CBEBF4"/>
          </w:tcPr>
          <w:p>
            <w:pPr>
              <w:spacing w:after="0"/>
              <w:rPr>
                <w:sz w:val="13"/>
                <w:szCs w:val="13"/>
                <w:color w:val="auto"/>
              </w:rPr>
            </w:pPr>
          </w:p>
        </w:tc>
        <w:tc>
          <w:tcPr>
            <w:tcW w:w="80" w:type="dxa"/>
            <w:vAlign w:val="bottom"/>
            <w:tcBorders>
              <w:bottom w:val="single" w:sz="8" w:color="CBEBF4"/>
            </w:tcBorders>
            <w:shd w:val="clear" w:color="auto" w:fill="CBEBF4"/>
          </w:tcPr>
          <w:p>
            <w:pPr>
              <w:spacing w:after="0"/>
              <w:rPr>
                <w:sz w:val="13"/>
                <w:szCs w:val="13"/>
                <w:color w:val="auto"/>
              </w:rPr>
            </w:pPr>
          </w:p>
        </w:tc>
        <w:tc>
          <w:tcPr>
            <w:tcW w:w="700" w:type="dxa"/>
            <w:vAlign w:val="bottom"/>
            <w:tcBorders>
              <w:bottom w:val="single" w:sz="8" w:color="CBEBF4"/>
            </w:tcBorders>
            <w:shd w:val="clear" w:color="auto" w:fill="CBEBF4"/>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600" w:type="dxa"/>
            <w:vAlign w:val="bottom"/>
          </w:tcPr>
          <w:p>
            <w:pPr>
              <w:spacing w:after="0" w:line="66" w:lineRule="exact"/>
              <w:rPr>
                <w:sz w:val="20"/>
                <w:szCs w:val="20"/>
                <w:color w:val="auto"/>
              </w:rPr>
            </w:pPr>
            <w:r>
              <w:rPr>
                <w:rFonts w:ascii="Times New Roman" w:cs="Times New Roman" w:eastAsia="Times New Roman" w:hAnsi="Times New Roman"/>
                <w:sz w:val="7"/>
                <w:szCs w:val="7"/>
                <w:b w:val="1"/>
                <w:bCs w:val="1"/>
                <w:color w:val="auto"/>
              </w:rPr>
              <w:t>Loss (gain) and</w:t>
            </w: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comprehensive loss (gain)</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13,750</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13,748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14,105</w:t>
            </w:r>
          </w:p>
        </w:tc>
        <w:tc>
          <w:tcPr>
            <w:tcW w:w="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13,750</w:t>
            </w: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27,855</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26,572</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13,750</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40,322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for the period, after tax</w:t>
            </w:r>
          </w:p>
        </w:tc>
        <w:tc>
          <w:tcPr>
            <w:tcW w:w="16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60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66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68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10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80" w:type="dxa"/>
            <w:vAlign w:val="bottom"/>
            <w:tcBorders>
              <w:top w:val="single" w:sz="8" w:color="auto"/>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60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Loss per share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CBEBF4"/>
          </w:tcPr>
          <w:p>
            <w:pPr>
              <w:ind w:left="80"/>
              <w:spacing w:after="0" w:line="130" w:lineRule="exact"/>
              <w:rPr>
                <w:sz w:val="20"/>
                <w:szCs w:val="20"/>
                <w:color w:val="auto"/>
              </w:rPr>
            </w:pPr>
            <w:r>
              <w:rPr>
                <w:rFonts w:ascii="Times New Roman" w:cs="Times New Roman" w:eastAsia="Times New Roman" w:hAnsi="Times New Roman"/>
                <w:sz w:val="12"/>
                <w:szCs w:val="12"/>
                <w:b w:val="1"/>
                <w:bCs w:val="1"/>
                <w:color w:val="auto"/>
              </w:rPr>
              <w:t>- basic and diluted</w:t>
            </w:r>
          </w:p>
        </w:tc>
        <w:tc>
          <w:tcPr>
            <w:tcW w:w="8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0.05</w:t>
            </w:r>
          </w:p>
        </w:tc>
        <w:tc>
          <w:tcPr>
            <w:tcW w:w="220" w:type="dxa"/>
            <w:vAlign w:val="bottom"/>
            <w:gridSpan w:val="2"/>
            <w:shd w:val="clear" w:color="auto" w:fill="CBEBF4"/>
          </w:tcPr>
          <w:p>
            <w:pPr>
              <w:jc w:val="right"/>
              <w:ind w:right="2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0.05</w:t>
            </w:r>
          </w:p>
        </w:tc>
        <w:tc>
          <w:tcPr>
            <w:tcW w:w="22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0.05</w:t>
            </w: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0.05</w:t>
            </w:r>
          </w:p>
        </w:tc>
        <w:tc>
          <w:tcPr>
            <w:tcW w:w="200" w:type="dxa"/>
            <w:vAlign w:val="bottom"/>
            <w:gridSpan w:val="2"/>
            <w:shd w:val="clear" w:color="auto" w:fill="CBEBF4"/>
          </w:tcPr>
          <w:p>
            <w:pPr>
              <w:jc w:val="right"/>
              <w:ind w:right="20"/>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0.10</w:t>
            </w:r>
          </w:p>
        </w:tc>
        <w:tc>
          <w:tcPr>
            <w:tcW w:w="22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0.09</w:t>
            </w:r>
          </w:p>
        </w:tc>
        <w:tc>
          <w:tcPr>
            <w:tcW w:w="18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0.05</w:t>
            </w: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b w:val="1"/>
                <w:bCs w:val="1"/>
                <w:color w:val="auto"/>
              </w:rPr>
              <w:t>0.14</w:t>
            </w:r>
          </w:p>
        </w:tc>
        <w:tc>
          <w:tcPr>
            <w:tcW w:w="0" w:type="dxa"/>
            <w:vAlign w:val="bottom"/>
          </w:tcPr>
          <w:p>
            <w:pPr>
              <w:spacing w:after="0"/>
              <w:rPr>
                <w:sz w:val="1"/>
                <w:szCs w:val="1"/>
                <w:color w:val="auto"/>
              </w:rPr>
            </w:pPr>
          </w:p>
        </w:tc>
      </w:tr>
      <w:tr>
        <w:trPr>
          <w:trHeight w:val="123"/>
        </w:trPr>
        <w:tc>
          <w:tcPr>
            <w:tcW w:w="20" w:type="dxa"/>
            <w:vAlign w:val="bottom"/>
            <w:vMerge w:val="restart"/>
          </w:tcPr>
          <w:p>
            <w:pPr>
              <w:spacing w:after="0"/>
              <w:rPr>
                <w:sz w:val="10"/>
                <w:szCs w:val="10"/>
                <w:color w:val="auto"/>
              </w:rPr>
            </w:pPr>
          </w:p>
        </w:tc>
        <w:tc>
          <w:tcPr>
            <w:tcW w:w="1600" w:type="dxa"/>
            <w:vAlign w:val="bottom"/>
            <w:tcBorders>
              <w:top w:val="single" w:sz="8" w:color="CBEBF4"/>
            </w:tcBorders>
          </w:tcPr>
          <w:p>
            <w:pPr>
              <w:spacing w:after="0"/>
              <w:rPr>
                <w:sz w:val="10"/>
                <w:szCs w:val="10"/>
                <w:color w:val="auto"/>
              </w:rPr>
            </w:pPr>
          </w:p>
        </w:tc>
        <w:tc>
          <w:tcPr>
            <w:tcW w:w="80" w:type="dxa"/>
            <w:vAlign w:val="bottom"/>
            <w:tcBorders>
              <w:top w:val="single" w:sz="8" w:color="CBEBF4"/>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BEBF4"/>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Borders>
              <w:top w:val="single" w:sz="8" w:color="CBEBF4"/>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BEBF4"/>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BEBF4"/>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BEBF4"/>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BEBF4"/>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BEBF4"/>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BEBF4"/>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1600" w:type="dxa"/>
            <w:vAlign w:val="bottom"/>
            <w:shd w:val="clear" w:color="auto" w:fill="CBEBF4"/>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Weighted average number of</w:t>
            </w:r>
          </w:p>
        </w:tc>
        <w:tc>
          <w:tcPr>
            <w:tcW w:w="8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6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8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shd w:val="clear" w:color="auto" w:fill="CBEBF4"/>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Common Shares</w:t>
            </w:r>
          </w:p>
        </w:tc>
        <w:tc>
          <w:tcPr>
            <w:tcW w:w="8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272,029,603</w:t>
            </w:r>
          </w:p>
        </w:tc>
        <w:tc>
          <w:tcPr>
            <w:tcW w:w="14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6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272,029,603</w:t>
            </w: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6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272,029,603</w:t>
            </w:r>
          </w:p>
        </w:tc>
        <w:tc>
          <w:tcPr>
            <w:tcW w:w="14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276,702,050</w:t>
            </w: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276,702,050</w:t>
            </w: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6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276,702,050</w:t>
            </w:r>
          </w:p>
        </w:tc>
        <w:tc>
          <w:tcPr>
            <w:tcW w:w="120" w:type="dxa"/>
            <w:vAlign w:val="bottom"/>
            <w:shd w:val="clear" w:color="auto" w:fill="CBEBF4"/>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282,745,892</w:t>
            </w:r>
          </w:p>
        </w:tc>
        <w:tc>
          <w:tcPr>
            <w:tcW w:w="120" w:type="dxa"/>
            <w:vAlign w:val="bottom"/>
            <w:shd w:val="clear" w:color="auto" w:fill="CBEBF4"/>
          </w:tcPr>
          <w:p>
            <w:pPr>
              <w:spacing w:after="0"/>
              <w:rPr>
                <w:sz w:val="11"/>
                <w:szCs w:val="11"/>
                <w:color w:val="auto"/>
              </w:rPr>
            </w:pPr>
          </w:p>
        </w:tc>
        <w:tc>
          <w:tcPr>
            <w:tcW w:w="60" w:type="dxa"/>
            <w:vAlign w:val="bottom"/>
            <w:shd w:val="clear" w:color="auto" w:fill="CBEBF4"/>
          </w:tcPr>
          <w:p>
            <w:pPr>
              <w:spacing w:after="0"/>
              <w:rPr>
                <w:sz w:val="11"/>
                <w:szCs w:val="11"/>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282,745,892</w:t>
            </w:r>
          </w:p>
        </w:tc>
        <w:tc>
          <w:tcPr>
            <w:tcW w:w="120" w:type="dxa"/>
            <w:vAlign w:val="bottom"/>
            <w:shd w:val="clear" w:color="auto" w:fill="CBEBF4"/>
          </w:tcPr>
          <w:p>
            <w:pPr>
              <w:spacing w:after="0"/>
              <w:rPr>
                <w:sz w:val="11"/>
                <w:szCs w:val="11"/>
                <w:color w:val="auto"/>
              </w:rPr>
            </w:pPr>
          </w:p>
        </w:tc>
        <w:tc>
          <w:tcPr>
            <w:tcW w:w="80" w:type="dxa"/>
            <w:vAlign w:val="bottom"/>
            <w:shd w:val="clear" w:color="auto" w:fill="CBEBF4"/>
          </w:tcPr>
          <w:p>
            <w:pPr>
              <w:spacing w:after="0"/>
              <w:rPr>
                <w:sz w:val="11"/>
                <w:szCs w:val="11"/>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b w:val="1"/>
                <w:bCs w:val="1"/>
                <w:color w:val="auto"/>
              </w:rPr>
              <w:t>282,745,892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b w:val="1"/>
                <w:bCs w:val="1"/>
                <w:color w:val="auto"/>
              </w:rPr>
              <w:t>outstanding – basic</w:t>
            </w:r>
          </w:p>
        </w:tc>
        <w:tc>
          <w:tcPr>
            <w:tcW w:w="8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14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680" w:type="dxa"/>
            <w:vAlign w:val="bottom"/>
            <w:vMerge w:val="continue"/>
            <w:shd w:val="clear" w:color="auto" w:fill="CBEBF4"/>
          </w:tcPr>
          <w:p>
            <w:pPr>
              <w:spacing w:after="0"/>
              <w:rPr>
                <w:sz w:val="13"/>
                <w:szCs w:val="13"/>
                <w:color w:val="auto"/>
              </w:rPr>
            </w:pP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60" w:type="dxa"/>
            <w:vAlign w:val="bottom"/>
            <w:vMerge w:val="continue"/>
            <w:shd w:val="clear" w:color="auto" w:fill="CBEBF4"/>
          </w:tcPr>
          <w:p>
            <w:pPr>
              <w:spacing w:after="0"/>
              <w:rPr>
                <w:sz w:val="13"/>
                <w:szCs w:val="13"/>
                <w:color w:val="auto"/>
              </w:rPr>
            </w:pPr>
          </w:p>
        </w:tc>
        <w:tc>
          <w:tcPr>
            <w:tcW w:w="14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68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6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8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600" w:type="dxa"/>
            <w:vAlign w:val="bottom"/>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Weighted average number of</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60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b w:val="1"/>
                <w:bCs w:val="1"/>
                <w:color w:val="auto"/>
              </w:rPr>
              <w:t>Common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300,376,133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272,029,603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272,029,603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276,702,050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276,702,050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276,702,050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282,745,892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282,745,892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282,745,892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outstanding – diluted</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872" name="Shape 8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72" o:spid="_x0000_s18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65" w:name="page166"/>
    <w:bookmarkEnd w:id="165"/>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73" name="Shape 8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73" o:spid="_x0000_s18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74" name="Shape 8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74" o:spid="_x0000_s189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75" name="Shape 8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75" o:spid="_x0000_s190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76" name="Shape 8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76" o:spid="_x0000_s190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For three months period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6"/>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For six months period ended</w:t>
            </w:r>
          </w:p>
        </w:tc>
        <w:tc>
          <w:tcPr>
            <w:tcW w:w="20" w:type="dxa"/>
            <w:vAlign w:val="bottom"/>
          </w:tcPr>
          <w:p>
            <w:pPr>
              <w:spacing w:after="0"/>
              <w:rPr>
                <w:sz w:val="12"/>
                <w:szCs w:val="12"/>
                <w:color w:val="auto"/>
              </w:rPr>
            </w:pPr>
          </w:p>
        </w:tc>
        <w:tc>
          <w:tcPr>
            <w:tcW w:w="246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For nine months period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March 31, 2023</w:t>
            </w: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bottom w:val="single" w:sz="8" w:color="auto"/>
            </w:tcBorders>
            <w:gridSpan w:val="5"/>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rPr>
              <w:t>September 30, 2023</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jc w:val="right"/>
              <w:ind w:right="20"/>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2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8"/>
              </w:rPr>
              <w:t>As Restated</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120" w:type="dxa"/>
            <w:vAlign w:val="bottom"/>
          </w:tcPr>
          <w:p>
            <w:pPr>
              <w:spacing w:after="0"/>
              <w:rPr>
                <w:sz w:val="8"/>
                <w:szCs w:val="8"/>
                <w:color w:val="auto"/>
              </w:rPr>
            </w:pPr>
          </w:p>
        </w:tc>
        <w:tc>
          <w:tcPr>
            <w:tcW w:w="84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20" w:type="dxa"/>
            <w:vAlign w:val="bottom"/>
          </w:tcPr>
          <w:p>
            <w:pPr>
              <w:spacing w:after="0"/>
              <w:rPr>
                <w:sz w:val="8"/>
                <w:szCs w:val="8"/>
                <w:color w:val="auto"/>
              </w:rPr>
            </w:pPr>
          </w:p>
        </w:tc>
        <w:tc>
          <w:tcPr>
            <w:tcW w:w="920" w:type="dxa"/>
            <w:vAlign w:val="bottom"/>
            <w:gridSpan w:val="2"/>
          </w:tcPr>
          <w:p>
            <w:pPr>
              <w:spacing w:after="0" w:line="99" w:lineRule="exact"/>
              <w:rPr>
                <w:sz w:val="20"/>
                <w:szCs w:val="20"/>
                <w:color w:val="auto"/>
              </w:rPr>
            </w:pPr>
            <w:r>
              <w:rPr>
                <w:rFonts w:ascii="Times New Roman" w:cs="Times New Roman" w:eastAsia="Times New Roman" w:hAnsi="Times New Roman"/>
                <w:sz w:val="11"/>
                <w:szCs w:val="11"/>
                <w:b w:val="1"/>
                <w:bCs w:val="1"/>
                <w:color w:val="auto"/>
              </w:rPr>
              <w:t>As Previously</w:t>
            </w:r>
          </w:p>
        </w:tc>
        <w:tc>
          <w:tcPr>
            <w:tcW w:w="840" w:type="dxa"/>
            <w:vAlign w:val="bottom"/>
            <w:gridSpan w:val="3"/>
          </w:tcPr>
          <w:p>
            <w:pPr>
              <w:jc w:val="right"/>
              <w:ind w:right="160"/>
              <w:spacing w:after="0" w:line="99" w:lineRule="exact"/>
              <w:rPr>
                <w:sz w:val="20"/>
                <w:szCs w:val="20"/>
                <w:color w:val="auto"/>
              </w:rPr>
            </w:pPr>
            <w:r>
              <w:rPr>
                <w:rFonts w:ascii="Times New Roman" w:cs="Times New Roman" w:eastAsia="Times New Roman" w:hAnsi="Times New Roman"/>
                <w:sz w:val="11"/>
                <w:szCs w:val="11"/>
                <w:b w:val="1"/>
                <w:bCs w:val="1"/>
                <w:color w:val="auto"/>
              </w:rPr>
              <w:t>Restatement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7"/>
              </w:rPr>
              <w:t>Adjustments</w:t>
            </w: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8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Borders>
              <w:top w:val="single" w:sz="8" w:color="CBEBF4"/>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Operating activities</w:t>
            </w:r>
          </w:p>
        </w:tc>
        <w:tc>
          <w:tcPr>
            <w:tcW w:w="20" w:type="dxa"/>
            <w:vAlign w:val="bottom"/>
          </w:tcPr>
          <w:p>
            <w:pPr>
              <w:spacing w:after="0"/>
              <w:rPr>
                <w:sz w:val="10"/>
                <w:szCs w:val="10"/>
                <w:color w:val="auto"/>
              </w:rPr>
            </w:pPr>
          </w:p>
        </w:tc>
        <w:tc>
          <w:tcPr>
            <w:tcW w:w="78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72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60" w:type="dxa"/>
            <w:vAlign w:val="bottom"/>
            <w:tcBorders>
              <w:top w:val="single" w:sz="8" w:color="auto"/>
            </w:tcBorders>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76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720" w:type="dxa"/>
            <w:vAlign w:val="bottom"/>
            <w:tcBorders>
              <w:top w:val="single" w:sz="8" w:color="auto"/>
            </w:tcBorders>
            <w:shd w:val="clear" w:color="auto" w:fill="CBEBF4"/>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66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shd w:val="clear" w:color="auto" w:fill="CBEBF4"/>
          </w:tcPr>
          <w:p>
            <w:pPr>
              <w:spacing w:after="0"/>
              <w:rPr>
                <w:sz w:val="10"/>
                <w:szCs w:val="10"/>
                <w:color w:val="auto"/>
              </w:rPr>
            </w:pPr>
          </w:p>
        </w:tc>
        <w:tc>
          <w:tcPr>
            <w:tcW w:w="140" w:type="dxa"/>
            <w:vAlign w:val="bottom"/>
            <w:tcBorders>
              <w:top w:val="single" w:sz="8" w:color="CBEBF4"/>
            </w:tcBorders>
            <w:shd w:val="clear" w:color="auto" w:fill="CBEBF4"/>
          </w:tcPr>
          <w:p>
            <w:pPr>
              <w:spacing w:after="0"/>
              <w:rPr>
                <w:sz w:val="10"/>
                <w:szCs w:val="10"/>
                <w:color w:val="auto"/>
              </w:rPr>
            </w:pPr>
          </w:p>
        </w:tc>
        <w:tc>
          <w:tcPr>
            <w:tcW w:w="720" w:type="dxa"/>
            <w:vAlign w:val="bottom"/>
            <w:tcBorders>
              <w:top w:val="single" w:sz="8" w:color="auto"/>
            </w:tcBorders>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CBEBF4"/>
            </w:tcBorders>
            <w:shd w:val="clear" w:color="auto" w:fill="CBEBF4"/>
          </w:tcPr>
          <w:p>
            <w:pPr>
              <w:spacing w:after="0"/>
              <w:rPr>
                <w:sz w:val="10"/>
                <w:szCs w:val="10"/>
                <w:color w:val="auto"/>
              </w:rPr>
            </w:pPr>
          </w:p>
        </w:tc>
        <w:tc>
          <w:tcPr>
            <w:tcW w:w="700" w:type="dxa"/>
            <w:vAlign w:val="bottom"/>
            <w:tcBorders>
              <w:top w:val="single" w:sz="8" w:color="auto"/>
            </w:tcBorders>
            <w:shd w:val="clear" w:color="auto" w:fill="CBEBF4"/>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Gain/(Loss) for the period</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w:t>
            </w:r>
          </w:p>
        </w:tc>
        <w:tc>
          <w:tcPr>
            <w:tcW w:w="84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(13,748)</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(14,105)</w:t>
            </w:r>
          </w:p>
        </w:tc>
        <w:tc>
          <w:tcPr>
            <w:tcW w:w="12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(27,855)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(26,572)</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(40,322)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Items not affecting cash:</w:t>
            </w: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Amortization</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88</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88</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175</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262</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Lease expense</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318.00</w:t>
            </w: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318.00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Expenses settled with share-based</w:t>
            </w: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payments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1,775</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4,307</w:t>
            </w: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6,839</w:t>
            </w:r>
          </w:p>
        </w:tc>
        <w:tc>
          <w:tcPr>
            <w:tcW w:w="140" w:type="dxa"/>
            <w:vAlign w:val="bottom"/>
          </w:tcPr>
          <w:p>
            <w:pPr>
              <w:spacing w:after="0"/>
              <w:rPr>
                <w:sz w:val="13"/>
                <w:szCs w:val="13"/>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Expenses to be settled with share-based</w:t>
            </w: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6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payments</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0" w:type="dxa"/>
            <w:vAlign w:val="bottom"/>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92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Equity-accounted investment loss</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219</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219</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356</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356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475</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Gain on disposition of asset</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84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8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20" w:type="dxa"/>
            <w:vAlign w:val="bottom"/>
            <w:shd w:val="clear" w:color="auto" w:fill="CBEBF4"/>
          </w:tcPr>
          <w:p>
            <w:pPr>
              <w:spacing w:after="0"/>
              <w:rPr>
                <w:sz w:val="11"/>
                <w:szCs w:val="11"/>
                <w:color w:val="auto"/>
              </w:rPr>
            </w:pPr>
          </w:p>
        </w:tc>
        <w:tc>
          <w:tcPr>
            <w:tcW w:w="80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13,750</w:t>
            </w: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Change in fair value of warrants</w:t>
            </w: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liability</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1,331</w:t>
            </w: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14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Vesting of Allseas Warrant</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92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Unrealized foreign exchange</w:t>
            </w: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movement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13"/>
                <w:szCs w:val="13"/>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Changes in working capital:</w:t>
            </w: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92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Receivables and prepayments</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(469)</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(469)</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1,123</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1,123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(2,364)</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(2,364)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Accounts payable and accrued</w:t>
            </w: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6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liabilities</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(11,877)</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(11,877)</w:t>
            </w:r>
          </w:p>
        </w:tc>
        <w:tc>
          <w:tcPr>
            <w:tcW w:w="20" w:type="dxa"/>
            <w:vAlign w:val="bottom"/>
          </w:tcPr>
          <w:p>
            <w:pPr>
              <w:spacing w:after="0"/>
              <w:rPr>
                <w:sz w:val="13"/>
                <w:szCs w:val="13"/>
                <w:color w:val="auto"/>
              </w:rPr>
            </w:pPr>
          </w:p>
        </w:tc>
        <w:tc>
          <w:tcPr>
            <w:tcW w:w="8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(11,277)</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(11,277)</w:t>
            </w:r>
          </w:p>
        </w:tc>
        <w:tc>
          <w:tcPr>
            <w:tcW w:w="140" w:type="dxa"/>
            <w:vAlign w:val="bottom"/>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(10,757)</w:t>
            </w:r>
          </w:p>
        </w:tc>
        <w:tc>
          <w:tcPr>
            <w:tcW w:w="140" w:type="dxa"/>
            <w:vAlign w:val="bottom"/>
            <w:shd w:val="clear" w:color="auto" w:fill="CBEBF4"/>
          </w:tcPr>
          <w:p>
            <w:pPr>
              <w:spacing w:after="0"/>
              <w:rPr>
                <w:sz w:val="13"/>
                <w:szCs w:val="13"/>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(10,757)</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20" w:type="dxa"/>
            <w:vAlign w:val="bottom"/>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(23,472)</w:t>
            </w: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(23,472)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(31,857)</w:t>
            </w: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(31,857)</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(44,359)</w:t>
            </w:r>
          </w:p>
        </w:tc>
        <w:tc>
          <w:tcPr>
            <w:tcW w:w="140" w:type="dxa"/>
            <w:vAlign w:val="bottom"/>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Times New Roman" w:cs="Times New Roman" w:eastAsia="Times New Roman" w:hAnsi="Times New Roman"/>
                <w:sz w:val="12"/>
                <w:szCs w:val="12"/>
                <w:color w:val="auto"/>
              </w:rPr>
              <w:t>(44,359)</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04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Investing activities</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Cash received from investment in Low</w:t>
            </w: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880" w:type="dxa"/>
            <w:vAlign w:val="bottom"/>
            <w:gridSpan w:val="2"/>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shd w:val="clear" w:color="auto" w:fill="CBEBF4"/>
          </w:tcPr>
          <w:p>
            <w:pPr>
              <w:spacing w:after="0"/>
              <w:rPr>
                <w:sz w:val="9"/>
                <w:szCs w:val="9"/>
                <w:color w:val="auto"/>
              </w:rPr>
            </w:pPr>
          </w:p>
        </w:tc>
        <w:tc>
          <w:tcPr>
            <w:tcW w:w="7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shd w:val="clear" w:color="auto" w:fill="CBEBF4"/>
          </w:tcPr>
          <w:p>
            <w:pPr>
              <w:spacing w:after="0"/>
              <w:rPr>
                <w:sz w:val="9"/>
                <w:szCs w:val="9"/>
                <w:color w:val="auto"/>
              </w:rPr>
            </w:pPr>
          </w:p>
        </w:tc>
        <w:tc>
          <w:tcPr>
            <w:tcW w:w="800" w:type="dxa"/>
            <w:vAlign w:val="bottom"/>
            <w:gridSpan w:val="2"/>
            <w:vMerge w:val="restart"/>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7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40" w:type="dxa"/>
            <w:vAlign w:val="bottom"/>
            <w:shd w:val="clear" w:color="auto" w:fill="CBEBF4"/>
          </w:tcPr>
          <w:p>
            <w:pPr>
              <w:spacing w:after="0"/>
              <w:rPr>
                <w:sz w:val="9"/>
                <w:szCs w:val="9"/>
                <w:color w:val="auto"/>
              </w:rPr>
            </w:pPr>
          </w:p>
        </w:tc>
        <w:tc>
          <w:tcPr>
            <w:tcW w:w="7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Carbon Royalties</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shd w:val="clear" w:color="auto" w:fill="CBEBF4"/>
          </w:tcPr>
          <w:p>
            <w:pPr>
              <w:spacing w:after="0"/>
              <w:rPr>
                <w:sz w:val="13"/>
                <w:szCs w:val="13"/>
                <w:color w:val="auto"/>
              </w:rPr>
            </w:pPr>
          </w:p>
        </w:tc>
        <w:tc>
          <w:tcPr>
            <w:tcW w:w="660" w:type="dxa"/>
            <w:vAlign w:val="bottom"/>
            <w:vMerge w:val="continue"/>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72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800" w:type="dxa"/>
            <w:vAlign w:val="bottom"/>
            <w:gridSpan w:val="2"/>
            <w:vMerge w:val="continue"/>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vMerge w:val="continue"/>
            <w:shd w:val="clear" w:color="auto" w:fill="CBEBF4"/>
          </w:tcPr>
          <w:p>
            <w:pPr>
              <w:spacing w:after="0"/>
              <w:rPr>
                <w:sz w:val="13"/>
                <w:szCs w:val="13"/>
                <w:color w:val="auto"/>
              </w:rPr>
            </w:pPr>
          </w:p>
        </w:tc>
        <w:tc>
          <w:tcPr>
            <w:tcW w:w="140" w:type="dxa"/>
            <w:vAlign w:val="bottom"/>
            <w:shd w:val="clear" w:color="auto" w:fill="CBEBF4"/>
          </w:tcPr>
          <w:p>
            <w:pPr>
              <w:spacing w:after="0"/>
              <w:rPr>
                <w:sz w:val="13"/>
                <w:szCs w:val="13"/>
                <w:color w:val="auto"/>
              </w:rPr>
            </w:pPr>
          </w:p>
        </w:tc>
        <w:tc>
          <w:tcPr>
            <w:tcW w:w="720" w:type="dxa"/>
            <w:vAlign w:val="bottom"/>
            <w:vMerge w:val="continue"/>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vMerge w:val="continue"/>
            <w:shd w:val="clear" w:color="auto" w:fill="CBEBF4"/>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Acquisition of equipment</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(75)</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(175)</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40" w:type="dxa"/>
            <w:vAlign w:val="bottom"/>
            <w:tcBorders>
              <w:top w:val="single" w:sz="8" w:color="CBEBF4"/>
            </w:tcBorders>
            <w:shd w:val="clear" w:color="auto" w:fill="CBEBF4"/>
          </w:tcPr>
          <w:p>
            <w:pPr>
              <w:spacing w:after="0" w:line="86" w:lineRule="exact"/>
              <w:rPr>
                <w:sz w:val="20"/>
                <w:szCs w:val="20"/>
                <w:color w:val="auto"/>
              </w:rPr>
            </w:pPr>
            <w:r>
              <w:rPr>
                <w:rFonts w:ascii="Times New Roman" w:cs="Times New Roman" w:eastAsia="Times New Roman" w:hAnsi="Times New Roman"/>
                <w:sz w:val="9"/>
                <w:szCs w:val="9"/>
                <w:b w:val="1"/>
                <w:bCs w:val="1"/>
                <w:color w:val="auto"/>
              </w:rPr>
              <w:t>Net cash provided by (used in)</w:t>
            </w:r>
          </w:p>
        </w:tc>
        <w:tc>
          <w:tcPr>
            <w:tcW w:w="20" w:type="dxa"/>
            <w:vAlign w:val="bottom"/>
          </w:tcPr>
          <w:p>
            <w:pPr>
              <w:spacing w:after="0"/>
              <w:rPr>
                <w:sz w:val="7"/>
                <w:szCs w:val="7"/>
                <w:color w:val="auto"/>
              </w:rPr>
            </w:pPr>
          </w:p>
        </w:tc>
        <w:tc>
          <w:tcPr>
            <w:tcW w:w="780" w:type="dxa"/>
            <w:vAlign w:val="bottom"/>
            <w:tcBorders>
              <w:top w:val="single" w:sz="8" w:color="auto"/>
            </w:tcBorders>
            <w:shd w:val="clear" w:color="auto" w:fill="CBEBF4"/>
          </w:tcPr>
          <w:p>
            <w:pPr>
              <w:spacing w:after="0"/>
              <w:rPr>
                <w:sz w:val="7"/>
                <w:szCs w:val="7"/>
                <w:color w:val="auto"/>
              </w:rPr>
            </w:pPr>
          </w:p>
        </w:tc>
        <w:tc>
          <w:tcPr>
            <w:tcW w:w="120" w:type="dxa"/>
            <w:vAlign w:val="bottom"/>
            <w:tcBorders>
              <w:top w:val="single" w:sz="8" w:color="CBEBF4"/>
            </w:tcBorders>
            <w:shd w:val="clear" w:color="auto" w:fill="CBEBF4"/>
          </w:tcPr>
          <w:p>
            <w:pPr>
              <w:spacing w:after="0"/>
              <w:rPr>
                <w:sz w:val="7"/>
                <w:szCs w:val="7"/>
                <w:color w:val="auto"/>
              </w:rPr>
            </w:pPr>
          </w:p>
        </w:tc>
        <w:tc>
          <w:tcPr>
            <w:tcW w:w="720" w:type="dxa"/>
            <w:vAlign w:val="bottom"/>
            <w:tcBorders>
              <w:top w:val="single" w:sz="8" w:color="auto"/>
            </w:tcBorders>
            <w:shd w:val="clear" w:color="auto" w:fill="CBEBF4"/>
          </w:tcPr>
          <w:p>
            <w:pPr>
              <w:spacing w:after="0"/>
              <w:rPr>
                <w:sz w:val="7"/>
                <w:szCs w:val="7"/>
                <w:color w:val="auto"/>
              </w:rPr>
            </w:pPr>
          </w:p>
        </w:tc>
        <w:tc>
          <w:tcPr>
            <w:tcW w:w="120" w:type="dxa"/>
            <w:vAlign w:val="bottom"/>
            <w:tcBorders>
              <w:top w:val="single" w:sz="8" w:color="CBEBF4"/>
            </w:tcBorders>
            <w:shd w:val="clear" w:color="auto" w:fill="CBEBF4"/>
          </w:tcPr>
          <w:p>
            <w:pPr>
              <w:spacing w:after="0"/>
              <w:rPr>
                <w:sz w:val="7"/>
                <w:szCs w:val="7"/>
                <w:color w:val="auto"/>
              </w:rPr>
            </w:pPr>
          </w:p>
        </w:tc>
        <w:tc>
          <w:tcPr>
            <w:tcW w:w="660" w:type="dxa"/>
            <w:vAlign w:val="bottom"/>
            <w:tcBorders>
              <w:top w:val="single" w:sz="8" w:color="auto"/>
            </w:tcBorders>
            <w:shd w:val="clear" w:color="auto" w:fill="CBEBF4"/>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CBEBF4"/>
            </w:tcBorders>
            <w:shd w:val="clear" w:color="auto" w:fill="CBEBF4"/>
          </w:tcPr>
          <w:p>
            <w:pPr>
              <w:spacing w:after="0"/>
              <w:rPr>
                <w:sz w:val="7"/>
                <w:szCs w:val="7"/>
                <w:color w:val="auto"/>
              </w:rPr>
            </w:pPr>
          </w:p>
        </w:tc>
        <w:tc>
          <w:tcPr>
            <w:tcW w:w="760" w:type="dxa"/>
            <w:vAlign w:val="bottom"/>
            <w:tcBorders>
              <w:top w:val="single" w:sz="8" w:color="auto"/>
            </w:tcBorders>
            <w:shd w:val="clear" w:color="auto" w:fill="CBEBF4"/>
          </w:tcPr>
          <w:p>
            <w:pPr>
              <w:spacing w:after="0"/>
              <w:rPr>
                <w:sz w:val="7"/>
                <w:szCs w:val="7"/>
                <w:color w:val="auto"/>
              </w:rPr>
            </w:pPr>
          </w:p>
        </w:tc>
        <w:tc>
          <w:tcPr>
            <w:tcW w:w="120" w:type="dxa"/>
            <w:vAlign w:val="bottom"/>
            <w:tcBorders>
              <w:top w:val="single" w:sz="8" w:color="CBEBF4"/>
            </w:tcBorders>
            <w:shd w:val="clear" w:color="auto" w:fill="CBEBF4"/>
          </w:tcPr>
          <w:p>
            <w:pPr>
              <w:spacing w:after="0"/>
              <w:rPr>
                <w:sz w:val="7"/>
                <w:szCs w:val="7"/>
                <w:color w:val="auto"/>
              </w:rPr>
            </w:pPr>
          </w:p>
        </w:tc>
        <w:tc>
          <w:tcPr>
            <w:tcW w:w="720" w:type="dxa"/>
            <w:vAlign w:val="bottom"/>
            <w:tcBorders>
              <w:top w:val="single" w:sz="8" w:color="auto"/>
            </w:tcBorders>
            <w:shd w:val="clear" w:color="auto" w:fill="CBEBF4"/>
          </w:tcPr>
          <w:p>
            <w:pPr>
              <w:spacing w:after="0"/>
              <w:rPr>
                <w:sz w:val="7"/>
                <w:szCs w:val="7"/>
                <w:color w:val="auto"/>
              </w:rPr>
            </w:pPr>
          </w:p>
        </w:tc>
        <w:tc>
          <w:tcPr>
            <w:tcW w:w="120" w:type="dxa"/>
            <w:vAlign w:val="bottom"/>
            <w:tcBorders>
              <w:top w:val="single" w:sz="8" w:color="CBEBF4"/>
            </w:tcBorders>
            <w:shd w:val="clear" w:color="auto" w:fill="CBEBF4"/>
          </w:tcPr>
          <w:p>
            <w:pPr>
              <w:spacing w:after="0"/>
              <w:rPr>
                <w:sz w:val="7"/>
                <w:szCs w:val="7"/>
                <w:color w:val="auto"/>
              </w:rPr>
            </w:pPr>
          </w:p>
        </w:tc>
        <w:tc>
          <w:tcPr>
            <w:tcW w:w="660" w:type="dxa"/>
            <w:vAlign w:val="bottom"/>
            <w:tcBorders>
              <w:top w:val="single" w:sz="8" w:color="auto"/>
            </w:tcBorders>
            <w:shd w:val="clear" w:color="auto" w:fill="CBEBF4"/>
          </w:tcPr>
          <w:p>
            <w:pPr>
              <w:spacing w:after="0"/>
              <w:rPr>
                <w:sz w:val="7"/>
                <w:szCs w:val="7"/>
                <w:color w:val="auto"/>
              </w:rPr>
            </w:pPr>
          </w:p>
        </w:tc>
        <w:tc>
          <w:tcPr>
            <w:tcW w:w="140" w:type="dxa"/>
            <w:vAlign w:val="bottom"/>
            <w:tcBorders>
              <w:top w:val="single" w:sz="8" w:color="CBEBF4"/>
            </w:tcBorders>
            <w:shd w:val="clear" w:color="auto" w:fill="CBEBF4"/>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auto"/>
            </w:tcBorders>
            <w:shd w:val="clear" w:color="auto" w:fill="CBEBF4"/>
          </w:tcPr>
          <w:p>
            <w:pPr>
              <w:spacing w:after="0"/>
              <w:rPr>
                <w:sz w:val="7"/>
                <w:szCs w:val="7"/>
                <w:color w:val="auto"/>
              </w:rPr>
            </w:pPr>
          </w:p>
        </w:tc>
        <w:tc>
          <w:tcPr>
            <w:tcW w:w="140" w:type="dxa"/>
            <w:vAlign w:val="bottom"/>
            <w:tcBorders>
              <w:top w:val="single" w:sz="8" w:color="CBEBF4"/>
            </w:tcBorders>
            <w:shd w:val="clear" w:color="auto" w:fill="CBEBF4"/>
          </w:tcPr>
          <w:p>
            <w:pPr>
              <w:spacing w:after="0"/>
              <w:rPr>
                <w:sz w:val="7"/>
                <w:szCs w:val="7"/>
                <w:color w:val="auto"/>
              </w:rPr>
            </w:pPr>
          </w:p>
        </w:tc>
        <w:tc>
          <w:tcPr>
            <w:tcW w:w="720" w:type="dxa"/>
            <w:vAlign w:val="bottom"/>
            <w:tcBorders>
              <w:top w:val="single" w:sz="8" w:color="auto"/>
            </w:tcBorders>
            <w:shd w:val="clear" w:color="auto" w:fill="CBEBF4"/>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CBEBF4"/>
            </w:tcBorders>
            <w:shd w:val="clear" w:color="auto" w:fill="CBEBF4"/>
          </w:tcPr>
          <w:p>
            <w:pPr>
              <w:spacing w:after="0"/>
              <w:rPr>
                <w:sz w:val="7"/>
                <w:szCs w:val="7"/>
                <w:color w:val="auto"/>
              </w:rPr>
            </w:pPr>
          </w:p>
        </w:tc>
        <w:tc>
          <w:tcPr>
            <w:tcW w:w="700" w:type="dxa"/>
            <w:vAlign w:val="bottom"/>
            <w:tcBorders>
              <w:top w:val="single" w:sz="8" w:color="auto"/>
            </w:tcBorders>
            <w:shd w:val="clear" w:color="auto" w:fill="CBEBF4"/>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84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shd w:val="clear" w:color="auto" w:fill="CBEBF4"/>
          </w:tcPr>
          <w:p>
            <w:pPr>
              <w:spacing w:after="0"/>
              <w:rPr>
                <w:sz w:val="13"/>
                <w:szCs w:val="13"/>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8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4,925</w:t>
            </w:r>
          </w:p>
        </w:tc>
        <w:tc>
          <w:tcPr>
            <w:tcW w:w="120" w:type="dxa"/>
            <w:vAlign w:val="bottom"/>
            <w:shd w:val="clear" w:color="auto" w:fill="CBEBF4"/>
          </w:tcPr>
          <w:p>
            <w:pPr>
              <w:spacing w:after="0"/>
              <w:rPr>
                <w:sz w:val="13"/>
                <w:szCs w:val="13"/>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shd w:val="clear" w:color="auto" w:fill="CBEBF4"/>
          </w:tcPr>
          <w:p>
            <w:pPr>
              <w:spacing w:after="0"/>
              <w:rPr>
                <w:sz w:val="13"/>
                <w:szCs w:val="13"/>
                <w:color w:val="auto"/>
              </w:rPr>
            </w:pP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140" w:type="dxa"/>
            <w:vAlign w:val="bottom"/>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4,825</w:t>
            </w:r>
          </w:p>
        </w:tc>
        <w:tc>
          <w:tcPr>
            <w:tcW w:w="140" w:type="dxa"/>
            <w:vAlign w:val="bottom"/>
            <w:shd w:val="clear" w:color="auto" w:fill="CBEBF4"/>
          </w:tcPr>
          <w:p>
            <w:pPr>
              <w:spacing w:after="0"/>
              <w:rPr>
                <w:sz w:val="13"/>
                <w:szCs w:val="13"/>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Financing activities</w:t>
            </w: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Proceeds from Low Carbon Royalties</w:t>
            </w: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investment</w:t>
            </w: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Proceeds from Registered Direct</w:t>
            </w: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6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Offering</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15,723</w:t>
            </w:r>
          </w:p>
        </w:tc>
        <w:tc>
          <w:tcPr>
            <w:tcW w:w="140" w:type="dxa"/>
            <w:vAlign w:val="bottom"/>
            <w:shd w:val="clear" w:color="auto" w:fill="CBEBF4"/>
          </w:tcPr>
          <w:p>
            <w:pPr>
              <w:spacing w:after="0"/>
              <w:rPr>
                <w:sz w:val="13"/>
                <w:szCs w:val="13"/>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15,723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Expenses paid for Registered Direct</w:t>
            </w:r>
          </w:p>
        </w:tc>
        <w:tc>
          <w:tcPr>
            <w:tcW w:w="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140" w:type="dxa"/>
            <w:vAlign w:val="bottom"/>
          </w:tcPr>
          <w:p>
            <w:pPr>
              <w:spacing w:after="0"/>
              <w:rPr>
                <w:sz w:val="9"/>
                <w:szCs w:val="9"/>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(779)</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Offering</w:t>
            </w:r>
          </w:p>
        </w:tc>
        <w:tc>
          <w:tcPr>
            <w:tcW w:w="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Proceeds from PIPE financing</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92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Expenses paid for PIPE financing</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92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shd w:val="clear" w:color="auto" w:fill="CBEBF4"/>
          </w:tcPr>
          <w:p>
            <w:pPr>
              <w:spacing w:after="0" w:line="130" w:lineRule="exact"/>
              <w:rPr>
                <w:sz w:val="20"/>
                <w:szCs w:val="20"/>
                <w:color w:val="auto"/>
              </w:rPr>
            </w:pPr>
            <w:r>
              <w:rPr>
                <w:rFonts w:ascii="Times New Roman" w:cs="Times New Roman" w:eastAsia="Times New Roman" w:hAnsi="Times New Roman"/>
                <w:sz w:val="12"/>
                <w:szCs w:val="12"/>
                <w:color w:val="auto"/>
              </w:rPr>
              <w:t>Proceeds from employee stock plan</w:t>
            </w: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80" w:type="dxa"/>
            <w:vAlign w:val="bottom"/>
            <w:gridSpan w:val="2"/>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49</w:t>
            </w:r>
          </w:p>
        </w:tc>
        <w:tc>
          <w:tcPr>
            <w:tcW w:w="120" w:type="dxa"/>
            <w:vAlign w:val="bottom"/>
            <w:shd w:val="clear" w:color="auto" w:fill="CBEBF4"/>
          </w:tcPr>
          <w:p>
            <w:pPr>
              <w:spacing w:after="0"/>
              <w:rPr>
                <w:sz w:val="11"/>
                <w:szCs w:val="11"/>
                <w:color w:val="auto"/>
              </w:rPr>
            </w:pPr>
          </w:p>
        </w:tc>
        <w:tc>
          <w:tcPr>
            <w:tcW w:w="840" w:type="dxa"/>
            <w:vAlign w:val="bottom"/>
            <w:gridSpan w:val="2"/>
            <w:shd w:val="clear" w:color="auto" w:fill="CBEBF4"/>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49</w:t>
            </w:r>
          </w:p>
        </w:tc>
        <w:tc>
          <w:tcPr>
            <w:tcW w:w="140" w:type="dxa"/>
            <w:vAlign w:val="bottom"/>
            <w:shd w:val="clear" w:color="auto" w:fill="CBEBF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49</w:t>
            </w: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jc w:val="right"/>
              <w:spacing w:after="0" w:line="130" w:lineRule="exact"/>
              <w:rPr>
                <w:sz w:val="20"/>
                <w:szCs w:val="20"/>
                <w:color w:val="auto"/>
              </w:rPr>
            </w:pPr>
            <w:r>
              <w:rPr>
                <w:rFonts w:ascii="Times New Roman" w:cs="Times New Roman" w:eastAsia="Times New Roman" w:hAnsi="Times New Roman"/>
                <w:sz w:val="12"/>
                <w:szCs w:val="12"/>
                <w:color w:val="auto"/>
              </w:rPr>
              <w:t>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Proceeds from exercise of stock options</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77</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Proceeds from exercise of warrants by</w:t>
            </w: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6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Allseas</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7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140" w:type="dxa"/>
            <w:vAlign w:val="bottom"/>
            <w:shd w:val="clear" w:color="auto" w:fill="CBEBF4"/>
          </w:tcPr>
          <w:p>
            <w:pPr>
              <w:spacing w:after="0"/>
              <w:rPr>
                <w:sz w:val="13"/>
                <w:szCs w:val="13"/>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Proceeds from issuance of shares</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40" w:type="dxa"/>
            <w:vAlign w:val="bottom"/>
            <w:shd w:val="clear" w:color="auto" w:fill="CBEBF4"/>
          </w:tcPr>
          <w:p>
            <w:pPr>
              <w:spacing w:after="0" w:line="108" w:lineRule="exact"/>
              <w:rPr>
                <w:sz w:val="20"/>
                <w:szCs w:val="20"/>
                <w:color w:val="auto"/>
              </w:rPr>
            </w:pPr>
            <w:r>
              <w:rPr>
                <w:rFonts w:ascii="Times New Roman" w:cs="Times New Roman" w:eastAsia="Times New Roman" w:hAnsi="Times New Roman"/>
                <w:sz w:val="12"/>
                <w:szCs w:val="12"/>
                <w:color w:val="auto"/>
              </w:rPr>
              <w:t>Taxes withheld and paid on share-based</w:t>
            </w:r>
          </w:p>
        </w:tc>
        <w:tc>
          <w:tcPr>
            <w:tcW w:w="20" w:type="dxa"/>
            <w:vAlign w:val="bottom"/>
          </w:tcPr>
          <w:p>
            <w:pPr>
              <w:spacing w:after="0"/>
              <w:rPr>
                <w:sz w:val="9"/>
                <w:szCs w:val="9"/>
                <w:color w:val="auto"/>
              </w:rPr>
            </w:pPr>
          </w:p>
        </w:tc>
        <w:tc>
          <w:tcPr>
            <w:tcW w:w="78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9"/>
                <w:szCs w:val="9"/>
                <w:color w:val="auto"/>
              </w:rPr>
            </w:pPr>
          </w:p>
        </w:tc>
        <w:tc>
          <w:tcPr>
            <w:tcW w:w="840" w:type="dxa"/>
            <w:vAlign w:val="bottom"/>
            <w:gridSpan w:val="2"/>
            <w:vMerge w:val="restart"/>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6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BEBF4"/>
          </w:tcPr>
          <w:p>
            <w:pPr>
              <w:spacing w:after="0"/>
              <w:rPr>
                <w:sz w:val="9"/>
                <w:szCs w:val="9"/>
                <w:color w:val="auto"/>
              </w:rPr>
            </w:pPr>
          </w:p>
        </w:tc>
        <w:tc>
          <w:tcPr>
            <w:tcW w:w="840" w:type="dxa"/>
            <w:vAlign w:val="bottom"/>
            <w:gridSpan w:val="2"/>
            <w:vMerge w:val="restart"/>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vMerge w:val="restart"/>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920" w:type="dxa"/>
            <w:vAlign w:val="bottom"/>
            <w:gridSpan w:val="2"/>
            <w:vMerge w:val="restart"/>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color w:val="auto"/>
              </w:rPr>
              <w:t>compensation</w:t>
            </w:r>
          </w:p>
        </w:tc>
        <w:tc>
          <w:tcPr>
            <w:tcW w:w="20" w:type="dxa"/>
            <w:vAlign w:val="bottom"/>
          </w:tcPr>
          <w:p>
            <w:pPr>
              <w:spacing w:after="0"/>
              <w:rPr>
                <w:sz w:val="13"/>
                <w:szCs w:val="13"/>
                <w:color w:val="auto"/>
              </w:rPr>
            </w:pPr>
          </w:p>
        </w:tc>
        <w:tc>
          <w:tcPr>
            <w:tcW w:w="78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840" w:type="dxa"/>
            <w:vAlign w:val="bottom"/>
            <w:gridSpan w:val="2"/>
            <w:vMerge w:val="continue"/>
            <w:shd w:val="clear" w:color="auto" w:fill="CBEBF4"/>
          </w:tcPr>
          <w:p>
            <w:pPr>
              <w:spacing w:after="0"/>
              <w:rPr>
                <w:sz w:val="13"/>
                <w:szCs w:val="13"/>
                <w:color w:val="auto"/>
              </w:rPr>
            </w:pPr>
          </w:p>
        </w:tc>
        <w:tc>
          <w:tcPr>
            <w:tcW w:w="660" w:type="dxa"/>
            <w:vAlign w:val="bottom"/>
            <w:vMerge w:val="continue"/>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760" w:type="dxa"/>
            <w:vAlign w:val="bottom"/>
            <w:vMerge w:val="continue"/>
            <w:shd w:val="clear" w:color="auto" w:fill="CBEBF4"/>
          </w:tcPr>
          <w:p>
            <w:pPr>
              <w:spacing w:after="0"/>
              <w:rPr>
                <w:sz w:val="13"/>
                <w:szCs w:val="13"/>
                <w:color w:val="auto"/>
              </w:rPr>
            </w:pPr>
          </w:p>
        </w:tc>
        <w:tc>
          <w:tcPr>
            <w:tcW w:w="120" w:type="dxa"/>
            <w:vAlign w:val="bottom"/>
            <w:shd w:val="clear" w:color="auto" w:fill="CBEBF4"/>
          </w:tcPr>
          <w:p>
            <w:pPr>
              <w:spacing w:after="0"/>
              <w:rPr>
                <w:sz w:val="13"/>
                <w:szCs w:val="13"/>
                <w:color w:val="auto"/>
              </w:rPr>
            </w:pPr>
          </w:p>
        </w:tc>
        <w:tc>
          <w:tcPr>
            <w:tcW w:w="840" w:type="dxa"/>
            <w:vAlign w:val="bottom"/>
            <w:gridSpan w:val="2"/>
            <w:vMerge w:val="continue"/>
            <w:shd w:val="clear" w:color="auto" w:fill="CBEBF4"/>
          </w:tcPr>
          <w:p>
            <w:pPr>
              <w:spacing w:after="0"/>
              <w:rPr>
                <w:sz w:val="13"/>
                <w:szCs w:val="13"/>
                <w:color w:val="auto"/>
              </w:rPr>
            </w:pPr>
          </w:p>
        </w:tc>
        <w:tc>
          <w:tcPr>
            <w:tcW w:w="800" w:type="dxa"/>
            <w:vAlign w:val="bottom"/>
            <w:gridSpan w:val="2"/>
            <w:vMerge w:val="continue"/>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vMerge w:val="continue"/>
            <w:shd w:val="clear" w:color="auto" w:fill="CBEBF4"/>
          </w:tcPr>
          <w:p>
            <w:pPr>
              <w:spacing w:after="0"/>
              <w:rPr>
                <w:sz w:val="13"/>
                <w:szCs w:val="13"/>
                <w:color w:val="auto"/>
              </w:rPr>
            </w:pPr>
          </w:p>
        </w:tc>
        <w:tc>
          <w:tcPr>
            <w:tcW w:w="720" w:type="dxa"/>
            <w:vAlign w:val="bottom"/>
            <w:vMerge w:val="continue"/>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040" w:type="dxa"/>
            <w:vAlign w:val="bottom"/>
          </w:tcPr>
          <w:p>
            <w:pPr>
              <w:spacing w:after="0" w:line="86" w:lineRule="exact"/>
              <w:rPr>
                <w:sz w:val="20"/>
                <w:szCs w:val="20"/>
                <w:color w:val="auto"/>
              </w:rPr>
            </w:pPr>
            <w:r>
              <w:rPr>
                <w:rFonts w:ascii="Times New Roman" w:cs="Times New Roman" w:eastAsia="Times New Roman" w:hAnsi="Times New Roman"/>
                <w:sz w:val="9"/>
                <w:szCs w:val="9"/>
                <w:b w:val="1"/>
                <w:bCs w:val="1"/>
                <w:color w:val="auto"/>
              </w:rPr>
              <w:t>Net cash provided by financing</w:t>
            </w:r>
          </w:p>
        </w:tc>
        <w:tc>
          <w:tcPr>
            <w:tcW w:w="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0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activities</w:t>
            </w:r>
          </w:p>
        </w:tc>
        <w:tc>
          <w:tcPr>
            <w:tcW w:w="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5,079</w:t>
            </w:r>
          </w:p>
        </w:tc>
        <w:tc>
          <w:tcPr>
            <w:tcW w:w="14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15,216</w:t>
            </w: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20,216</w:t>
            </w: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2040" w:type="dxa"/>
            <w:vAlign w:val="bottom"/>
            <w:shd w:val="clear" w:color="auto" w:fill="CBEBF4"/>
          </w:tcPr>
          <w:p>
            <w:pPr>
              <w:spacing w:after="0"/>
              <w:rPr>
                <w:sz w:val="11"/>
                <w:szCs w:val="11"/>
                <w:color w:val="auto"/>
              </w:rPr>
            </w:pPr>
          </w:p>
        </w:tc>
        <w:tc>
          <w:tcPr>
            <w:tcW w:w="20" w:type="dxa"/>
            <w:vAlign w:val="bottom"/>
            <w:vMerge w:val="restart"/>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20" w:type="dxa"/>
            <w:vAlign w:val="bottom"/>
            <w:vMerge w:val="restart"/>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6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120" w:type="dxa"/>
            <w:vAlign w:val="bottom"/>
            <w:shd w:val="clear" w:color="auto" w:fill="CBEBF4"/>
          </w:tcPr>
          <w:p>
            <w:pPr>
              <w:spacing w:after="0"/>
              <w:rPr>
                <w:sz w:val="11"/>
                <w:szCs w:val="11"/>
                <w:color w:val="auto"/>
              </w:rPr>
            </w:pPr>
          </w:p>
        </w:tc>
        <w:tc>
          <w:tcPr>
            <w:tcW w:w="66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20" w:type="dxa"/>
            <w:vAlign w:val="bottom"/>
            <w:vMerge w:val="restart"/>
          </w:tcPr>
          <w:p>
            <w:pPr>
              <w:spacing w:after="0"/>
              <w:rPr>
                <w:sz w:val="11"/>
                <w:szCs w:val="11"/>
                <w:color w:val="auto"/>
              </w:rPr>
            </w:pPr>
          </w:p>
        </w:tc>
        <w:tc>
          <w:tcPr>
            <w:tcW w:w="780" w:type="dxa"/>
            <w:vAlign w:val="bottom"/>
            <w:shd w:val="clear" w:color="auto" w:fill="CBEBF4"/>
          </w:tcPr>
          <w:p>
            <w:pPr>
              <w:spacing w:after="0"/>
              <w:rPr>
                <w:sz w:val="11"/>
                <w:szCs w:val="11"/>
                <w:color w:val="auto"/>
              </w:rPr>
            </w:pPr>
          </w:p>
        </w:tc>
        <w:tc>
          <w:tcPr>
            <w:tcW w:w="140" w:type="dxa"/>
            <w:vAlign w:val="bottom"/>
            <w:shd w:val="clear" w:color="auto" w:fill="CBEBF4"/>
          </w:tcPr>
          <w:p>
            <w:pPr>
              <w:spacing w:after="0"/>
              <w:rPr>
                <w:sz w:val="11"/>
                <w:szCs w:val="11"/>
                <w:color w:val="auto"/>
              </w:rPr>
            </w:pPr>
          </w:p>
        </w:tc>
        <w:tc>
          <w:tcPr>
            <w:tcW w:w="720" w:type="dxa"/>
            <w:vAlign w:val="bottom"/>
            <w:shd w:val="clear" w:color="auto" w:fill="CBEBF4"/>
          </w:tcPr>
          <w:p>
            <w:pPr>
              <w:spacing w:after="0"/>
              <w:rPr>
                <w:sz w:val="11"/>
                <w:szCs w:val="11"/>
                <w:color w:val="auto"/>
              </w:rPr>
            </w:pPr>
          </w:p>
        </w:tc>
        <w:tc>
          <w:tcPr>
            <w:tcW w:w="20" w:type="dxa"/>
            <w:vAlign w:val="bottom"/>
            <w:vMerge w:val="restart"/>
          </w:tcPr>
          <w:p>
            <w:pPr>
              <w:spacing w:after="0"/>
              <w:rPr>
                <w:sz w:val="11"/>
                <w:szCs w:val="11"/>
                <w:color w:val="auto"/>
              </w:rPr>
            </w:pPr>
          </w:p>
        </w:tc>
        <w:tc>
          <w:tcPr>
            <w:tcW w:w="100" w:type="dxa"/>
            <w:vAlign w:val="bottom"/>
            <w:shd w:val="clear" w:color="auto" w:fill="CBEBF4"/>
          </w:tcPr>
          <w:p>
            <w:pPr>
              <w:spacing w:after="0"/>
              <w:rPr>
                <w:sz w:val="11"/>
                <w:szCs w:val="11"/>
                <w:color w:val="auto"/>
              </w:rPr>
            </w:pPr>
          </w:p>
        </w:tc>
        <w:tc>
          <w:tcPr>
            <w:tcW w:w="700" w:type="dxa"/>
            <w:vAlign w:val="bottom"/>
            <w:shd w:val="clear" w:color="auto" w:fill="CBEBF4"/>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Decrease in cash</w:t>
            </w:r>
          </w:p>
        </w:tc>
        <w:tc>
          <w:tcPr>
            <w:tcW w:w="20" w:type="dxa"/>
            <w:vAlign w:val="bottom"/>
            <w:vMerge w:val="continue"/>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(18,472)</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(18,472)</w:t>
            </w:r>
          </w:p>
        </w:tc>
        <w:tc>
          <w:tcPr>
            <w:tcW w:w="20" w:type="dxa"/>
            <w:vAlign w:val="bottom"/>
            <w:vMerge w:val="continue"/>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(26,853)</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(26,853)</w:t>
            </w:r>
          </w:p>
        </w:tc>
        <w:tc>
          <w:tcPr>
            <w:tcW w:w="1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(24,318)</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(24,318)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040" w:type="dxa"/>
            <w:vAlign w:val="bottom"/>
            <w:shd w:val="clear" w:color="auto" w:fill="CBEBF4"/>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Impact of exchange rate changes on</w:t>
            </w: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6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120" w:type="dxa"/>
            <w:vAlign w:val="bottom"/>
            <w:shd w:val="clear" w:color="auto" w:fill="CBEBF4"/>
          </w:tcPr>
          <w:p>
            <w:pPr>
              <w:spacing w:after="0"/>
              <w:rPr>
                <w:sz w:val="9"/>
                <w:szCs w:val="9"/>
                <w:color w:val="auto"/>
              </w:rPr>
            </w:pPr>
          </w:p>
        </w:tc>
        <w:tc>
          <w:tcPr>
            <w:tcW w:w="66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shd w:val="clear" w:color="auto" w:fill="CBEBF4"/>
          </w:tcPr>
          <w:p>
            <w:pPr>
              <w:spacing w:after="0"/>
              <w:rPr>
                <w:sz w:val="9"/>
                <w:szCs w:val="9"/>
                <w:color w:val="auto"/>
              </w:rPr>
            </w:pPr>
          </w:p>
        </w:tc>
        <w:tc>
          <w:tcPr>
            <w:tcW w:w="140" w:type="dxa"/>
            <w:vAlign w:val="bottom"/>
            <w:shd w:val="clear" w:color="auto" w:fill="CBEBF4"/>
          </w:tcPr>
          <w:p>
            <w:pPr>
              <w:spacing w:after="0"/>
              <w:rPr>
                <w:sz w:val="9"/>
                <w:szCs w:val="9"/>
                <w:color w:val="auto"/>
              </w:rPr>
            </w:pPr>
          </w:p>
        </w:tc>
        <w:tc>
          <w:tcPr>
            <w:tcW w:w="720" w:type="dxa"/>
            <w:vAlign w:val="bottom"/>
            <w:shd w:val="clear" w:color="auto" w:fill="CBEBF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CBEBF4"/>
          </w:tcPr>
          <w:p>
            <w:pPr>
              <w:spacing w:after="0"/>
              <w:rPr>
                <w:sz w:val="9"/>
                <w:szCs w:val="9"/>
                <w:color w:val="auto"/>
              </w:rPr>
            </w:pPr>
          </w:p>
        </w:tc>
        <w:tc>
          <w:tcPr>
            <w:tcW w:w="700" w:type="dxa"/>
            <w:vAlign w:val="bottom"/>
            <w:shd w:val="clear" w:color="auto" w:fill="CBEBF4"/>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40" w:type="dxa"/>
            <w:vAlign w:val="bottom"/>
            <w:shd w:val="clear" w:color="auto" w:fill="CBEBF4"/>
          </w:tcPr>
          <w:p>
            <w:pPr>
              <w:ind w:left="100"/>
              <w:spacing w:after="0"/>
              <w:rPr>
                <w:sz w:val="20"/>
                <w:szCs w:val="20"/>
                <w:color w:val="auto"/>
              </w:rPr>
            </w:pPr>
            <w:r>
              <w:rPr>
                <w:rFonts w:ascii="Times New Roman" w:cs="Times New Roman" w:eastAsia="Times New Roman" w:hAnsi="Times New Roman"/>
                <w:sz w:val="12"/>
                <w:szCs w:val="12"/>
                <w:b w:val="1"/>
                <w:bCs w:val="1"/>
                <w:color w:val="auto"/>
              </w:rPr>
              <w:t>cash</w:t>
            </w: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3"/>
                <w:szCs w:val="13"/>
                <w:color w:val="auto"/>
              </w:rPr>
            </w:pPr>
          </w:p>
        </w:tc>
        <w:tc>
          <w:tcPr>
            <w:tcW w:w="880" w:type="dxa"/>
            <w:vAlign w:val="bottom"/>
            <w:gridSpan w:val="2"/>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BEBF4"/>
          </w:tcPr>
          <w:p>
            <w:pPr>
              <w:spacing w:after="0"/>
              <w:rPr>
                <w:sz w:val="13"/>
                <w:szCs w:val="13"/>
                <w:color w:val="auto"/>
              </w:rPr>
            </w:pPr>
          </w:p>
        </w:tc>
        <w:tc>
          <w:tcPr>
            <w:tcW w:w="840" w:type="dxa"/>
            <w:vAlign w:val="bottom"/>
            <w:gridSpan w:val="2"/>
            <w:shd w:val="clear" w:color="auto" w:fill="CBEBF4"/>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shd w:val="clear" w:color="auto" w:fill="CBEBF4"/>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shd w:val="clear" w:color="auto" w:fill="CBEBF4"/>
          </w:tcPr>
          <w:p>
            <w:pPr>
              <w:spacing w:after="0"/>
              <w:rPr>
                <w:sz w:val="13"/>
                <w:szCs w:val="13"/>
                <w:color w:val="auto"/>
              </w:rPr>
            </w:pPr>
          </w:p>
        </w:tc>
        <w:tc>
          <w:tcPr>
            <w:tcW w:w="72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00" w:type="dxa"/>
            <w:vAlign w:val="bottom"/>
            <w:shd w:val="clear" w:color="auto" w:fill="CBEBF4"/>
          </w:tcPr>
          <w:p>
            <w:pPr>
              <w:spacing w:after="0"/>
              <w:rPr>
                <w:sz w:val="13"/>
                <w:szCs w:val="13"/>
                <w:color w:val="auto"/>
              </w:rPr>
            </w:pPr>
          </w:p>
        </w:tc>
        <w:tc>
          <w:tcPr>
            <w:tcW w:w="700" w:type="dxa"/>
            <w:vAlign w:val="bottom"/>
            <w:shd w:val="clear" w:color="auto" w:fill="CBEBF4"/>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040" w:type="dxa"/>
            <w:vAlign w:val="bottom"/>
          </w:tcPr>
          <w:p>
            <w:pPr>
              <w:spacing w:after="0" w:line="130" w:lineRule="exact"/>
              <w:rPr>
                <w:sz w:val="20"/>
                <w:szCs w:val="20"/>
                <w:color w:val="auto"/>
              </w:rPr>
            </w:pPr>
            <w:r>
              <w:rPr>
                <w:rFonts w:ascii="Times New Roman" w:cs="Times New Roman" w:eastAsia="Times New Roman" w:hAnsi="Times New Roman"/>
                <w:sz w:val="12"/>
                <w:szCs w:val="12"/>
                <w:b w:val="1"/>
                <w:bCs w:val="1"/>
                <w:color w:val="auto"/>
              </w:rPr>
              <w:t>Cash - beginning of period</w:t>
            </w: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46,842</w:t>
            </w:r>
          </w:p>
        </w:tc>
        <w:tc>
          <w:tcPr>
            <w:tcW w:w="120" w:type="dxa"/>
            <w:vAlign w:val="bottom"/>
          </w:tcPr>
          <w:p>
            <w:pPr>
              <w:spacing w:after="0"/>
              <w:rPr>
                <w:sz w:val="11"/>
                <w:szCs w:val="11"/>
                <w:color w:val="auto"/>
              </w:rPr>
            </w:pPr>
          </w:p>
        </w:tc>
        <w:tc>
          <w:tcPr>
            <w:tcW w:w="840" w:type="dxa"/>
            <w:vAlign w:val="bottom"/>
            <w:gridSpan w:val="2"/>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46,842</w:t>
            </w:r>
          </w:p>
        </w:tc>
        <w:tc>
          <w:tcPr>
            <w:tcW w:w="20" w:type="dxa"/>
            <w:vAlign w:val="bottom"/>
          </w:tcPr>
          <w:p>
            <w:pPr>
              <w:spacing w:after="0"/>
              <w:rPr>
                <w:sz w:val="11"/>
                <w:szCs w:val="11"/>
                <w:color w:val="auto"/>
              </w:rPr>
            </w:pPr>
          </w:p>
        </w:tc>
        <w:tc>
          <w:tcPr>
            <w:tcW w:w="88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2"/>
                <w:szCs w:val="12"/>
                <w:color w:val="auto"/>
              </w:rPr>
              <w:t>46,842</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0"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46,842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46,842</w:t>
            </w:r>
          </w:p>
        </w:tc>
        <w:tc>
          <w:tcPr>
            <w:tcW w:w="14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46,842</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40" w:type="dxa"/>
            <w:vAlign w:val="bottom"/>
            <w:tcBorders>
              <w:top w:val="single" w:sz="8" w:color="CBEBF4"/>
            </w:tcBorders>
            <w:shd w:val="clear" w:color="auto" w:fill="CBEBF4"/>
          </w:tcPr>
          <w:p>
            <w:pPr>
              <w:spacing w:after="0" w:line="123" w:lineRule="exact"/>
              <w:rPr>
                <w:sz w:val="20"/>
                <w:szCs w:val="20"/>
                <w:color w:val="auto"/>
              </w:rPr>
            </w:pPr>
            <w:r>
              <w:rPr>
                <w:rFonts w:ascii="Times New Roman" w:cs="Times New Roman" w:eastAsia="Times New Roman" w:hAnsi="Times New Roman"/>
                <w:sz w:val="12"/>
                <w:szCs w:val="12"/>
                <w:b w:val="1"/>
                <w:bCs w:val="1"/>
                <w:color w:val="auto"/>
              </w:rPr>
              <w:t>Cash - end of period</w:t>
            </w:r>
          </w:p>
        </w:tc>
        <w:tc>
          <w:tcPr>
            <w:tcW w:w="20" w:type="dxa"/>
            <w:vAlign w:val="bottom"/>
          </w:tcPr>
          <w:p>
            <w:pPr>
              <w:spacing w:after="0"/>
              <w:rPr>
                <w:sz w:val="10"/>
                <w:szCs w:val="10"/>
                <w:color w:val="auto"/>
              </w:rPr>
            </w:pPr>
          </w:p>
        </w:tc>
        <w:tc>
          <w:tcPr>
            <w:tcW w:w="78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28,390</w:t>
            </w:r>
          </w:p>
        </w:tc>
        <w:tc>
          <w:tcPr>
            <w:tcW w:w="120" w:type="dxa"/>
            <w:vAlign w:val="bottom"/>
            <w:tcBorders>
              <w:top w:val="single" w:sz="8" w:color="CBEBF4"/>
            </w:tcBorders>
            <w:shd w:val="clear" w:color="auto" w:fill="CBEBF4"/>
          </w:tcPr>
          <w:p>
            <w:pPr>
              <w:spacing w:after="0"/>
              <w:rPr>
                <w:sz w:val="10"/>
                <w:szCs w:val="10"/>
                <w:color w:val="auto"/>
              </w:rPr>
            </w:pPr>
          </w:p>
        </w:tc>
        <w:tc>
          <w:tcPr>
            <w:tcW w:w="72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BEBF4"/>
            </w:tcBorders>
            <w:shd w:val="clear" w:color="auto" w:fill="CBEBF4"/>
          </w:tcPr>
          <w:p>
            <w:pPr>
              <w:spacing w:after="0"/>
              <w:rPr>
                <w:sz w:val="10"/>
                <w:szCs w:val="10"/>
                <w:color w:val="auto"/>
              </w:rPr>
            </w:pPr>
          </w:p>
        </w:tc>
        <w:tc>
          <w:tcPr>
            <w:tcW w:w="66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28,390</w:t>
            </w:r>
          </w:p>
        </w:tc>
        <w:tc>
          <w:tcPr>
            <w:tcW w:w="20" w:type="dxa"/>
            <w:vAlign w:val="bottom"/>
          </w:tcPr>
          <w:p>
            <w:pPr>
              <w:spacing w:after="0"/>
              <w:rPr>
                <w:sz w:val="10"/>
                <w:szCs w:val="10"/>
                <w:color w:val="auto"/>
              </w:rPr>
            </w:pPr>
          </w:p>
        </w:tc>
        <w:tc>
          <w:tcPr>
            <w:tcW w:w="120" w:type="dxa"/>
            <w:vAlign w:val="bottom"/>
            <w:tcBorders>
              <w:top w:val="single" w:sz="8" w:color="CBEBF4"/>
            </w:tcBorders>
            <w:shd w:val="clear" w:color="auto" w:fill="CBEBF4"/>
          </w:tcPr>
          <w:p>
            <w:pPr>
              <w:spacing w:after="0"/>
              <w:rPr>
                <w:sz w:val="10"/>
                <w:szCs w:val="10"/>
                <w:color w:val="auto"/>
              </w:rPr>
            </w:pPr>
          </w:p>
        </w:tc>
        <w:tc>
          <w:tcPr>
            <w:tcW w:w="76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20,006</w:t>
            </w:r>
          </w:p>
        </w:tc>
        <w:tc>
          <w:tcPr>
            <w:tcW w:w="120" w:type="dxa"/>
            <w:vAlign w:val="bottom"/>
            <w:tcBorders>
              <w:top w:val="single" w:sz="8" w:color="CBEBF4"/>
            </w:tcBorders>
            <w:shd w:val="clear" w:color="auto" w:fill="CBEBF4"/>
          </w:tcPr>
          <w:p>
            <w:pPr>
              <w:spacing w:after="0"/>
              <w:rPr>
                <w:sz w:val="10"/>
                <w:szCs w:val="10"/>
                <w:color w:val="auto"/>
              </w:rPr>
            </w:pPr>
          </w:p>
        </w:tc>
        <w:tc>
          <w:tcPr>
            <w:tcW w:w="72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BEBF4"/>
            </w:tcBorders>
            <w:shd w:val="clear" w:color="auto" w:fill="CBEBF4"/>
          </w:tcPr>
          <w:p>
            <w:pPr>
              <w:spacing w:after="0"/>
              <w:rPr>
                <w:sz w:val="10"/>
                <w:szCs w:val="10"/>
                <w:color w:val="auto"/>
              </w:rPr>
            </w:pPr>
          </w:p>
        </w:tc>
        <w:tc>
          <w:tcPr>
            <w:tcW w:w="66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20,006</w:t>
            </w:r>
          </w:p>
        </w:tc>
        <w:tc>
          <w:tcPr>
            <w:tcW w:w="140" w:type="dxa"/>
            <w:vAlign w:val="bottom"/>
            <w:tcBorders>
              <w:top w:val="single" w:sz="8" w:color="CBEBF4"/>
            </w:tcBorders>
            <w:shd w:val="clear" w:color="auto" w:fill="CBEBF4"/>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22,548</w:t>
            </w:r>
          </w:p>
        </w:tc>
        <w:tc>
          <w:tcPr>
            <w:tcW w:w="140" w:type="dxa"/>
            <w:vAlign w:val="bottom"/>
            <w:tcBorders>
              <w:top w:val="single" w:sz="8" w:color="CBEBF4"/>
            </w:tcBorders>
            <w:shd w:val="clear" w:color="auto" w:fill="CBEBF4"/>
          </w:tcPr>
          <w:p>
            <w:pPr>
              <w:spacing w:after="0"/>
              <w:rPr>
                <w:sz w:val="10"/>
                <w:szCs w:val="10"/>
                <w:color w:val="auto"/>
              </w:rPr>
            </w:pPr>
          </w:p>
        </w:tc>
        <w:tc>
          <w:tcPr>
            <w:tcW w:w="72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100" w:type="dxa"/>
            <w:vAlign w:val="bottom"/>
            <w:tcBorders>
              <w:top w:val="single" w:sz="8" w:color="CBEBF4"/>
            </w:tcBorders>
            <w:shd w:val="clear" w:color="auto" w:fill="CBEBF4"/>
          </w:tcPr>
          <w:p>
            <w:pPr>
              <w:spacing w:after="0"/>
              <w:rPr>
                <w:sz w:val="10"/>
                <w:szCs w:val="10"/>
                <w:color w:val="auto"/>
              </w:rPr>
            </w:pPr>
          </w:p>
        </w:tc>
        <w:tc>
          <w:tcPr>
            <w:tcW w:w="700" w:type="dxa"/>
            <w:vAlign w:val="bottom"/>
            <w:tcBorders>
              <w:top w:val="single" w:sz="8" w:color="auto"/>
              <w:bottom w:val="single" w:sz="8" w:color="auto"/>
            </w:tcBorders>
            <w:shd w:val="clear" w:color="auto" w:fill="CBEBF4"/>
          </w:tcPr>
          <w:p>
            <w:pPr>
              <w:jc w:val="right"/>
              <w:spacing w:after="0" w:line="123" w:lineRule="exact"/>
              <w:rPr>
                <w:sz w:val="20"/>
                <w:szCs w:val="20"/>
                <w:color w:val="auto"/>
              </w:rPr>
            </w:pPr>
            <w:r>
              <w:rPr>
                <w:rFonts w:ascii="Times New Roman" w:cs="Times New Roman" w:eastAsia="Times New Roman" w:hAnsi="Times New Roman"/>
                <w:sz w:val="12"/>
                <w:szCs w:val="12"/>
                <w:color w:val="auto"/>
              </w:rPr>
              <w:t>22,548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877" name="Shape 8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77" o:spid="_x0000_s19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66" w:name="page167"/>
    <w:bookmarkEnd w:id="166"/>
    <w:p>
      <w:pPr>
        <w:jc w:val="center"/>
        <w:ind w:right="-5"/>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78" name="Shape 8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78" o:spid="_x0000_s190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79" name="Shape 8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79" o:spid="_x0000_s190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80" name="Shape 8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80" o:spid="_x0000_s190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81" name="Shape 8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81" o:spid="_x0000_s190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the metals company Inc.</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06" w:hanging="306"/>
        <w:spacing w:after="0"/>
        <w:tabs>
          <w:tab w:leader="none" w:pos="306"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23"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Amendment to Credit Facility with Allseas Affiliate</w:t>
      </w:r>
    </w:p>
    <w:p>
      <w:pPr>
        <w:spacing w:after="0" w:line="217" w:lineRule="exact"/>
        <w:rPr>
          <w:rFonts w:ascii="Times New Roman" w:cs="Times New Roman" w:eastAsia="Times New Roman" w:hAnsi="Times New Roman"/>
          <w:sz w:val="17"/>
          <w:szCs w:val="17"/>
          <w:b w:val="1"/>
          <w:bCs w:val="1"/>
          <w:color w:val="auto"/>
        </w:rPr>
      </w:pPr>
    </w:p>
    <w:p>
      <w:pPr>
        <w:jc w:val="both"/>
        <w:ind w:left="306" w:firstLine="1"/>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22, 2024, the Company entered into the Second Amendment to the Unsecured Credit Facility with the Lender, the parent of Allseas Investments S.A. and an affiliate of Allseas, to extend the Credit Facility to August 31, 2025 and to provide that the underutilization fee thereunder shall cease to be payable after the date on which the Company or the Lender gives notice of termination of the agreement. Under the amended Credit Facility, the Company may borrow from the Lender up to $25,000,000 in the aggregate through August 31, 2025.</w:t>
      </w:r>
    </w:p>
    <w:p>
      <w:pPr>
        <w:spacing w:after="0" w:line="166" w:lineRule="exact"/>
        <w:rPr>
          <w:rFonts w:ascii="Times New Roman" w:cs="Times New Roman" w:eastAsia="Times New Roman" w:hAnsi="Times New Roman"/>
          <w:sz w:val="17"/>
          <w:szCs w:val="17"/>
          <w:b w:val="1"/>
          <w:bCs w:val="1"/>
          <w:color w:val="auto"/>
        </w:rPr>
      </w:pPr>
    </w:p>
    <w:p>
      <w:pPr>
        <w:ind w:left="306"/>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Credit Facility with ERAS Capital LLC and Gerard Barron</w:t>
      </w:r>
    </w:p>
    <w:p>
      <w:pPr>
        <w:spacing w:after="0" w:line="217" w:lineRule="exact"/>
        <w:rPr>
          <w:rFonts w:ascii="Times New Roman" w:cs="Times New Roman" w:eastAsia="Times New Roman" w:hAnsi="Times New Roman"/>
          <w:sz w:val="17"/>
          <w:szCs w:val="17"/>
          <w:b w:val="1"/>
          <w:bCs w:val="1"/>
          <w:color w:val="auto"/>
        </w:rPr>
      </w:pPr>
    </w:p>
    <w:p>
      <w:pPr>
        <w:jc w:val="both"/>
        <w:ind w:left="306"/>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22, 2024, the Company entered into an Unsecured Credit Facility (the “2024 Credit Facility”) with Gerard Barron, our Chief Executive Officer and Chairman, and ERAS Capital LLC, the family fund of our director, Andrei Karkar (collectively, the “2024 Lenders”), pursuant to which, the Company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Company or any of its subsidiaries raise at least $50,000,000 in the aggregate (i) through the issuance of any of the Company’s or its subsidiaries’ debt or equity securities, or (ii) in prepayments under an off-take agreement or similar commercial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360045</wp:posOffset>
                </wp:positionV>
                <wp:extent cx="6109970" cy="0"/>
                <wp:wrapNone/>
                <wp:docPr id="882" name="Shape 8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882" o:spid="_x0000_s19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35pt" to="480.85pt,28.35pt" o:allowincell="f" strokecolor="#000000" strokeweight="1.2956pt"/>
            </w:pict>
          </mc:Fallback>
        </mc:AlternateContent>
      </w:r>
    </w:p>
    <w:p>
      <w:pPr>
        <w:sectPr>
          <w:pgSz w:w="12240" w:h="15840" w:orient="portrait"/>
          <w:cols w:equalWidth="0" w:num="1">
            <w:col w:w="9606"/>
          </w:cols>
          <w:pgMar w:left="1314" w:top="1324" w:right="1320" w:bottom="1440" w:gutter="0" w:footer="0" w:header="0"/>
        </w:sectPr>
      </w:pPr>
    </w:p>
    <w:bookmarkStart w:id="167" w:name="page168"/>
    <w:bookmarkEnd w:id="167"/>
    <w:p>
      <w:pPr>
        <w:ind w:right="1040"/>
        <w:spacing w:after="0" w:line="307" w:lineRule="auto"/>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83" name="Shape 8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83" o:spid="_x0000_s19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84" name="Shape 8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84" o:spid="_x0000_s19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85" name="Shape 8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85" o:spid="_x0000_s19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86" name="Shape 8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86" o:spid="_x0000_s19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Item 9. CHANGES IN AND DISAGREEMENTS WITH ACCOUNTANTS ON ACCOUNTING AND FINANCIAL DISCLOSURE</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79"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 Based on this evaluation, our Chief Executive Officer and Chief Financial Officer concluded that our disclosure controls and procedures were not effective as of December 31, 2023, as a result of a material weakness in our internal control over financial reporting as described below.</w:t>
      </w:r>
    </w:p>
    <w:p>
      <w:pPr>
        <w:spacing w:after="0" w:line="13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26"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light of the material weakness in our internal control over financial reporting, we performed additional procedures to ensure that our consolidated financial statements included in this Annual Report were prepared in accordance with U.S. GAAP. Following such additional procedures, our management, including our principal executive officer and principal financial officer, has concluded that our consolidated financial statements present fairly, in all material respects, our financial position, results of operations and cash flows for the periods presented in this Annual Report, in conformity with U.S. GAAP.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19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Internal control over financial reporting is defined in Rules 13a-15(f) and 15d-15(f) under the Securities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The company’s internal control over financial reporting includes those policies and procedures that:</w:t>
      </w:r>
    </w:p>
    <w:p>
      <w:pPr>
        <w:spacing w:after="0" w:line="127" w:lineRule="exact"/>
        <w:rPr>
          <w:sz w:val="20"/>
          <w:szCs w:val="20"/>
          <w:color w:val="auto"/>
        </w:rPr>
      </w:pPr>
    </w:p>
    <w:p>
      <w:pPr>
        <w:ind w:left="640" w:hanging="309"/>
        <w:spacing w:after="0" w:line="298" w:lineRule="auto"/>
        <w:tabs>
          <w:tab w:leader="none" w:pos="640" w:val="left"/>
        </w:tabs>
        <w:numPr>
          <w:ilvl w:val="0"/>
          <w:numId w:val="85"/>
        </w:numPr>
        <w:rPr>
          <w:rFonts w:ascii="Arial" w:cs="Arial" w:eastAsia="Arial" w:hAnsi="Arial"/>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96" w:lineRule="exact"/>
        <w:rPr>
          <w:rFonts w:ascii="Arial" w:cs="Arial" w:eastAsia="Arial" w:hAnsi="Arial"/>
          <w:sz w:val="17"/>
          <w:szCs w:val="17"/>
          <w:color w:val="auto"/>
        </w:rPr>
      </w:pPr>
    </w:p>
    <w:p>
      <w:pPr>
        <w:jc w:val="both"/>
        <w:ind w:left="640" w:hanging="309"/>
        <w:spacing w:after="0" w:line="276" w:lineRule="auto"/>
        <w:tabs>
          <w:tab w:leader="none" w:pos="640" w:val="left"/>
        </w:tabs>
        <w:numPr>
          <w:ilvl w:val="0"/>
          <w:numId w:val="85"/>
        </w:numPr>
        <w:rPr>
          <w:rFonts w:ascii="Arial" w:cs="Arial" w:eastAsia="Arial" w:hAnsi="Arial"/>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28" w:lineRule="exact"/>
        <w:rPr>
          <w:rFonts w:ascii="Arial" w:cs="Arial" w:eastAsia="Arial" w:hAnsi="Arial"/>
          <w:sz w:val="17"/>
          <w:szCs w:val="17"/>
          <w:color w:val="auto"/>
        </w:rPr>
      </w:pPr>
    </w:p>
    <w:p>
      <w:pPr>
        <w:ind w:left="640" w:hanging="309"/>
        <w:spacing w:after="0" w:line="298" w:lineRule="auto"/>
        <w:tabs>
          <w:tab w:leader="none" w:pos="640" w:val="left"/>
        </w:tabs>
        <w:numPr>
          <w:ilvl w:val="0"/>
          <w:numId w:val="85"/>
        </w:numPr>
        <w:rPr>
          <w:rFonts w:ascii="Arial" w:cs="Arial" w:eastAsia="Arial" w:hAnsi="Arial"/>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9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As of December 31, 2023,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(2013) issued by the Committee of Sponsoring Organizations of the Treadway Commission. Based on this assessment, management concluded that our internal control over financial reporting was not effective as management identified a material weakness in our internal control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ectPr>
          <w:pgSz w:w="12240" w:h="15840" w:orient="portrait"/>
          <w:cols w:equalWidth="0" w:num="1">
            <w:col w:w="9600"/>
          </w:cols>
          <w:pgMar w:left="1320" w:top="1324" w:right="1320"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371475</wp:posOffset>
                </wp:positionV>
                <wp:extent cx="6109970" cy="0"/>
                <wp:wrapNone/>
                <wp:docPr id="887" name="Shape 8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887" o:spid="_x0000_s19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9.25pt" to="480.55pt,29.25pt" o:allowincell="f" strokecolor="#000000" strokeweight="1.9434pt"/>
            </w:pict>
          </mc:Fallback>
        </mc:AlternateContent>
      </w:r>
    </w:p>
    <w:p>
      <w:pPr>
        <w:sectPr>
          <w:pgSz w:w="12240" w:h="15840" w:orient="portrait"/>
          <w:cols w:equalWidth="0" w:num="1">
            <w:col w:w="9600"/>
          </w:cols>
          <w:pgMar w:left="1320" w:top="1324" w:right="1320" w:bottom="1440" w:gutter="0" w:footer="0" w:header="0"/>
          <w:type w:val="continuous"/>
        </w:sectPr>
      </w:pPr>
    </w:p>
    <w:bookmarkStart w:id="168" w:name="page169"/>
    <w:bookmarkEnd w:id="168"/>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88" name="Shape 8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88" o:spid="_x0000_s19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89" name="Shape 8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89" o:spid="_x0000_s19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90" name="Shape 8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90" o:spid="_x0000_s191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91" name="Shape 8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91" o:spid="_x0000_s191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This material weakness resulted in errors in the financial statements and related disclosures in our Quarterly Reports on Form 10-Q for the quarter ended March 31, 2023, and for the six months ended June 30, 2023 and nine months ended September 30, 2023. The cumulative errors in the three periods were made by management in the financial statements as of and for the year ended December 31, 2023 included in this Annual Report, and as such, had no impact on our annual audited financial statements for the year ended December 31, 2023 included in this Annual Report. See Note 22 to the audited consolidated financial statements for the year ended December 31, 2023 included elsewhere in this Annual Report for more information about these changes.</w:t>
      </w:r>
    </w:p>
    <w:p>
      <w:pPr>
        <w:spacing w:after="0" w:line="16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order to remediate this material weakness, we are in the process of developing and rolling out training on processes and controls related to non-routine transactions and evaluating the circumstances under which we use technical advisors in connections with evaluating non-routine transactions. We are also considering engaging the assistance of additional third-party resources as deemed appropriate to assist management in its remediation efforts.</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Our internal control over significant non-routine transactions need to be in operation and tested for sufficient instances to be considered effective. Consequently, the controls for non-routine transactions were ineffective as of December 31, 2023.</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Notwithstanding our material weakness, we have concluded that the financial statements and other financial information included in this Annual Report fairly present in all material respects our financial condition, results of operations and cash flows for the periods presented in conformity with U.S. GAAP.</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Except as noted above, there were no changes in our internal control over financial reporting identified in connection with the evaluation of such internal controls that occurred during the fourth quarter of the year ended December 31, 2023 that have materially affected, or are reasonably likely to materially affect, our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Effectiveness of Disclosure Controls and Procedures</w:t>
      </w:r>
    </w:p>
    <w:p>
      <w:pPr>
        <w:spacing w:after="0" w:line="218"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Amendment to Credit Facility with Allseas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March 22, 2024, we entered into the Second Amendment to the Unsecured Credit Facility with Argentum Credit Virtuti GCV (the “Lender”), the parent of Allseas Investments S.A. and an affiliate of Allseas, to extend the credit facility to August 31, 2025 and to provide that the underutilization fee thereunder shall cease to be payable after the date on which we or the Lender gives notice of termination of the agreement. Under the amended credit facility, we may borrow from the Lender up to $25,000,000 in the aggregate through August 31, 2025. The foregoing description of the amendment to the Credit Facility does not purport to be a complete description of the rights and obligations of the parties thereunder and is qualified in its entirety by reference to the full text of the amendment to the Credit Facility attached as Exhibit 10.33 to this Annual Report and incorporated herein by reference.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892" name="Shape 8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892" o:spid="_x0000_s19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47pt"/>
            </w:pict>
          </mc:Fallback>
        </mc:AlternateContent>
      </w:r>
    </w:p>
    <w:p>
      <w:pPr>
        <w:sectPr>
          <w:pgSz w:w="12240" w:h="15840" w:orient="portrait"/>
          <w:cols w:equalWidth="0" w:num="1">
            <w:col w:w="9600"/>
          </w:cols>
          <w:pgMar w:left="1320" w:top="1327" w:right="132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i w:val="1"/>
          <w:i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93" name="Shape 8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93" o:spid="_x0000_s191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94" name="Shape 8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94" o:spid="_x0000_s191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895" name="Shape 8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95" o:spid="_x0000_s19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896" name="Shape 8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96" o:spid="_x0000_s19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Credit Facility with ERAS Capital LLC and Gerard Barron</w:t>
      </w:r>
    </w:p>
    <w:p>
      <w:pPr>
        <w:spacing w:after="0" w:line="218"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 of our or our subsidiaries’ debt or equity securities, or (ii) in prepayments under an off-take agreement or similar commercial agreement. The foregoing description of the 2024 Credit Facility does not purport to be a complete description of the rights and obligations of the parties thereunder and is qualified in its entirety by reference to the full text of the 2024 Credit Facility attached as Exhibit 10.34 to this Annual Report and incorporated herein by reference.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Arrangements</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During the fiscal quarter ended December 31, 2023,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None.</w:t>
      </w: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10.DIRECTORS, EXECUTIVE OFFICERS AND CORPORATE GOVERNANCE</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captions “Management and Corporate Governance,” “Code of Business Conduct and Ethics” and “Delinquent Section 16(a) Reports” in the Company’s proxy statement for the 2024 annual meeting of shareholders (the “Proxy Statement”).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caption “Executive Officer and Director Compensation” in the Proxy Statement.</w:t>
      </w:r>
    </w:p>
    <w:p>
      <w:pPr>
        <w:spacing w:after="0" w:line="134" w:lineRule="exact"/>
        <w:rPr>
          <w:sz w:val="20"/>
          <w:szCs w:val="20"/>
          <w:color w:val="auto"/>
        </w:rPr>
      </w:pPr>
    </w:p>
    <w:p>
      <w:pPr>
        <w:ind w:right="900"/>
        <w:spacing w:after="0" w:line="307" w:lineRule="auto"/>
        <w:rPr>
          <w:sz w:val="20"/>
          <w:szCs w:val="20"/>
          <w:color w:val="auto"/>
        </w:rPr>
      </w:pPr>
      <w:r>
        <w:rPr>
          <w:rFonts w:ascii="Times New Roman" w:cs="Times New Roman" w:eastAsia="Times New Roman" w:hAnsi="Times New Roman"/>
          <w:sz w:val="17"/>
          <w:szCs w:val="17"/>
          <w:b w:val="1"/>
          <w:bCs w:val="1"/>
          <w:color w:val="auto"/>
        </w:rPr>
        <w:t>Item 12.SECURITY OWNERSHIP OF CERTAIN BENEFICIAL OWNERS AND MANAGEMENT AND RELATED STOCKHOLDER MATTERS</w:t>
      </w:r>
    </w:p>
    <w:p>
      <w:pPr>
        <w:spacing w:after="0" w:line="125"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captions “Security Ownership of Certain Beneficial Owners and Management” and “Equity Compensation Plan Information” in the Proxy Statement.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13.CERTAIN RELATIONSHIPS AND RELATED TRANSACTIONS, AND DIRECTOR INDEPENDENCE</w:t>
      </w:r>
    </w:p>
    <w:p>
      <w:pPr>
        <w:spacing w:after="0" w:line="222"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captions “Certain Relationships and Related Person Transactions” and “Management and Corporate Governance” in the Proxy Statement.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897" name="Shape 8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629">
                          <a:solidFill>
                            <a:srgbClr val="000000"/>
                          </a:solidFill>
                          <a:miter lim="800000"/>
                          <a:headEnd/>
                          <a:tailEnd/>
                        </a:ln>
                      </wps:spPr>
                      <wps:bodyPr/>
                    </wps:wsp>
                  </a:graphicData>
                </a:graphic>
              </wp:anchor>
            </w:drawing>
          </mc:Choice>
          <mc:Fallback>
            <w:pict>
              <v:line id="Shape 897" o:spid="_x0000_s19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3094pt"/>
            </w:pict>
          </mc:Fallback>
        </mc:AlternateContent>
      </w:r>
    </w:p>
    <w:p>
      <w:pPr>
        <w:sectPr>
          <w:pgSz w:w="12240" w:h="15840" w:orient="portrait"/>
          <w:cols w:equalWidth="0" w:num="1">
            <w:col w:w="9600"/>
          </w:cols>
          <w:pgMar w:left="1320" w:top="1328" w:right="1320"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898" name="Shape 8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898" o:spid="_x0000_s192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899" name="Shape 8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899" o:spid="_x0000_s192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00" name="Shape 9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00" o:spid="_x0000_s192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01" name="Shape 9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01" o:spid="_x0000_s19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Item 14.PRINCIPAL ACCOUNTANT FEES AND SERVICES</w:t>
      </w:r>
    </w:p>
    <w:p>
      <w:pPr>
        <w:spacing w:after="0" w:line="183"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The response to this item is incorporated by reference from the discussion responsive thereto under the caption “Appointment of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363855</wp:posOffset>
                </wp:positionV>
                <wp:extent cx="6109970" cy="0"/>
                <wp:wrapNone/>
                <wp:docPr id="902" name="Shape 9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81">
                          <a:solidFill>
                            <a:srgbClr val="000000"/>
                          </a:solidFill>
                          <a:miter lim="800000"/>
                          <a:headEnd/>
                          <a:tailEnd/>
                        </a:ln>
                      </wps:spPr>
                      <wps:bodyPr/>
                    </wps:wsp>
                  </a:graphicData>
                </a:graphic>
              </wp:anchor>
            </w:drawing>
          </mc:Choice>
          <mc:Fallback>
            <w:pict>
              <v:line id="Shape 902" o:spid="_x0000_s19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65pt" to="480.55pt,28.65pt" o:allowincell="f" strokecolor="#000000" strokeweight="1.9434pt"/>
            </w:pict>
          </mc:Fallback>
        </mc:AlternateContent>
      </w:r>
    </w:p>
    <w:p>
      <w:pPr>
        <w:sectPr>
          <w:pgSz w:w="12240" w:h="15840" w:orient="portrait"/>
          <w:cols w:equalWidth="0" w:num="1">
            <w:col w:w="9600"/>
          </w:cols>
          <w:pgMar w:left="1320" w:top="1324" w:right="1320" w:bottom="1440" w:gutter="0" w:footer="0" w:header="0"/>
        </w:sectPr>
      </w:pPr>
    </w:p>
    <w:bookmarkStart w:id="171" w:name="page172"/>
    <w:bookmarkEnd w:id="171"/>
    <w:p>
      <w:pPr>
        <w:jc w:val="right"/>
        <w:ind w:right="448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03" name="Shape 9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03" o:spid="_x0000_s19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04" name="Shape 9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04" o:spid="_x0000_s19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05" name="Shape 9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05" o:spid="_x0000_s19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06" name="Shape 9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06" o:spid="_x0000_s193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PART IV</w:t>
      </w:r>
    </w:p>
    <w:p>
      <w:pPr>
        <w:spacing w:after="0" w:line="219"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17"/>
          <w:szCs w:val="17"/>
          <w:b w:val="1"/>
          <w:bCs w:val="1"/>
          <w:color w:val="auto"/>
        </w:rPr>
        <w:t>Item 15.EXHIBITS AND FINANCIAL STATEMENT SCHEDULES</w:t>
      </w:r>
    </w:p>
    <w:p>
      <w:pPr>
        <w:spacing w:after="0" w:line="219" w:lineRule="exact"/>
        <w:rPr>
          <w:sz w:val="20"/>
          <w:szCs w:val="20"/>
          <w:color w:val="auto"/>
        </w:rPr>
      </w:pPr>
    </w:p>
    <w:p>
      <w:pPr>
        <w:ind w:left="620" w:hanging="295"/>
        <w:spacing w:after="0"/>
        <w:tabs>
          <w:tab w:leader="none" w:pos="62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Statements.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“Index to Financial Statements and Financial Statement Schedules” under Part II, Item 8 to this Annual Report.</w:t>
      </w:r>
    </w:p>
    <w:p>
      <w:pPr>
        <w:spacing w:after="0" w:line="217" w:lineRule="exact"/>
        <w:rPr>
          <w:sz w:val="20"/>
          <w:szCs w:val="20"/>
          <w:color w:val="auto"/>
        </w:rPr>
      </w:pPr>
    </w:p>
    <w:p>
      <w:pPr>
        <w:ind w:left="620" w:hanging="295"/>
        <w:spacing w:after="0"/>
        <w:tabs>
          <w:tab w:leader="none" w:pos="62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Statement Schedules.</w:t>
      </w:r>
    </w:p>
    <w:p>
      <w:pPr>
        <w:spacing w:after="0" w:line="222" w:lineRule="exact"/>
        <w:rPr>
          <w:sz w:val="20"/>
          <w:szCs w:val="20"/>
          <w:color w:val="auto"/>
        </w:rPr>
      </w:pPr>
    </w:p>
    <w:p>
      <w:pPr>
        <w:ind w:left="20" w:right="20" w:firstLine="311"/>
        <w:spacing w:after="0" w:line="298" w:lineRule="auto"/>
        <w:rPr>
          <w:sz w:val="20"/>
          <w:szCs w:val="20"/>
          <w:color w:val="auto"/>
        </w:rPr>
      </w:pPr>
      <w:r>
        <w:rPr>
          <w:rFonts w:ascii="Times New Roman" w:cs="Times New Roman" w:eastAsia="Times New Roman" w:hAnsi="Times New Roman"/>
          <w:sz w:val="17"/>
          <w:szCs w:val="17"/>
          <w:color w:val="auto"/>
        </w:rPr>
        <w:t>Financial Statement schedules have not been included because they are not applicable or the information is included in the financial statements or notes thereto.</w:t>
      </w:r>
    </w:p>
    <w:p>
      <w:pPr>
        <w:spacing w:after="0" w:line="134" w:lineRule="exact"/>
        <w:rPr>
          <w:sz w:val="20"/>
          <w:szCs w:val="20"/>
          <w:color w:val="auto"/>
        </w:rPr>
      </w:pPr>
    </w:p>
    <w:p>
      <w:pPr>
        <w:ind w:left="620" w:hanging="295"/>
        <w:spacing w:after="0"/>
        <w:tabs>
          <w:tab w:leader="none" w:pos="62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Exhibits.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2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920" w:type="dxa"/>
            <w:vAlign w:val="bottom"/>
            <w:tcBorders>
              <w:top w:val="single" w:sz="8" w:color="auto"/>
            </w:tcBorders>
          </w:tcPr>
          <w:p>
            <w:pPr>
              <w:spacing w:after="0"/>
              <w:rPr>
                <w:sz w:val="18"/>
                <w:szCs w:val="18"/>
                <w:color w:val="auto"/>
              </w:rPr>
            </w:pPr>
          </w:p>
        </w:tc>
        <w:tc>
          <w:tcPr>
            <w:tcW w:w="16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Incorporated by</w:t>
            </w:r>
          </w:p>
        </w:tc>
        <w:tc>
          <w:tcPr>
            <w:tcW w:w="98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Reference</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with</w:t>
            </w: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w w:val="99"/>
              </w:rPr>
              <w:t>herein from</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w:t>
            </w:r>
          </w:p>
        </w:tc>
        <w:tc>
          <w:tcPr>
            <w:tcW w:w="0" w:type="dxa"/>
            <w:vAlign w:val="bottom"/>
          </w:tcPr>
          <w:p>
            <w:pPr>
              <w:spacing w:after="0"/>
              <w:rPr>
                <w:sz w:val="1"/>
                <w:szCs w:val="1"/>
                <w:color w:val="auto"/>
              </w:rPr>
            </w:pPr>
          </w:p>
        </w:tc>
      </w:tr>
      <w:tr>
        <w:trPr>
          <w:trHeight w:val="195"/>
        </w:trPr>
        <w:tc>
          <w:tcPr>
            <w:tcW w:w="920" w:type="dxa"/>
            <w:vAlign w:val="bottom"/>
            <w:tcBorders>
              <w:left w:val="single" w:sz="8" w:color="auto"/>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8"/>
              </w:rPr>
              <w:t>this</w:t>
            </w: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Form or</w:t>
            </w:r>
          </w:p>
        </w:tc>
        <w:tc>
          <w:tcPr>
            <w:tcW w:w="9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File/Reg.</w:t>
            </w:r>
          </w:p>
        </w:tc>
        <w:tc>
          <w:tcPr>
            <w:tcW w:w="0" w:type="dxa"/>
            <w:vAlign w:val="bottom"/>
          </w:tcPr>
          <w:p>
            <w:pPr>
              <w:spacing w:after="0"/>
              <w:rPr>
                <w:sz w:val="1"/>
                <w:szCs w:val="1"/>
                <w:color w:val="auto"/>
              </w:rPr>
            </w:pPr>
          </w:p>
        </w:tc>
      </w:tr>
      <w:tr>
        <w:trPr>
          <w:trHeight w:val="247"/>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80" w:type="dxa"/>
            <w:vAlign w:val="bottom"/>
            <w:tcBorders>
              <w:bottom w:val="single" w:sz="8" w:color="auto"/>
              <w:right w:val="single" w:sz="8" w:color="auto"/>
            </w:tcBorders>
            <w:gridSpan w:val="2"/>
          </w:tcPr>
          <w:p>
            <w:pPr>
              <w:jc w:val="right"/>
              <w:ind w:right="122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Report</w:t>
            </w: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Schedule</w:t>
            </w:r>
          </w:p>
        </w:tc>
        <w:tc>
          <w:tcPr>
            <w:tcW w:w="98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w w:val="99"/>
              </w:rPr>
              <w:t>Filing Date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BEBF4"/>
          </w:tcPr>
          <w:p>
            <w:pPr>
              <w:spacing w:after="0"/>
              <w:rPr>
                <w:sz w:val="15"/>
                <w:szCs w:val="15"/>
                <w:color w:val="auto"/>
              </w:rPr>
            </w:pPr>
          </w:p>
        </w:tc>
        <w:tc>
          <w:tcPr>
            <w:tcW w:w="386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Business Combination Agreement, dated as of</w:t>
            </w:r>
          </w:p>
        </w:tc>
        <w:tc>
          <w:tcPr>
            <w:tcW w:w="72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w w:val="99"/>
              </w:rPr>
              <w:t>3/4/2021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386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March 4, 2021, by and among Sustainable</w:t>
            </w:r>
          </w:p>
        </w:tc>
        <w:tc>
          <w:tcPr>
            <w:tcW w:w="72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94"/>
              <w:spacing w:after="0"/>
              <w:rPr>
                <w:sz w:val="20"/>
                <w:szCs w:val="20"/>
                <w:color w:val="auto"/>
              </w:rPr>
            </w:pPr>
            <w:r>
              <w:rPr>
                <w:rFonts w:ascii="Times New Roman" w:cs="Times New Roman" w:eastAsia="Times New Roman" w:hAnsi="Times New Roman"/>
                <w:sz w:val="17"/>
                <w:szCs w:val="17"/>
                <w:color w:val="auto"/>
              </w:rPr>
              <w:t>(Exhibit 2.1)</w:t>
            </w:r>
          </w:p>
        </w:tc>
        <w:tc>
          <w:tcPr>
            <w:tcW w:w="98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386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Opportunities Acquisition Corp., 1291924 B.C.</w:t>
            </w:r>
          </w:p>
        </w:tc>
        <w:tc>
          <w:tcPr>
            <w:tcW w:w="72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8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386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Unlimited Liability Company and DeepGreen</w:t>
            </w:r>
          </w:p>
        </w:tc>
        <w:tc>
          <w:tcPr>
            <w:tcW w:w="72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8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80" w:type="dxa"/>
            <w:vAlign w:val="bottom"/>
            <w:tcBorders>
              <w:bottom w:val="single" w:sz="8" w:color="auto"/>
            </w:tcBorders>
            <w:shd w:val="clear" w:color="auto" w:fill="CBEBF4"/>
          </w:tcPr>
          <w:p>
            <w:pPr>
              <w:spacing w:after="0"/>
              <w:rPr>
                <w:sz w:val="20"/>
                <w:szCs w:val="20"/>
                <w:color w:val="auto"/>
              </w:rPr>
            </w:pPr>
          </w:p>
        </w:tc>
        <w:tc>
          <w:tcPr>
            <w:tcW w:w="3860" w:type="dxa"/>
            <w:vAlign w:val="bottom"/>
            <w:tcBorders>
              <w:bottom w:val="single" w:sz="8" w:color="auto"/>
              <w:right w:val="single" w:sz="8" w:color="auto"/>
            </w:tcBorders>
            <w:gridSpan w:val="4"/>
            <w:shd w:val="clear" w:color="auto" w:fill="CBEBF4"/>
          </w:tcPr>
          <w:p>
            <w:pPr>
              <w:spacing w:after="0" w:line="193" w:lineRule="exact"/>
              <w:rPr>
                <w:sz w:val="20"/>
                <w:szCs w:val="20"/>
                <w:color w:val="auto"/>
              </w:rPr>
            </w:pPr>
            <w:r>
              <w:rPr>
                <w:rFonts w:ascii="Times New Roman" w:cs="Times New Roman" w:eastAsia="Times New Roman" w:hAnsi="Times New Roman"/>
                <w:sz w:val="17"/>
                <w:szCs w:val="17"/>
                <w:color w:val="auto"/>
              </w:rPr>
              <w:t>Metals Inc.</w:t>
            </w:r>
          </w:p>
        </w:tc>
        <w:tc>
          <w:tcPr>
            <w:tcW w:w="72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8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5"/>
                <w:szCs w:val="15"/>
                <w:color w:val="auto"/>
              </w:rPr>
            </w:pPr>
          </w:p>
        </w:tc>
        <w:tc>
          <w:tcPr>
            <w:tcW w:w="386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Notice of Articles of TMC the metals company Inc.</w:t>
            </w:r>
          </w:p>
        </w:tc>
        <w:tc>
          <w:tcPr>
            <w:tcW w:w="7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(Exhibit 3.1)</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3.2</w:t>
            </w:r>
          </w:p>
        </w:tc>
        <w:tc>
          <w:tcPr>
            <w:tcW w:w="180" w:type="dxa"/>
            <w:vAlign w:val="bottom"/>
            <w:shd w:val="clear" w:color="auto" w:fill="CBEBF4"/>
          </w:tcPr>
          <w:p>
            <w:pPr>
              <w:spacing w:after="0"/>
              <w:rPr>
                <w:sz w:val="15"/>
                <w:szCs w:val="15"/>
                <w:color w:val="auto"/>
              </w:rPr>
            </w:pPr>
          </w:p>
        </w:tc>
        <w:tc>
          <w:tcPr>
            <w:tcW w:w="386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Articles of TMC the metals company Inc.</w:t>
            </w:r>
          </w:p>
        </w:tc>
        <w:tc>
          <w:tcPr>
            <w:tcW w:w="72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32"/>
        </w:trPr>
        <w:tc>
          <w:tcPr>
            <w:tcW w:w="92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80" w:type="dxa"/>
            <w:vAlign w:val="bottom"/>
            <w:tcBorders>
              <w:bottom w:val="single" w:sz="8" w:color="auto"/>
            </w:tcBorders>
            <w:shd w:val="clear" w:color="auto" w:fill="CBEBF4"/>
          </w:tcPr>
          <w:p>
            <w:pPr>
              <w:spacing w:after="0"/>
              <w:rPr>
                <w:sz w:val="20"/>
                <w:szCs w:val="20"/>
                <w:color w:val="auto"/>
              </w:rPr>
            </w:pPr>
          </w:p>
        </w:tc>
        <w:tc>
          <w:tcPr>
            <w:tcW w:w="740" w:type="dxa"/>
            <w:vAlign w:val="bottom"/>
            <w:tcBorders>
              <w:bottom w:val="single" w:sz="8" w:color="auto"/>
            </w:tcBorders>
            <w:shd w:val="clear" w:color="auto" w:fill="CBEBF4"/>
          </w:tcPr>
          <w:p>
            <w:pPr>
              <w:spacing w:after="0"/>
              <w:rPr>
                <w:sz w:val="20"/>
                <w:szCs w:val="20"/>
                <w:color w:val="auto"/>
              </w:rPr>
            </w:pPr>
          </w:p>
        </w:tc>
        <w:tc>
          <w:tcPr>
            <w:tcW w:w="40" w:type="dxa"/>
            <w:vAlign w:val="bottom"/>
            <w:tcBorders>
              <w:bottom w:val="single" w:sz="8" w:color="auto"/>
            </w:tcBorders>
            <w:shd w:val="clear" w:color="auto" w:fill="CBEBF4"/>
          </w:tcPr>
          <w:p>
            <w:pPr>
              <w:spacing w:after="0"/>
              <w:rPr>
                <w:sz w:val="20"/>
                <w:szCs w:val="20"/>
                <w:color w:val="auto"/>
              </w:rPr>
            </w:pPr>
          </w:p>
        </w:tc>
        <w:tc>
          <w:tcPr>
            <w:tcW w:w="2920" w:type="dxa"/>
            <w:vAlign w:val="bottom"/>
            <w:tcBorders>
              <w:bottom w:val="single" w:sz="8" w:color="auto"/>
            </w:tcBorders>
            <w:shd w:val="clear" w:color="auto" w:fill="CBEBF4"/>
          </w:tcPr>
          <w:p>
            <w:pPr>
              <w:spacing w:after="0"/>
              <w:rPr>
                <w:sz w:val="20"/>
                <w:szCs w:val="20"/>
                <w:color w:val="auto"/>
              </w:rPr>
            </w:pPr>
          </w:p>
        </w:tc>
        <w:tc>
          <w:tcPr>
            <w:tcW w:w="160" w:type="dxa"/>
            <w:vAlign w:val="bottom"/>
            <w:tcBorders>
              <w:bottom w:val="single" w:sz="8" w:color="auto"/>
              <w:right w:val="single" w:sz="8" w:color="auto"/>
            </w:tcBorders>
            <w:shd w:val="clear" w:color="auto" w:fill="CBEBF4"/>
          </w:tcPr>
          <w:p>
            <w:pPr>
              <w:spacing w:after="0"/>
              <w:rPr>
                <w:sz w:val="20"/>
                <w:szCs w:val="20"/>
                <w:color w:val="auto"/>
              </w:rPr>
            </w:pPr>
          </w:p>
        </w:tc>
        <w:tc>
          <w:tcPr>
            <w:tcW w:w="72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94"/>
              <w:spacing w:after="0"/>
              <w:rPr>
                <w:sz w:val="20"/>
                <w:szCs w:val="20"/>
                <w:color w:val="auto"/>
              </w:rPr>
            </w:pPr>
            <w:r>
              <w:rPr>
                <w:rFonts w:ascii="Times New Roman" w:cs="Times New Roman" w:eastAsia="Times New Roman" w:hAnsi="Times New Roman"/>
                <w:sz w:val="17"/>
                <w:szCs w:val="17"/>
                <w:color w:val="auto"/>
              </w:rPr>
              <w:t>(Exhibit 3.2)</w:t>
            </w:r>
          </w:p>
        </w:tc>
        <w:tc>
          <w:tcPr>
            <w:tcW w:w="98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Description of Securities</w:t>
            </w:r>
          </w:p>
        </w:tc>
        <w:tc>
          <w:tcPr>
            <w:tcW w:w="7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920" w:type="dxa"/>
            <w:vAlign w:val="bottom"/>
            <w:tcBorders>
              <w:left w:val="single" w:sz="8" w:color="auto"/>
              <w:right w:val="single" w:sz="8" w:color="auto"/>
            </w:tcBorders>
            <w:shd w:val="clear" w:color="auto" w:fill="CBEBF4"/>
          </w:tcPr>
          <w:p>
            <w:pPr>
              <w:ind w:left="40"/>
              <w:spacing w:after="0" w:line="177" w:lineRule="exact"/>
              <w:rPr>
                <w:sz w:val="20"/>
                <w:szCs w:val="20"/>
                <w:color w:val="auto"/>
              </w:rPr>
            </w:pPr>
            <w:r>
              <w:rPr>
                <w:rFonts w:ascii="Times New Roman" w:cs="Times New Roman" w:eastAsia="Times New Roman" w:hAnsi="Times New Roman"/>
                <w:sz w:val="17"/>
                <w:szCs w:val="17"/>
                <w:color w:val="auto"/>
              </w:rPr>
              <w:t>4.2</w:t>
            </w:r>
          </w:p>
        </w:tc>
        <w:tc>
          <w:tcPr>
            <w:tcW w:w="180" w:type="dxa"/>
            <w:vAlign w:val="bottom"/>
            <w:shd w:val="clear" w:color="auto" w:fill="CBEBF4"/>
          </w:tcPr>
          <w:p>
            <w:pPr>
              <w:spacing w:after="0"/>
              <w:rPr>
                <w:sz w:val="15"/>
                <w:szCs w:val="15"/>
                <w:color w:val="auto"/>
              </w:rPr>
            </w:pPr>
          </w:p>
        </w:tc>
        <w:tc>
          <w:tcPr>
            <w:tcW w:w="3860" w:type="dxa"/>
            <w:vAlign w:val="bottom"/>
            <w:tcBorders>
              <w:right w:val="single" w:sz="8" w:color="auto"/>
            </w:tcBorders>
            <w:gridSpan w:val="4"/>
            <w:shd w:val="clear" w:color="auto" w:fill="CBEBF4"/>
          </w:tcPr>
          <w:p>
            <w:pPr>
              <w:spacing w:after="0" w:line="177" w:lineRule="exact"/>
              <w:rPr>
                <w:sz w:val="20"/>
                <w:szCs w:val="20"/>
                <w:color w:val="auto"/>
              </w:rPr>
            </w:pPr>
            <w:r>
              <w:rPr>
                <w:rFonts w:ascii="Times New Roman" w:cs="Times New Roman" w:eastAsia="Times New Roman" w:hAnsi="Times New Roman"/>
                <w:sz w:val="17"/>
                <w:szCs w:val="17"/>
                <w:u w:val="single" w:color="auto"/>
                <w:color w:val="auto"/>
              </w:rPr>
              <w:t>TMC the metals company Inc. Common Share</w:t>
            </w:r>
          </w:p>
        </w:tc>
        <w:tc>
          <w:tcPr>
            <w:tcW w:w="72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7"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BEBF4"/>
          </w:tcPr>
          <w:p>
            <w:pPr>
              <w:jc w:val="center"/>
              <w:ind w:left="14"/>
              <w:spacing w:after="0" w:line="177"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BEBF4"/>
          </w:tcPr>
          <w:p>
            <w:pPr>
              <w:jc w:val="center"/>
              <w:ind w:left="74"/>
              <w:spacing w:after="0" w:line="177"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32"/>
        </w:trPr>
        <w:tc>
          <w:tcPr>
            <w:tcW w:w="92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80" w:type="dxa"/>
            <w:vAlign w:val="bottom"/>
            <w:tcBorders>
              <w:bottom w:val="single" w:sz="8" w:color="auto"/>
            </w:tcBorders>
            <w:shd w:val="clear" w:color="auto" w:fill="CBEBF4"/>
          </w:tcPr>
          <w:p>
            <w:pPr>
              <w:spacing w:after="0"/>
              <w:rPr>
                <w:sz w:val="20"/>
                <w:szCs w:val="20"/>
                <w:color w:val="auto"/>
              </w:rPr>
            </w:pPr>
          </w:p>
        </w:tc>
        <w:tc>
          <w:tcPr>
            <w:tcW w:w="3860" w:type="dxa"/>
            <w:vAlign w:val="bottom"/>
            <w:tcBorders>
              <w:bottom w:val="single" w:sz="8" w:color="auto"/>
              <w:right w:val="single" w:sz="8" w:color="auto"/>
            </w:tcBorders>
            <w:gridSpan w:val="4"/>
            <w:shd w:val="clear" w:color="auto" w:fill="CBEBF4"/>
          </w:tcPr>
          <w:p>
            <w:pPr>
              <w:spacing w:after="0" w:line="193" w:lineRule="exact"/>
              <w:rPr>
                <w:sz w:val="20"/>
                <w:szCs w:val="20"/>
                <w:color w:val="auto"/>
              </w:rPr>
            </w:pPr>
            <w:r>
              <w:rPr>
                <w:rFonts w:ascii="Times New Roman" w:cs="Times New Roman" w:eastAsia="Times New Roman" w:hAnsi="Times New Roman"/>
                <w:sz w:val="17"/>
                <w:szCs w:val="17"/>
                <w:color w:val="auto"/>
              </w:rPr>
              <w:t>Certificate</w:t>
            </w:r>
          </w:p>
        </w:tc>
        <w:tc>
          <w:tcPr>
            <w:tcW w:w="72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94"/>
              <w:spacing w:after="0" w:line="193" w:lineRule="exact"/>
              <w:rPr>
                <w:sz w:val="20"/>
                <w:szCs w:val="20"/>
                <w:color w:val="auto"/>
              </w:rPr>
            </w:pPr>
            <w:r>
              <w:rPr>
                <w:rFonts w:ascii="Times New Roman" w:cs="Times New Roman" w:eastAsia="Times New Roman" w:hAnsi="Times New Roman"/>
                <w:sz w:val="17"/>
                <w:szCs w:val="17"/>
                <w:color w:val="auto"/>
              </w:rPr>
              <w:t>(Exhibit 4.1)</w:t>
            </w:r>
          </w:p>
        </w:tc>
        <w:tc>
          <w:tcPr>
            <w:tcW w:w="98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5"/>
                <w:szCs w:val="15"/>
                <w:color w:val="auto"/>
              </w:rPr>
            </w:pPr>
          </w:p>
        </w:tc>
        <w:tc>
          <w:tcPr>
            <w:tcW w:w="386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Warrant Agreement, dated as of May 8, 2020, between</w:t>
            </w:r>
          </w:p>
        </w:tc>
        <w:tc>
          <w:tcPr>
            <w:tcW w:w="7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S-1</w:t>
            </w:r>
          </w:p>
        </w:tc>
        <w:tc>
          <w:tcPr>
            <w:tcW w:w="98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10/7/2021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333-260126</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Continental Stock Transfer &amp; Trust Company and</w:t>
            </w:r>
          </w:p>
        </w:tc>
        <w:tc>
          <w:tcPr>
            <w:tcW w:w="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(Exhibit 4.2)</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Sustainable Opportunities Acquisition Corp.</w:t>
            </w:r>
          </w:p>
        </w:tc>
        <w:tc>
          <w:tcPr>
            <w:tcW w:w="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920" w:type="dxa"/>
            <w:vAlign w:val="bottom"/>
            <w:tcBorders>
              <w:left w:val="single" w:sz="8" w:color="auto"/>
              <w:bottom w:val="single" w:sz="8" w:color="CBEBF4"/>
              <w:right w:val="single" w:sz="8" w:color="auto"/>
            </w:tcBorders>
            <w:shd w:val="clear" w:color="auto" w:fill="CBEBF4"/>
          </w:tcPr>
          <w:p>
            <w:pPr>
              <w:ind w:left="40"/>
              <w:spacing w:after="0" w:line="162" w:lineRule="exact"/>
              <w:rPr>
                <w:sz w:val="20"/>
                <w:szCs w:val="20"/>
                <w:color w:val="auto"/>
              </w:rPr>
            </w:pPr>
            <w:r>
              <w:rPr>
                <w:rFonts w:ascii="Times New Roman" w:cs="Times New Roman" w:eastAsia="Times New Roman" w:hAnsi="Times New Roman"/>
                <w:sz w:val="17"/>
                <w:szCs w:val="17"/>
                <w:color w:val="auto"/>
              </w:rPr>
              <w:t>4.4</w:t>
            </w:r>
          </w:p>
        </w:tc>
        <w:tc>
          <w:tcPr>
            <w:tcW w:w="180" w:type="dxa"/>
            <w:vAlign w:val="bottom"/>
            <w:tcBorders>
              <w:bottom w:val="single" w:sz="8" w:color="CBEBF4"/>
            </w:tcBorders>
            <w:shd w:val="clear" w:color="auto" w:fill="CBEBF4"/>
          </w:tcPr>
          <w:p>
            <w:pPr>
              <w:spacing w:after="0"/>
              <w:rPr>
                <w:sz w:val="14"/>
                <w:szCs w:val="14"/>
                <w:color w:val="auto"/>
              </w:rPr>
            </w:pPr>
          </w:p>
        </w:tc>
        <w:tc>
          <w:tcPr>
            <w:tcW w:w="3700" w:type="dxa"/>
            <w:vAlign w:val="bottom"/>
            <w:tcBorders>
              <w:bottom w:val="single" w:sz="8" w:color="auto"/>
            </w:tcBorders>
            <w:gridSpan w:val="3"/>
            <w:shd w:val="clear" w:color="auto" w:fill="CBEBF4"/>
          </w:tcPr>
          <w:p>
            <w:pPr>
              <w:spacing w:after="0" w:line="149" w:lineRule="exact"/>
              <w:rPr>
                <w:sz w:val="20"/>
                <w:szCs w:val="20"/>
                <w:color w:val="auto"/>
              </w:rPr>
            </w:pPr>
            <w:r>
              <w:rPr>
                <w:rFonts w:ascii="Times New Roman" w:cs="Times New Roman" w:eastAsia="Times New Roman" w:hAnsi="Times New Roman"/>
                <w:sz w:val="17"/>
                <w:szCs w:val="17"/>
                <w:color w:val="auto"/>
              </w:rPr>
              <w:t>Form of Class A Warrant to Purchase Common Stock</w:t>
            </w:r>
          </w:p>
        </w:tc>
        <w:tc>
          <w:tcPr>
            <w:tcW w:w="160" w:type="dxa"/>
            <w:vAlign w:val="bottom"/>
            <w:tcBorders>
              <w:bottom w:val="single" w:sz="8" w:color="CBEBF4"/>
              <w:right w:val="single" w:sz="8" w:color="auto"/>
            </w:tcBorders>
            <w:shd w:val="clear" w:color="auto" w:fill="CBEBF4"/>
          </w:tcPr>
          <w:p>
            <w:pPr>
              <w:spacing w:after="0"/>
              <w:rPr>
                <w:sz w:val="14"/>
                <w:szCs w:val="14"/>
                <w:color w:val="auto"/>
              </w:rPr>
            </w:pPr>
          </w:p>
        </w:tc>
        <w:tc>
          <w:tcPr>
            <w:tcW w:w="720" w:type="dxa"/>
            <w:vAlign w:val="bottom"/>
            <w:tcBorders>
              <w:bottom w:val="single" w:sz="8" w:color="CBEBF4"/>
              <w:right w:val="single" w:sz="8" w:color="auto"/>
            </w:tcBorders>
            <w:shd w:val="clear" w:color="auto" w:fill="CBEBF4"/>
          </w:tcPr>
          <w:p>
            <w:pPr>
              <w:spacing w:after="0"/>
              <w:rPr>
                <w:sz w:val="14"/>
                <w:szCs w:val="14"/>
                <w:color w:val="auto"/>
              </w:rPr>
            </w:pPr>
          </w:p>
        </w:tc>
        <w:tc>
          <w:tcPr>
            <w:tcW w:w="1740" w:type="dxa"/>
            <w:vAlign w:val="bottom"/>
            <w:tcBorders>
              <w:bottom w:val="single" w:sz="8" w:color="CBEBF4"/>
              <w:right w:val="single" w:sz="8" w:color="auto"/>
            </w:tcBorders>
            <w:shd w:val="clear" w:color="auto" w:fill="CBEBF4"/>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bottom w:val="single" w:sz="8" w:color="CBEBF4"/>
              <w:right w:val="single" w:sz="8" w:color="auto"/>
            </w:tcBorders>
            <w:shd w:val="clear" w:color="auto" w:fill="CBEBF4"/>
          </w:tcPr>
          <w:p>
            <w:pPr>
              <w:jc w:val="center"/>
              <w:ind w:left="14"/>
              <w:spacing w:after="0" w:line="162" w:lineRule="exact"/>
              <w:rPr>
                <w:sz w:val="20"/>
                <w:szCs w:val="20"/>
                <w:color w:val="auto"/>
              </w:rPr>
            </w:pPr>
            <w:r>
              <w:rPr>
                <w:rFonts w:ascii="Times New Roman" w:cs="Times New Roman" w:eastAsia="Times New Roman" w:hAnsi="Times New Roman"/>
                <w:sz w:val="17"/>
                <w:szCs w:val="17"/>
                <w:color w:val="auto"/>
              </w:rPr>
              <w:t>8/14/2023</w:t>
            </w:r>
          </w:p>
        </w:tc>
        <w:tc>
          <w:tcPr>
            <w:tcW w:w="1240" w:type="dxa"/>
            <w:vAlign w:val="bottom"/>
            <w:tcBorders>
              <w:bottom w:val="single" w:sz="8" w:color="CBEBF4"/>
              <w:right w:val="single" w:sz="8" w:color="auto"/>
            </w:tcBorders>
            <w:shd w:val="clear" w:color="auto" w:fill="CBEBF4"/>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26"/>
        </w:trPr>
        <w:tc>
          <w:tcPr>
            <w:tcW w:w="920" w:type="dxa"/>
            <w:vAlign w:val="bottom"/>
            <w:tcBorders>
              <w:left w:val="single" w:sz="8" w:color="auto"/>
              <w:bottom w:val="single" w:sz="8" w:color="auto"/>
              <w:right w:val="single" w:sz="8" w:color="auto"/>
            </w:tcBorders>
            <w:shd w:val="clear" w:color="auto" w:fill="CBEBF4"/>
          </w:tcPr>
          <w:p>
            <w:pPr>
              <w:spacing w:after="0"/>
              <w:rPr>
                <w:sz w:val="19"/>
                <w:szCs w:val="19"/>
                <w:color w:val="auto"/>
              </w:rPr>
            </w:pPr>
          </w:p>
        </w:tc>
        <w:tc>
          <w:tcPr>
            <w:tcW w:w="180" w:type="dxa"/>
            <w:vAlign w:val="bottom"/>
            <w:tcBorders>
              <w:bottom w:val="single" w:sz="8" w:color="auto"/>
            </w:tcBorders>
            <w:shd w:val="clear" w:color="auto" w:fill="CBEBF4"/>
          </w:tcPr>
          <w:p>
            <w:pPr>
              <w:spacing w:after="0"/>
              <w:rPr>
                <w:sz w:val="19"/>
                <w:szCs w:val="19"/>
                <w:color w:val="auto"/>
              </w:rPr>
            </w:pPr>
          </w:p>
        </w:tc>
        <w:tc>
          <w:tcPr>
            <w:tcW w:w="740" w:type="dxa"/>
            <w:vAlign w:val="bottom"/>
            <w:tcBorders>
              <w:bottom w:val="single" w:sz="8" w:color="auto"/>
            </w:tcBorders>
            <w:shd w:val="clear" w:color="auto" w:fill="CBEBF4"/>
          </w:tcPr>
          <w:p>
            <w:pPr>
              <w:spacing w:after="0"/>
              <w:rPr>
                <w:sz w:val="19"/>
                <w:szCs w:val="19"/>
                <w:color w:val="auto"/>
              </w:rPr>
            </w:pPr>
          </w:p>
        </w:tc>
        <w:tc>
          <w:tcPr>
            <w:tcW w:w="40" w:type="dxa"/>
            <w:vAlign w:val="bottom"/>
            <w:tcBorders>
              <w:bottom w:val="single" w:sz="8" w:color="auto"/>
            </w:tcBorders>
            <w:shd w:val="clear" w:color="auto" w:fill="CBEBF4"/>
          </w:tcPr>
          <w:p>
            <w:pPr>
              <w:spacing w:after="0"/>
              <w:rPr>
                <w:sz w:val="19"/>
                <w:szCs w:val="19"/>
                <w:color w:val="auto"/>
              </w:rPr>
            </w:pPr>
          </w:p>
        </w:tc>
        <w:tc>
          <w:tcPr>
            <w:tcW w:w="2920" w:type="dxa"/>
            <w:vAlign w:val="bottom"/>
            <w:tcBorders>
              <w:bottom w:val="single" w:sz="8" w:color="auto"/>
            </w:tcBorders>
            <w:shd w:val="clear" w:color="auto" w:fill="CBEBF4"/>
          </w:tcPr>
          <w:p>
            <w:pPr>
              <w:spacing w:after="0"/>
              <w:rPr>
                <w:sz w:val="19"/>
                <w:szCs w:val="19"/>
                <w:color w:val="auto"/>
              </w:rPr>
            </w:pPr>
          </w:p>
        </w:tc>
        <w:tc>
          <w:tcPr>
            <w:tcW w:w="160" w:type="dxa"/>
            <w:vAlign w:val="bottom"/>
            <w:tcBorders>
              <w:bottom w:val="single" w:sz="8" w:color="auto"/>
              <w:right w:val="single" w:sz="8" w:color="auto"/>
            </w:tcBorders>
            <w:shd w:val="clear" w:color="auto" w:fill="CBEBF4"/>
          </w:tcPr>
          <w:p>
            <w:pPr>
              <w:spacing w:after="0"/>
              <w:rPr>
                <w:sz w:val="19"/>
                <w:szCs w:val="19"/>
                <w:color w:val="auto"/>
              </w:rPr>
            </w:pPr>
          </w:p>
        </w:tc>
        <w:tc>
          <w:tcPr>
            <w:tcW w:w="720" w:type="dxa"/>
            <w:vAlign w:val="bottom"/>
            <w:tcBorders>
              <w:bottom w:val="single" w:sz="8" w:color="auto"/>
              <w:right w:val="single" w:sz="8" w:color="auto"/>
            </w:tcBorders>
            <w:shd w:val="clear" w:color="auto" w:fill="CBEBF4"/>
          </w:tcPr>
          <w:p>
            <w:pPr>
              <w:spacing w:after="0"/>
              <w:rPr>
                <w:sz w:val="19"/>
                <w:szCs w:val="19"/>
                <w:color w:val="auto"/>
              </w:rPr>
            </w:pPr>
          </w:p>
        </w:tc>
        <w:tc>
          <w:tcPr>
            <w:tcW w:w="1740" w:type="dxa"/>
            <w:vAlign w:val="bottom"/>
            <w:tcBorders>
              <w:bottom w:val="single" w:sz="8" w:color="auto"/>
              <w:right w:val="single" w:sz="8" w:color="auto"/>
            </w:tcBorders>
            <w:shd w:val="clear" w:color="auto" w:fill="CBEBF4"/>
          </w:tcPr>
          <w:p>
            <w:pPr>
              <w:jc w:val="center"/>
              <w:ind w:left="94"/>
              <w:spacing w:after="0"/>
              <w:rPr>
                <w:sz w:val="20"/>
                <w:szCs w:val="20"/>
                <w:color w:val="auto"/>
              </w:rPr>
            </w:pPr>
            <w:r>
              <w:rPr>
                <w:rFonts w:ascii="Times New Roman" w:cs="Times New Roman" w:eastAsia="Times New Roman" w:hAnsi="Times New Roman"/>
                <w:sz w:val="17"/>
                <w:szCs w:val="17"/>
                <w:color w:val="auto"/>
              </w:rPr>
              <w:t>(Exhibit 4.1)</w:t>
            </w:r>
          </w:p>
        </w:tc>
        <w:tc>
          <w:tcPr>
            <w:tcW w:w="980" w:type="dxa"/>
            <w:vAlign w:val="bottom"/>
            <w:tcBorders>
              <w:bottom w:val="single" w:sz="8" w:color="auto"/>
              <w:right w:val="single" w:sz="8" w:color="auto"/>
            </w:tcBorders>
            <w:shd w:val="clear" w:color="auto" w:fill="CBEBF4"/>
          </w:tcPr>
          <w:p>
            <w:pPr>
              <w:spacing w:after="0"/>
              <w:rPr>
                <w:sz w:val="19"/>
                <w:szCs w:val="19"/>
                <w:color w:val="auto"/>
              </w:rPr>
            </w:pPr>
          </w:p>
        </w:tc>
        <w:tc>
          <w:tcPr>
            <w:tcW w:w="1240" w:type="dxa"/>
            <w:vAlign w:val="bottom"/>
            <w:tcBorders>
              <w:bottom w:val="single" w:sz="8" w:color="auto"/>
              <w:right w:val="single" w:sz="8" w:color="auto"/>
            </w:tcBorders>
            <w:shd w:val="clear" w:color="auto" w:fill="CBEBF4"/>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15"/>
                <w:szCs w:val="15"/>
                <w:color w:val="auto"/>
              </w:rPr>
            </w:pPr>
          </w:p>
        </w:tc>
        <w:tc>
          <w:tcPr>
            <w:tcW w:w="386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Amended and Restated Registration Rights Agreement</w:t>
            </w:r>
            <w:r>
              <w:rPr>
                <w:rFonts w:ascii="Times New Roman" w:cs="Times New Roman" w:eastAsia="Times New Roman" w:hAnsi="Times New Roman"/>
                <w:sz w:val="17"/>
                <w:szCs w:val="17"/>
                <w:color w:val="auto"/>
              </w:rPr>
              <w:t>,</w:t>
            </w:r>
          </w:p>
        </w:tc>
        <w:tc>
          <w:tcPr>
            <w:tcW w:w="7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w w:val="99"/>
              </w:rPr>
              <w:t>8/5/2021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by and between Sustainable Opportunities Acquisition</w:t>
            </w:r>
          </w:p>
        </w:tc>
        <w:tc>
          <w:tcPr>
            <w:tcW w:w="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(Exhibit 10.5 –</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Corp., Sustainable Opportunities Holdings LLC, the</w:t>
            </w:r>
          </w:p>
        </w:tc>
        <w:tc>
          <w:tcPr>
            <w:tcW w:w="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Annex H)</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parties listed under Sponsor Group Holders on the</w:t>
            </w:r>
          </w:p>
        </w:tc>
        <w:tc>
          <w:tcPr>
            <w:tcW w:w="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signature page(s) thereto and the parties listed under</w:t>
            </w:r>
          </w:p>
        </w:tc>
        <w:tc>
          <w:tcPr>
            <w:tcW w:w="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DeepGreen Holders on the signature page(s) thereto</w:t>
            </w:r>
          </w:p>
        </w:tc>
        <w:tc>
          <w:tcPr>
            <w:tcW w:w="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10.2†</w:t>
            </w:r>
          </w:p>
        </w:tc>
        <w:tc>
          <w:tcPr>
            <w:tcW w:w="180" w:type="dxa"/>
            <w:vAlign w:val="bottom"/>
            <w:shd w:val="clear" w:color="auto" w:fill="CBEBF4"/>
          </w:tcPr>
          <w:p>
            <w:pPr>
              <w:spacing w:after="0"/>
              <w:rPr>
                <w:sz w:val="15"/>
                <w:szCs w:val="15"/>
                <w:color w:val="auto"/>
              </w:rPr>
            </w:pPr>
          </w:p>
        </w:tc>
        <w:tc>
          <w:tcPr>
            <w:tcW w:w="386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Strategic Alliance Agreement, dated as of March 29</w:t>
            </w:r>
            <w:r>
              <w:rPr>
                <w:rFonts w:ascii="Times New Roman" w:cs="Times New Roman" w:eastAsia="Times New Roman" w:hAnsi="Times New Roman"/>
                <w:sz w:val="17"/>
                <w:szCs w:val="17"/>
                <w:color w:val="auto"/>
              </w:rPr>
              <w:t>,</w:t>
            </w:r>
          </w:p>
        </w:tc>
        <w:tc>
          <w:tcPr>
            <w:tcW w:w="72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98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BEBF4"/>
          </w:tcPr>
          <w:p>
            <w:pPr>
              <w:spacing w:after="0"/>
              <w:rPr>
                <w:sz w:val="18"/>
                <w:szCs w:val="18"/>
                <w:color w:val="auto"/>
              </w:rPr>
            </w:pPr>
          </w:p>
        </w:tc>
        <w:tc>
          <w:tcPr>
            <w:tcW w:w="180" w:type="dxa"/>
            <w:vAlign w:val="bottom"/>
            <w:shd w:val="clear" w:color="auto" w:fill="CBEBF4"/>
          </w:tcPr>
          <w:p>
            <w:pPr>
              <w:spacing w:after="0"/>
              <w:rPr>
                <w:sz w:val="18"/>
                <w:szCs w:val="18"/>
                <w:color w:val="auto"/>
              </w:rPr>
            </w:pPr>
          </w:p>
        </w:tc>
        <w:tc>
          <w:tcPr>
            <w:tcW w:w="386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2019, by and between DeepGreen Metals Inc. and</w:t>
            </w:r>
          </w:p>
        </w:tc>
        <w:tc>
          <w:tcPr>
            <w:tcW w:w="72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10.7)</w:t>
            </w:r>
          </w:p>
        </w:tc>
        <w:tc>
          <w:tcPr>
            <w:tcW w:w="98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80" w:type="dxa"/>
            <w:vAlign w:val="bottom"/>
            <w:tcBorders>
              <w:bottom w:val="single" w:sz="8" w:color="auto"/>
            </w:tcBorders>
            <w:shd w:val="clear" w:color="auto" w:fill="CBEBF4"/>
          </w:tcPr>
          <w:p>
            <w:pPr>
              <w:spacing w:after="0"/>
              <w:rPr>
                <w:sz w:val="20"/>
                <w:szCs w:val="20"/>
                <w:color w:val="auto"/>
              </w:rPr>
            </w:pPr>
          </w:p>
        </w:tc>
        <w:tc>
          <w:tcPr>
            <w:tcW w:w="386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Allseas Group S.A.</w:t>
            </w:r>
          </w:p>
        </w:tc>
        <w:tc>
          <w:tcPr>
            <w:tcW w:w="72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8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spacing w:after="0"/>
              <w:rPr>
                <w:sz w:val="15"/>
                <w:szCs w:val="15"/>
                <w:color w:val="auto"/>
              </w:rPr>
            </w:pPr>
          </w:p>
        </w:tc>
        <w:tc>
          <w:tcPr>
            <w:tcW w:w="386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Pilot Mining Test Agreement dated as of July 8, 2019</w:t>
            </w:r>
            <w:r>
              <w:rPr>
                <w:rFonts w:ascii="Times New Roman" w:cs="Times New Roman" w:eastAsia="Times New Roman" w:hAnsi="Times New Roman"/>
                <w:sz w:val="17"/>
                <w:szCs w:val="17"/>
                <w:color w:val="auto"/>
              </w:rPr>
              <w:t>,</w:t>
            </w:r>
          </w:p>
        </w:tc>
        <w:tc>
          <w:tcPr>
            <w:tcW w:w="72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98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by and between DeepGreen Metals Inc. and Allseas</w:t>
            </w:r>
          </w:p>
        </w:tc>
        <w:tc>
          <w:tcPr>
            <w:tcW w:w="72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10.8)</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6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Group S.A.</w:t>
            </w:r>
          </w:p>
        </w:tc>
        <w:tc>
          <w:tcPr>
            <w:tcW w:w="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404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166</w:t>
            </w: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40"/>
          </w:cols>
          <w:pgMar w:left="1300" w:top="1324" w:right="1300" w:bottom="1440" w:gutter="0" w:footer="0" w:header="0"/>
        </w:sectPr>
      </w:pPr>
    </w:p>
    <w:bookmarkStart w:id="172" w:name="page173"/>
    <w:bookmarkEnd w:id="172"/>
    <w:p>
      <w:pPr>
        <w:spacing w:after="0" w:line="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07" name="Shape 9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07" o:spid="_x0000_s193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08" name="Shape 9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08" o:spid="_x0000_s193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09" name="Shape 9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09" o:spid="_x0000_s19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10" name="Shape 9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10" o:spid="_x0000_s193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shd w:val="clear" w:color="auto" w:fill="CBEBF4"/>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Borders>
              <w:top w:val="single" w:sz="8" w:color="auto"/>
            </w:tcBorders>
            <w:shd w:val="clear" w:color="auto" w:fill="CBEBF4"/>
          </w:tcPr>
          <w:p>
            <w:pPr>
              <w:spacing w:after="0"/>
              <w:rPr>
                <w:sz w:val="18"/>
                <w:szCs w:val="18"/>
                <w:color w:val="auto"/>
              </w:rPr>
            </w:pPr>
          </w:p>
        </w:tc>
        <w:tc>
          <w:tcPr>
            <w:tcW w:w="3880" w:type="dxa"/>
            <w:vAlign w:val="bottom"/>
            <w:tcBorders>
              <w:top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Third Amendment to Pilot Mining Test Agreement and</w:t>
            </w:r>
          </w:p>
        </w:tc>
        <w:tc>
          <w:tcPr>
            <w:tcW w:w="700" w:type="dxa"/>
            <w:vAlign w:val="bottom"/>
            <w:tcBorders>
              <w:top w:val="single" w:sz="8" w:color="auto"/>
              <w:right w:val="single" w:sz="8" w:color="auto"/>
            </w:tcBorders>
            <w:shd w:val="clear" w:color="auto" w:fill="CBEBF4"/>
          </w:tcPr>
          <w:p>
            <w:pPr>
              <w:spacing w:after="0"/>
              <w:rPr>
                <w:sz w:val="18"/>
                <w:szCs w:val="18"/>
                <w:color w:val="auto"/>
              </w:rPr>
            </w:pPr>
          </w:p>
        </w:tc>
        <w:tc>
          <w:tcPr>
            <w:tcW w:w="1740" w:type="dxa"/>
            <w:vAlign w:val="bottom"/>
            <w:tcBorders>
              <w:top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Form S-4</w:t>
            </w:r>
          </w:p>
        </w:tc>
        <w:tc>
          <w:tcPr>
            <w:tcW w:w="960" w:type="dxa"/>
            <w:vAlign w:val="bottom"/>
            <w:tcBorders>
              <w:top w:val="single" w:sz="8" w:color="auto"/>
              <w:right w:val="single" w:sz="8" w:color="auto"/>
            </w:tcBorders>
            <w:shd w:val="clear" w:color="auto" w:fill="CBEBF4"/>
          </w:tcPr>
          <w:p>
            <w:pPr>
              <w:jc w:val="center"/>
              <w:spacing w:after="0"/>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top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First Amendment to Strategic Alliance Agreement</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10.9)</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dated as of March 4, 2021, by and between DeepGreen</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Metals Inc. and Allseas Group S.A.</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10.5</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Fourth Amendment to Pilot Mining Test Agreement</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7/14/2021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and Second Amendment to Strategic Alliance</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10.23)</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Agreement, dated as of June 30, 2021, by and between</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DeepGreen Metals Inc. and Allseas Group S.A.</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10.6</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Fifth Amendment to Pilot Mining Test Agreement and</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2/17/2023</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Third Amendment to Strategic Alliance Agreement</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effective as of February 8, 2023, by and amon</w:t>
            </w:r>
            <w:r>
              <w:rPr>
                <w:rFonts w:ascii="Times New Roman" w:cs="Times New Roman" w:eastAsia="Times New Roman" w:hAnsi="Times New Roman"/>
                <w:sz w:val="17"/>
                <w:szCs w:val="17"/>
                <w:color w:val="auto"/>
              </w:rPr>
              <w:t>g</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DeepGreen Engineering Pte Ltd, DeepGreen Metals</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Inc., TMC the metals company Inc. and Allseas Group</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line="193" w:lineRule="exact"/>
              <w:rPr>
                <w:sz w:val="20"/>
                <w:szCs w:val="20"/>
                <w:color w:val="auto"/>
              </w:rPr>
            </w:pPr>
            <w:r>
              <w:rPr>
                <w:rFonts w:ascii="Times New Roman" w:cs="Times New Roman" w:eastAsia="Times New Roman" w:hAnsi="Times New Roman"/>
                <w:sz w:val="17"/>
                <w:szCs w:val="17"/>
                <w:color w:val="auto"/>
              </w:rPr>
              <w:t>S.A.</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94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7"/>
                <w:szCs w:val="17"/>
                <w:color w:val="auto"/>
              </w:rPr>
              <w:t>10.7†</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5" w:lineRule="exact"/>
              <w:rPr>
                <w:sz w:val="20"/>
                <w:szCs w:val="20"/>
                <w:color w:val="auto"/>
              </w:rPr>
            </w:pPr>
            <w:r>
              <w:rPr>
                <w:rFonts w:ascii="Times New Roman" w:cs="Times New Roman" w:eastAsia="Times New Roman" w:hAnsi="Times New Roman"/>
                <w:sz w:val="17"/>
                <w:szCs w:val="17"/>
                <w:u w:val="single" w:color="auto"/>
                <w:color w:val="auto"/>
              </w:rPr>
              <w:t>Sponsorship Agreement, dated as of March 8, 2008, by</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5" w:lineRule="exact"/>
              <w:rPr>
                <w:sz w:val="20"/>
                <w:szCs w:val="20"/>
                <w:color w:val="auto"/>
              </w:rPr>
            </w:pPr>
            <w:r>
              <w:rPr>
                <w:rFonts w:ascii="Times New Roman" w:cs="Times New Roman" w:eastAsia="Times New Roman" w:hAnsi="Times New Roman"/>
                <w:sz w:val="17"/>
                <w:szCs w:val="17"/>
                <w:color w:val="auto"/>
              </w:rPr>
              <w:t>Form S-4</w:t>
            </w:r>
          </w:p>
        </w:tc>
        <w:tc>
          <w:tcPr>
            <w:tcW w:w="96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right w:val="single" w:sz="8" w:color="auto"/>
            </w:tcBorders>
          </w:tcPr>
          <w:p>
            <w:pPr>
              <w:jc w:val="center"/>
              <w:ind w:left="74"/>
              <w:spacing w:after="0" w:line="175"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08"/>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and between the Kingdom of Tonga and Tonga</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10.13)</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Offshore Mining Limited</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10.8†</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Sponsorship Agreement, dated as of September 23</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S-1</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10/7/2021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333-260126</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2021, by and between the Kingdom of Tonga and</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10.13)</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Tonga Offshore Mining Limited</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10.9†</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Sponsorship Agreement, dated as of June 5, 2017, by</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and among the Republic of Nauru, the Nauru Seabed</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10.14)</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Minerals Authority, and Nauru Ocean Resources Inc.</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10.10</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Certificate of the Sponsorship signed by the</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7/28/2021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Government of Nauru on April 11, 2011</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10.24)</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10.11</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ISA Contract for Exploration (Republic of Nauru)</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dated as of July 22, 2011</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10.15)</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10.12</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ISA Contract for Exploration (Kingdom of Tonga)</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960" w:type="dxa"/>
            <w:vAlign w:val="bottom"/>
            <w:tcBorders>
              <w:right w:val="single" w:sz="8" w:color="auto"/>
            </w:tcBorders>
            <w:shd w:val="clear" w:color="auto" w:fill="CBEBF4"/>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4/8/2021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dated as of January 11, 2012</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10.16)</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10.13+</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Form of Indemnity Agreement</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10.18)</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10.14+</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Nonemployee Director Compensation Policy</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00" w:type="dxa"/>
            <w:vAlign w:val="bottom"/>
            <w:tcBorders>
              <w:bottom w:val="single" w:sz="8" w:color="auto"/>
            </w:tcBorders>
            <w:shd w:val="clear" w:color="auto" w:fill="CBEBF4"/>
          </w:tcPr>
          <w:p>
            <w:pPr>
              <w:spacing w:after="0"/>
              <w:rPr>
                <w:sz w:val="20"/>
                <w:szCs w:val="20"/>
                <w:color w:val="auto"/>
              </w:rPr>
            </w:pPr>
          </w:p>
        </w:tc>
        <w:tc>
          <w:tcPr>
            <w:tcW w:w="3580" w:type="dxa"/>
            <w:vAlign w:val="bottom"/>
            <w:tcBorders>
              <w:bottom w:val="single" w:sz="8" w:color="auto"/>
              <w:right w:val="single" w:sz="8" w:color="auto"/>
            </w:tcBorders>
            <w:shd w:val="clear" w:color="auto" w:fill="CBEBF4"/>
          </w:tcPr>
          <w:p>
            <w:pPr>
              <w:spacing w:after="0"/>
              <w:rPr>
                <w:sz w:val="20"/>
                <w:szCs w:val="20"/>
                <w:color w:val="auto"/>
              </w:rPr>
            </w:pP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10.19)</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10.15+</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Employment Agreement, dated December 15, 2017, by</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and between DeepGreen Metals Inc. and Gerard Barron</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10.17)</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Arial" w:cs="Arial" w:eastAsia="Arial" w:hAnsi="Arial"/>
                <w:sz w:val="17"/>
                <w:szCs w:val="17"/>
                <w:color w:val="auto"/>
              </w:rPr>
              <w:t>10.16+**</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Employment Agreement, dated September 1, 2018, by</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and between DeepGreen Metals Inc. and Erika Ilves</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10.19)</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10.17</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Amended and Restated Employment Agreement, dated</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10-Q</w:t>
            </w:r>
          </w:p>
        </w:tc>
        <w:tc>
          <w:tcPr>
            <w:tcW w:w="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5/9/2022</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May 8, 2022, by and between The Metals Company</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10.3)</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u w:val="single" w:color="auto"/>
                <w:color w:val="auto"/>
              </w:rPr>
              <w:t>Australia Pty. Ltd. and Anthony O’Sullivan</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10.18+</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Amended and Restated Employment Agreement, dated</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10-Q</w:t>
            </w:r>
          </w:p>
        </w:tc>
        <w:tc>
          <w:tcPr>
            <w:tcW w:w="960" w:type="dxa"/>
            <w:vAlign w:val="bottom"/>
            <w:tcBorders>
              <w:right w:val="single" w:sz="8" w:color="auto"/>
            </w:tcBorders>
            <w:shd w:val="clear" w:color="auto" w:fill="CBEBF4"/>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5/9/2022</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May 6, 2022, by and between DeepGreen Resources</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LLC and Craig Shesky</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10.19.1+</w:t>
            </w:r>
          </w:p>
        </w:tc>
        <w:tc>
          <w:tcPr>
            <w:tcW w:w="160" w:type="dxa"/>
            <w:vAlign w:val="bottom"/>
          </w:tcPr>
          <w:p>
            <w:pPr>
              <w:spacing w:after="0"/>
              <w:rPr>
                <w:sz w:val="15"/>
                <w:szCs w:val="15"/>
                <w:color w:val="auto"/>
              </w:rPr>
            </w:pPr>
          </w:p>
        </w:tc>
        <w:tc>
          <w:tcPr>
            <w:tcW w:w="3880" w:type="dxa"/>
            <w:vAlign w:val="bottom"/>
            <w:tcBorders>
              <w:right w:val="single" w:sz="8" w:color="auto"/>
            </w:tcBorders>
            <w:gridSpan w:val="2"/>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TMC the metals company Inc. 2021 Incentive Equity</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193"/>
        </w:trPr>
        <w:tc>
          <w:tcPr>
            <w:tcW w:w="940" w:type="dxa"/>
            <w:vAlign w:val="bottom"/>
            <w:tcBorders>
              <w:left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right w:val="single" w:sz="8" w:color="auto"/>
            </w:tcBorders>
            <w:gridSpan w:val="2"/>
          </w:tcPr>
          <w:p>
            <w:pPr>
              <w:spacing w:after="0" w:line="193" w:lineRule="exact"/>
              <w:rPr>
                <w:sz w:val="20"/>
                <w:szCs w:val="20"/>
                <w:color w:val="auto"/>
              </w:rPr>
            </w:pPr>
            <w:r>
              <w:rPr>
                <w:rFonts w:ascii="Times New Roman" w:cs="Times New Roman" w:eastAsia="Times New Roman" w:hAnsi="Times New Roman"/>
                <w:sz w:val="17"/>
                <w:szCs w:val="17"/>
                <w:color w:val="auto"/>
              </w:rPr>
              <w:t>Plan</w:t>
            </w:r>
          </w:p>
        </w:tc>
        <w:tc>
          <w:tcPr>
            <w:tcW w:w="7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jc w:val="center"/>
              <w:ind w:left="74"/>
              <w:spacing w:after="0" w:line="193" w:lineRule="exact"/>
              <w:rPr>
                <w:sz w:val="20"/>
                <w:szCs w:val="20"/>
                <w:color w:val="auto"/>
              </w:rPr>
            </w:pPr>
            <w:r>
              <w:rPr>
                <w:rFonts w:ascii="Times New Roman" w:cs="Times New Roman" w:eastAsia="Times New Roman" w:hAnsi="Times New Roman"/>
                <w:sz w:val="17"/>
                <w:szCs w:val="17"/>
                <w:color w:val="auto"/>
              </w:rPr>
              <w:t>(Exhibit 10.23.1)</w:t>
            </w: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40" w:type="dxa"/>
            <w:vAlign w:val="bottom"/>
            <w:tcBorders>
              <w:left w:val="single" w:sz="8" w:color="auto"/>
              <w:right w:val="single" w:sz="8" w:color="auto"/>
            </w:tcBorders>
            <w:shd w:val="clear" w:color="auto" w:fill="CBEBF4"/>
          </w:tcPr>
          <w:p>
            <w:pPr>
              <w:ind w:left="40"/>
              <w:spacing w:after="0" w:line="175" w:lineRule="exact"/>
              <w:rPr>
                <w:sz w:val="20"/>
                <w:szCs w:val="20"/>
                <w:color w:val="auto"/>
              </w:rPr>
            </w:pPr>
            <w:r>
              <w:rPr>
                <w:rFonts w:ascii="Times New Roman" w:cs="Times New Roman" w:eastAsia="Times New Roman" w:hAnsi="Times New Roman"/>
                <w:sz w:val="17"/>
                <w:szCs w:val="17"/>
                <w:color w:val="auto"/>
              </w:rPr>
              <w:t>10.19.2+</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2"/>
            <w:shd w:val="clear" w:color="auto" w:fill="CBEBF4"/>
          </w:tcPr>
          <w:p>
            <w:pPr>
              <w:spacing w:after="0" w:line="175" w:lineRule="exact"/>
              <w:rPr>
                <w:sz w:val="20"/>
                <w:szCs w:val="20"/>
                <w:color w:val="auto"/>
              </w:rPr>
            </w:pPr>
            <w:r>
              <w:rPr>
                <w:rFonts w:ascii="Times New Roman" w:cs="Times New Roman" w:eastAsia="Times New Roman" w:hAnsi="Times New Roman"/>
                <w:sz w:val="17"/>
                <w:szCs w:val="17"/>
                <w:u w:val="single" w:color="auto"/>
                <w:color w:val="auto"/>
              </w:rPr>
              <w:t>Form of Stock Option Agreement under TMC the</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54"/>
              <w:spacing w:after="0" w:line="175"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shd w:val="clear" w:color="auto" w:fill="CBEBF4"/>
          </w:tcPr>
          <w:p>
            <w:pPr>
              <w:jc w:val="center"/>
              <w:ind w:left="14"/>
              <w:spacing w:after="0" w:line="175"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BEBF4"/>
          </w:tcPr>
          <w:p>
            <w:pPr>
              <w:jc w:val="center"/>
              <w:ind w:left="74"/>
              <w:spacing w:after="0" w:line="175"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2"/>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metals company Inc. 2021 Incentive Equity Plan</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10.23.2)</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615"/>
        </w:trPr>
        <w:tc>
          <w:tcPr>
            <w:tcW w:w="940" w:type="dxa"/>
            <w:vAlign w:val="bottom"/>
          </w:tcPr>
          <w:p>
            <w:pPr>
              <w:spacing w:after="0"/>
              <w:rPr>
                <w:sz w:val="24"/>
                <w:szCs w:val="24"/>
                <w:color w:val="auto"/>
              </w:rPr>
            </w:pPr>
          </w:p>
        </w:tc>
        <w:tc>
          <w:tcPr>
            <w:tcW w:w="40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167</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4"/>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2240" w:h="15840" w:orient="portrait"/>
          <w:cols w:equalWidth="0" w:num="1">
            <w:col w:w="9640"/>
          </w:cols>
          <w:pgMar w:left="1300" w:top="1320" w:right="1300" w:bottom="1440" w:gutter="0" w:footer="0" w:header="0"/>
        </w:sectPr>
      </w:pPr>
    </w:p>
    <w:bookmarkStart w:id="173" w:name="page174"/>
    <w:bookmarkEnd w:id="173"/>
    <w:p>
      <w:pPr>
        <w:spacing w:after="0" w:line="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11" name="Shape 9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11" o:spid="_x0000_s193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12" name="Shape 9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12" o:spid="_x0000_s193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13" name="Shape 9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13" o:spid="_x0000_s193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14" name="Shape 9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14" o:spid="_x0000_s193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10.19.3+</w:t>
            </w:r>
          </w:p>
        </w:tc>
        <w:tc>
          <w:tcPr>
            <w:tcW w:w="160" w:type="dxa"/>
            <w:vAlign w:val="bottom"/>
            <w:tcBorders>
              <w:top w:val="single" w:sz="8" w:color="auto"/>
            </w:tcBorders>
          </w:tcPr>
          <w:p>
            <w:pPr>
              <w:spacing w:after="0"/>
              <w:rPr>
                <w:sz w:val="18"/>
                <w:szCs w:val="18"/>
                <w:color w:val="auto"/>
              </w:rPr>
            </w:pPr>
          </w:p>
        </w:tc>
        <w:tc>
          <w:tcPr>
            <w:tcW w:w="3880" w:type="dxa"/>
            <w:vAlign w:val="bottom"/>
            <w:tcBorders>
              <w:top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Form of Restricted Stock Unit Agreement under TMC</w:t>
            </w:r>
          </w:p>
        </w:tc>
        <w:tc>
          <w:tcPr>
            <w:tcW w:w="70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top w:val="single" w:sz="8" w:color="auto"/>
              <w:right w:val="single" w:sz="8" w:color="auto"/>
            </w:tcBorders>
          </w:tcPr>
          <w:p>
            <w:pPr>
              <w:jc w:val="center"/>
              <w:ind w:left="14"/>
              <w:spacing w:after="0"/>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top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the metals company Inc. 2021 Incentive Equity Plan</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10.23.3)</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10.20.1+</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DeepGreen Metals Inc. Stock Option Plan and Form of</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Stock Option Agreement thereunder</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10.20)</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10.20.2+</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Amendment to DeepGreen Metals Inc. Stock Option</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193"/>
        </w:trPr>
        <w:tc>
          <w:tcPr>
            <w:tcW w:w="940" w:type="dxa"/>
            <w:vAlign w:val="bottom"/>
            <w:tcBorders>
              <w:left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right w:val="single" w:sz="8" w:color="auto"/>
            </w:tcBorders>
            <w:gridSpan w:val="5"/>
          </w:tcPr>
          <w:p>
            <w:pPr>
              <w:spacing w:after="0" w:line="193" w:lineRule="exact"/>
              <w:rPr>
                <w:sz w:val="20"/>
                <w:szCs w:val="20"/>
                <w:color w:val="auto"/>
              </w:rPr>
            </w:pPr>
            <w:r>
              <w:rPr>
                <w:rFonts w:ascii="Times New Roman" w:cs="Times New Roman" w:eastAsia="Times New Roman" w:hAnsi="Times New Roman"/>
                <w:sz w:val="17"/>
                <w:szCs w:val="17"/>
                <w:color w:val="auto"/>
              </w:rPr>
              <w:t>Plan</w:t>
            </w:r>
          </w:p>
        </w:tc>
        <w:tc>
          <w:tcPr>
            <w:tcW w:w="7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jc w:val="center"/>
              <w:ind w:left="74"/>
              <w:spacing w:after="0" w:line="193" w:lineRule="exact"/>
              <w:rPr>
                <w:sz w:val="20"/>
                <w:szCs w:val="20"/>
                <w:color w:val="auto"/>
              </w:rPr>
            </w:pPr>
            <w:r>
              <w:rPr>
                <w:rFonts w:ascii="Times New Roman" w:cs="Times New Roman" w:eastAsia="Times New Roman" w:hAnsi="Times New Roman"/>
                <w:sz w:val="17"/>
                <w:szCs w:val="17"/>
                <w:color w:val="auto"/>
              </w:rPr>
              <w:t>(Exhibit 10.21)</w:t>
            </w: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40" w:type="dxa"/>
            <w:vAlign w:val="bottom"/>
            <w:tcBorders>
              <w:left w:val="single" w:sz="8" w:color="auto"/>
              <w:right w:val="single" w:sz="8" w:color="auto"/>
            </w:tcBorders>
            <w:shd w:val="clear" w:color="auto" w:fill="CBEBF4"/>
          </w:tcPr>
          <w:p>
            <w:pPr>
              <w:ind w:left="40"/>
              <w:spacing w:after="0" w:line="175" w:lineRule="exact"/>
              <w:rPr>
                <w:sz w:val="20"/>
                <w:szCs w:val="20"/>
                <w:color w:val="auto"/>
              </w:rPr>
            </w:pPr>
            <w:r>
              <w:rPr>
                <w:rFonts w:ascii="Times New Roman" w:cs="Times New Roman" w:eastAsia="Times New Roman" w:hAnsi="Times New Roman"/>
                <w:sz w:val="17"/>
                <w:szCs w:val="17"/>
                <w:color w:val="auto"/>
              </w:rPr>
              <w:t>10.21+</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5" w:lineRule="exact"/>
              <w:rPr>
                <w:sz w:val="20"/>
                <w:szCs w:val="20"/>
                <w:color w:val="auto"/>
              </w:rPr>
            </w:pPr>
            <w:r>
              <w:rPr>
                <w:rFonts w:ascii="Times New Roman" w:cs="Times New Roman" w:eastAsia="Times New Roman" w:hAnsi="Times New Roman"/>
                <w:sz w:val="17"/>
                <w:szCs w:val="17"/>
                <w:u w:val="single" w:color="auto"/>
                <w:color w:val="auto"/>
              </w:rPr>
              <w:t>TMC the metals company Inc. 2021 Employee Stock</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5" w:lineRule="exact"/>
              <w:rPr>
                <w:sz w:val="20"/>
                <w:szCs w:val="20"/>
                <w:color w:val="auto"/>
              </w:rPr>
            </w:pPr>
            <w:r>
              <w:rPr>
                <w:rFonts w:ascii="Times New Roman" w:cs="Times New Roman" w:eastAsia="Times New Roman" w:hAnsi="Times New Roman"/>
                <w:sz w:val="17"/>
                <w:szCs w:val="17"/>
                <w:color w:val="auto"/>
              </w:rPr>
              <w:t>Form S-8</w:t>
            </w:r>
          </w:p>
        </w:tc>
        <w:tc>
          <w:tcPr>
            <w:tcW w:w="960" w:type="dxa"/>
            <w:vAlign w:val="bottom"/>
            <w:tcBorders>
              <w:right w:val="single" w:sz="8" w:color="auto"/>
            </w:tcBorders>
            <w:shd w:val="clear" w:color="auto" w:fill="CBEBF4"/>
          </w:tcPr>
          <w:p>
            <w:pPr>
              <w:jc w:val="center"/>
              <w:ind w:left="14"/>
              <w:spacing w:after="0" w:line="175" w:lineRule="exact"/>
              <w:rPr>
                <w:sz w:val="20"/>
                <w:szCs w:val="20"/>
                <w:color w:val="auto"/>
              </w:rPr>
            </w:pPr>
            <w:r>
              <w:rPr>
                <w:rFonts w:ascii="Times New Roman" w:cs="Times New Roman" w:eastAsia="Times New Roman" w:hAnsi="Times New Roman"/>
                <w:sz w:val="17"/>
                <w:szCs w:val="17"/>
                <w:color w:val="auto"/>
              </w:rPr>
              <w:t>5/31/2022</w:t>
            </w:r>
          </w:p>
        </w:tc>
        <w:tc>
          <w:tcPr>
            <w:tcW w:w="1240" w:type="dxa"/>
            <w:vAlign w:val="bottom"/>
            <w:tcBorders>
              <w:right w:val="single" w:sz="8" w:color="auto"/>
            </w:tcBorders>
            <w:shd w:val="clear" w:color="auto" w:fill="CBEBF4"/>
          </w:tcPr>
          <w:p>
            <w:pPr>
              <w:jc w:val="center"/>
              <w:ind w:left="74"/>
              <w:spacing w:after="0" w:line="175" w:lineRule="exact"/>
              <w:rPr>
                <w:sz w:val="20"/>
                <w:szCs w:val="20"/>
                <w:color w:val="auto"/>
              </w:rPr>
            </w:pPr>
            <w:r>
              <w:rPr>
                <w:rFonts w:ascii="Times New Roman" w:cs="Times New Roman" w:eastAsia="Times New Roman" w:hAnsi="Times New Roman"/>
                <w:sz w:val="17"/>
                <w:szCs w:val="17"/>
                <w:color w:val="auto"/>
              </w:rPr>
              <w:t>333-265318</w:t>
            </w:r>
          </w:p>
        </w:tc>
        <w:tc>
          <w:tcPr>
            <w:tcW w:w="20" w:type="dxa"/>
            <w:vAlign w:val="bottom"/>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line="193" w:lineRule="exact"/>
              <w:rPr>
                <w:sz w:val="20"/>
                <w:szCs w:val="20"/>
                <w:color w:val="auto"/>
              </w:rPr>
            </w:pPr>
            <w:r>
              <w:rPr>
                <w:rFonts w:ascii="Times New Roman" w:cs="Times New Roman" w:eastAsia="Times New Roman" w:hAnsi="Times New Roman"/>
                <w:sz w:val="17"/>
                <w:szCs w:val="17"/>
                <w:color w:val="auto"/>
              </w:rPr>
              <w:t>Purchase Plan</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line="193" w:lineRule="exact"/>
              <w:rPr>
                <w:sz w:val="20"/>
                <w:szCs w:val="20"/>
                <w:color w:val="auto"/>
              </w:rPr>
            </w:pPr>
            <w:r>
              <w:rPr>
                <w:rFonts w:ascii="Times New Roman" w:cs="Times New Roman" w:eastAsia="Times New Roman" w:hAnsi="Times New Roman"/>
                <w:sz w:val="17"/>
                <w:szCs w:val="17"/>
                <w:color w:val="auto"/>
              </w:rPr>
              <w:t>(Exhibit 99.1)</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10.22</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Form of Subscription Agreement for institutional</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8/5/2021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investors, by and between Sustainable Opportunities</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Acquisition Corp. and the subscriber parties thereto</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10.23</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Form of Subscription Agreement for accredited</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shd w:val="clear" w:color="auto" w:fill="CBEBF4"/>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8/5/2021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investors, by and between Sustainable Opportunities</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Acquisition Corp. and the subscriber parties thereto</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10.24</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Form of Securities Purchase Agreement, dated August</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8/15/2022</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12, 2022, by and among the Company and the</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3"/>
        </w:trPr>
        <w:tc>
          <w:tcPr>
            <w:tcW w:w="940" w:type="dxa"/>
            <w:vAlign w:val="bottom"/>
            <w:tcBorders>
              <w:left w:val="single" w:sz="8" w:color="auto"/>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tcBorders>
              <w:right w:val="single" w:sz="8" w:color="auto"/>
            </w:tcBorders>
            <w:gridSpan w:val="5"/>
          </w:tcPr>
          <w:p>
            <w:pPr>
              <w:spacing w:after="0" w:line="193" w:lineRule="exact"/>
              <w:rPr>
                <w:sz w:val="20"/>
                <w:szCs w:val="20"/>
                <w:color w:val="auto"/>
              </w:rPr>
            </w:pPr>
            <w:r>
              <w:rPr>
                <w:rFonts w:ascii="Times New Roman" w:cs="Times New Roman" w:eastAsia="Times New Roman" w:hAnsi="Times New Roman"/>
                <w:sz w:val="17"/>
                <w:szCs w:val="17"/>
                <w:color w:val="auto"/>
              </w:rPr>
              <w:t>Purchasers named therein.</w:t>
            </w:r>
          </w:p>
        </w:tc>
        <w:tc>
          <w:tcPr>
            <w:tcW w:w="7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10.25</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Securities Purchase Agreement, dated August 12, 2022</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8/15/2022</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by and among the Company and Gerard Barron.</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10.26</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Securities Purchase Agreement, dated August 12, 2022</w:t>
            </w:r>
            <w:r>
              <w:rPr>
                <w:rFonts w:ascii="Times New Roman" w:cs="Times New Roman" w:eastAsia="Times New Roman" w:hAnsi="Times New Roman"/>
                <w:sz w:val="17"/>
                <w:szCs w:val="17"/>
                <w:color w:val="auto"/>
              </w:rPr>
              <w:t>,</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8/15/2022</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by and among the Company and ERAS Capital LLC.</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10.3)</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10.27</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At-The-Market Equity Distribution Agreement, dated</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shd w:val="clear" w:color="auto" w:fill="CBEBF4"/>
          </w:tcPr>
          <w:p>
            <w:pPr>
              <w:jc w:val="center"/>
              <w:spacing w:after="0" w:line="176" w:lineRule="exact"/>
              <w:rPr>
                <w:sz w:val="20"/>
                <w:szCs w:val="20"/>
                <w:color w:val="auto"/>
              </w:rPr>
            </w:pPr>
            <w:r>
              <w:rPr>
                <w:rFonts w:ascii="Times New Roman" w:cs="Times New Roman" w:eastAsia="Times New Roman" w:hAnsi="Times New Roman"/>
                <w:sz w:val="17"/>
                <w:szCs w:val="17"/>
                <w:color w:val="auto"/>
              </w:rPr>
              <w:t>12/22/2022</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December 22, 2022, by and among TMC the metals</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company Inc., Stifel, Nicolaus &amp; Company</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Incorporated and Wedbush Securities Inc.</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61"/>
        </w:trPr>
        <w:tc>
          <w:tcPr>
            <w:tcW w:w="94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7"/>
                <w:szCs w:val="17"/>
                <w:color w:val="auto"/>
              </w:rPr>
              <w:t>10.28</w:t>
            </w:r>
          </w:p>
        </w:tc>
        <w:tc>
          <w:tcPr>
            <w:tcW w:w="160" w:type="dxa"/>
            <w:vAlign w:val="bottom"/>
          </w:tcPr>
          <w:p>
            <w:pPr>
              <w:spacing w:after="0"/>
              <w:rPr>
                <w:sz w:val="14"/>
                <w:szCs w:val="14"/>
                <w:color w:val="auto"/>
              </w:rPr>
            </w:pPr>
          </w:p>
        </w:tc>
        <w:tc>
          <w:tcPr>
            <w:tcW w:w="3440" w:type="dxa"/>
            <w:vAlign w:val="bottom"/>
            <w:tcBorders>
              <w:bottom w:val="single" w:sz="8" w:color="auto"/>
            </w:tcBorders>
            <w:gridSpan w:val="4"/>
          </w:tcPr>
          <w:p>
            <w:pPr>
              <w:spacing w:after="0" w:line="162" w:lineRule="exact"/>
              <w:rPr>
                <w:sz w:val="20"/>
                <w:szCs w:val="20"/>
                <w:color w:val="auto"/>
              </w:rPr>
            </w:pPr>
            <w:r>
              <w:rPr>
                <w:rFonts w:ascii="Times New Roman" w:cs="Times New Roman" w:eastAsia="Times New Roman" w:hAnsi="Times New Roman"/>
                <w:sz w:val="17"/>
                <w:szCs w:val="17"/>
                <w:color w:val="auto"/>
              </w:rPr>
              <w:t>Amendment No. 1 to At-The-Market Distribution</w:t>
            </w:r>
          </w:p>
        </w:tc>
        <w:tc>
          <w:tcPr>
            <w:tcW w:w="44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740" w:type="dxa"/>
            <w:vAlign w:val="bottom"/>
            <w:tcBorders>
              <w:right w:val="single" w:sz="8" w:color="auto"/>
            </w:tcBorders>
          </w:tcPr>
          <w:p>
            <w:pPr>
              <w:jc w:val="center"/>
              <w:ind w:left="54"/>
              <w:spacing w:after="0" w:line="162"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12/21/2023</w:t>
            </w:r>
          </w:p>
        </w:tc>
        <w:tc>
          <w:tcPr>
            <w:tcW w:w="1240" w:type="dxa"/>
            <w:vAlign w:val="bottom"/>
            <w:tcBorders>
              <w:right w:val="single" w:sz="8" w:color="auto"/>
            </w:tcBorders>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4"/>
                <w:szCs w:val="14"/>
                <w:color w:val="auto"/>
              </w:rPr>
            </w:pPr>
          </w:p>
        </w:tc>
      </w:tr>
      <w:tr>
        <w:trPr>
          <w:trHeight w:val="202"/>
        </w:trPr>
        <w:tc>
          <w:tcPr>
            <w:tcW w:w="9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Agreement, dated as of December 21, 2023, by and</w:t>
            </w:r>
          </w:p>
        </w:tc>
        <w:tc>
          <w:tcPr>
            <w:tcW w:w="70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among TMC the metals company Inc., Stifel, Nicolaus</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&amp; Company, Incorporated and Wedbush Securities Inc.</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10.29†</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Royalty Agreement, dated February 21, 2023 by and</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2/22/2023</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among TMC the metals company Inc., Nauru Ocean</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Resources Inc. and Low Carbon Royalties Inc.</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10.30†</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Investor Rights Agreement dated February 21, 2023 by</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2/22/2023</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and among TMC the metals company Inc., Brian Paes-</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Braga and Low Carbon Royalties Inc.</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10.31†</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5"/>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Unsecured Credit Facility, dated March 22, 2023, by</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10-K</w:t>
            </w:r>
          </w:p>
        </w:tc>
        <w:tc>
          <w:tcPr>
            <w:tcW w:w="960" w:type="dxa"/>
            <w:vAlign w:val="bottom"/>
            <w:tcBorders>
              <w:right w:val="single" w:sz="8" w:color="auto"/>
            </w:tcBorders>
            <w:shd w:val="clear" w:color="auto" w:fill="CBEBF4"/>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3/27/2023</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and between TMC the metals company Inc. and</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10.31)</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c>
          <w:tcPr>
            <w:tcW w:w="20" w:type="dxa"/>
            <w:vAlign w:val="bottom"/>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5"/>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Argentum Credit Virtuti GCV</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10.32</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Amendment to the Unsecured Credit Facility, dated</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8/01/2023</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July 31, 2023, by and between TMC the metals</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company Inc. and Argentum Credit Virtuti GCV</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10.33</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Second Amendment to the Unsecured Credit Facility</w:t>
            </w:r>
            <w:r>
              <w:rPr>
                <w:rFonts w:ascii="Times New Roman" w:cs="Times New Roman" w:eastAsia="Times New Roman" w:hAnsi="Times New Roman"/>
                <w:sz w:val="17"/>
                <w:szCs w:val="17"/>
                <w:color w:val="auto"/>
              </w:rPr>
              <w:t>,</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dated March 22, 2024, by and between TMC the metals</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company Inc. and Argentum Credit Virtuti GCV</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10.34†</w:t>
            </w:r>
          </w:p>
        </w:tc>
        <w:tc>
          <w:tcPr>
            <w:tcW w:w="160" w:type="dxa"/>
            <w:vAlign w:val="bottom"/>
          </w:tcPr>
          <w:p>
            <w:pPr>
              <w:spacing w:after="0"/>
              <w:rPr>
                <w:sz w:val="15"/>
                <w:szCs w:val="15"/>
                <w:color w:val="auto"/>
              </w:rPr>
            </w:pPr>
          </w:p>
        </w:tc>
        <w:tc>
          <w:tcPr>
            <w:tcW w:w="3880" w:type="dxa"/>
            <w:vAlign w:val="bottom"/>
            <w:tcBorders>
              <w:right w:val="single" w:sz="8" w:color="auto"/>
            </w:tcBorders>
            <w:gridSpan w:val="5"/>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Unsecured Credit Facility, dated March 22, 2024, by</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and among TMC the metals company Inc., Gerard</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5"/>
          </w:tcPr>
          <w:p>
            <w:pPr>
              <w:spacing w:after="0"/>
              <w:rPr>
                <w:sz w:val="20"/>
                <w:szCs w:val="20"/>
                <w:color w:val="auto"/>
              </w:rPr>
            </w:pPr>
            <w:r>
              <w:rPr>
                <w:rFonts w:ascii="Times New Roman" w:cs="Times New Roman" w:eastAsia="Times New Roman" w:hAnsi="Times New Roman"/>
                <w:sz w:val="17"/>
                <w:szCs w:val="17"/>
                <w:u w:val="single" w:color="auto"/>
                <w:color w:val="auto"/>
              </w:rPr>
              <w:t>Barron and ERAS Capital LLC</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15"/>
        </w:trPr>
        <w:tc>
          <w:tcPr>
            <w:tcW w:w="940" w:type="dxa"/>
            <w:vAlign w:val="bottom"/>
          </w:tcPr>
          <w:p>
            <w:pPr>
              <w:spacing w:after="0"/>
              <w:rPr>
                <w:sz w:val="24"/>
                <w:szCs w:val="24"/>
                <w:color w:val="auto"/>
              </w:rPr>
            </w:pPr>
          </w:p>
        </w:tc>
        <w:tc>
          <w:tcPr>
            <w:tcW w:w="4040" w:type="dxa"/>
            <w:vAlign w:val="bottom"/>
            <w:gridSpan w:val="6"/>
          </w:tcPr>
          <w:p>
            <w:pPr>
              <w:jc w:val="right"/>
              <w:ind w:right="40"/>
              <w:spacing w:after="0"/>
              <w:rPr>
                <w:sz w:val="20"/>
                <w:szCs w:val="20"/>
                <w:color w:val="auto"/>
              </w:rPr>
            </w:pPr>
            <w:r>
              <w:rPr>
                <w:rFonts w:ascii="Times New Roman" w:cs="Times New Roman" w:eastAsia="Times New Roman" w:hAnsi="Times New Roman"/>
                <w:sz w:val="17"/>
                <w:szCs w:val="17"/>
                <w:color w:val="auto"/>
              </w:rPr>
              <w:t>168</w:t>
            </w: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24"/>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2240" w:h="15840" w:orient="portrait"/>
          <w:cols w:equalWidth="0" w:num="1">
            <w:col w:w="9640"/>
          </w:cols>
          <w:pgMar w:left="1300" w:top="1320" w:right="1300" w:bottom="1440" w:gutter="0" w:footer="0" w:header="0"/>
        </w:sectPr>
      </w:pPr>
    </w:p>
    <w:bookmarkStart w:id="174" w:name="page175"/>
    <w:bookmarkEnd w:id="174"/>
    <w:p>
      <w:pPr>
        <w:spacing w:after="0" w:line="1"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15" name="Shape 9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15" o:spid="_x0000_s194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16" name="Shape 9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16" o:spid="_x0000_s194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17" name="Shape 9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17" o:spid="_x0000_s19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18" name="Shape 9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18" o:spid="_x0000_s194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r>
    </w:p>
    <w:tbl>
      <w:tblPr>
        <w:tblLayout w:type="fixed"/>
        <w:tblInd w:w="10" w:type="dxa"/>
        <w:tblCellMar>
          <w:top w:w="0" w:type="dxa"/>
          <w:left w:w="0" w:type="dxa"/>
          <w:bottom w:w="0" w:type="dxa"/>
          <w:right w:w="0" w:type="dxa"/>
        </w:tblCellMar>
      </w:tblPr>
      <w:tr>
        <w:trPr>
          <w:trHeight w:val="207"/>
        </w:trPr>
        <w:tc>
          <w:tcPr>
            <w:tcW w:w="940" w:type="dxa"/>
            <w:vAlign w:val="bottom"/>
            <w:tcBorders>
              <w:top w:val="single" w:sz="8" w:color="auto"/>
              <w:left w:val="single" w:sz="8" w:color="auto"/>
              <w:right w:val="single" w:sz="8" w:color="auto"/>
            </w:tcBorders>
            <w:shd w:val="clear" w:color="auto" w:fill="CBEBF4"/>
          </w:tcPr>
          <w:p>
            <w:pPr>
              <w:ind w:left="40"/>
              <w:spacing w:after="0"/>
              <w:rPr>
                <w:sz w:val="20"/>
                <w:szCs w:val="20"/>
                <w:color w:val="auto"/>
              </w:rPr>
            </w:pPr>
            <w:r>
              <w:rPr>
                <w:rFonts w:ascii="Times New Roman" w:cs="Times New Roman" w:eastAsia="Times New Roman" w:hAnsi="Times New Roman"/>
                <w:sz w:val="17"/>
                <w:szCs w:val="17"/>
                <w:color w:val="auto"/>
              </w:rPr>
              <w:t>10.35</w:t>
            </w:r>
          </w:p>
        </w:tc>
        <w:tc>
          <w:tcPr>
            <w:tcW w:w="160" w:type="dxa"/>
            <w:vAlign w:val="bottom"/>
            <w:tcBorders>
              <w:top w:val="single" w:sz="8" w:color="auto"/>
            </w:tcBorders>
            <w:shd w:val="clear" w:color="auto" w:fill="CBEBF4"/>
          </w:tcPr>
          <w:p>
            <w:pPr>
              <w:spacing w:after="0"/>
              <w:rPr>
                <w:sz w:val="18"/>
                <w:szCs w:val="18"/>
                <w:color w:val="auto"/>
              </w:rPr>
            </w:pPr>
          </w:p>
        </w:tc>
        <w:tc>
          <w:tcPr>
            <w:tcW w:w="3880" w:type="dxa"/>
            <w:vAlign w:val="bottom"/>
            <w:tcBorders>
              <w:top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Exclusive Vessel Use Agreement, dated August 1</w:t>
            </w:r>
            <w:r>
              <w:rPr>
                <w:rFonts w:ascii="Times New Roman" w:cs="Times New Roman" w:eastAsia="Times New Roman" w:hAnsi="Times New Roman"/>
                <w:sz w:val="17"/>
                <w:szCs w:val="17"/>
                <w:color w:val="auto"/>
              </w:rPr>
              <w:t>,</w:t>
            </w:r>
          </w:p>
        </w:tc>
        <w:tc>
          <w:tcPr>
            <w:tcW w:w="700" w:type="dxa"/>
            <w:vAlign w:val="bottom"/>
            <w:tcBorders>
              <w:top w:val="single" w:sz="8" w:color="auto"/>
              <w:right w:val="single" w:sz="8" w:color="auto"/>
            </w:tcBorders>
            <w:shd w:val="clear" w:color="auto" w:fill="CBEBF4"/>
          </w:tcPr>
          <w:p>
            <w:pPr>
              <w:spacing w:after="0"/>
              <w:rPr>
                <w:sz w:val="18"/>
                <w:szCs w:val="18"/>
                <w:color w:val="auto"/>
              </w:rPr>
            </w:pPr>
          </w:p>
        </w:tc>
        <w:tc>
          <w:tcPr>
            <w:tcW w:w="1740" w:type="dxa"/>
            <w:vAlign w:val="bottom"/>
            <w:tcBorders>
              <w:top w:val="single" w:sz="8" w:color="auto"/>
              <w:right w:val="single" w:sz="8" w:color="auto"/>
            </w:tcBorders>
            <w:shd w:val="clear" w:color="auto" w:fill="CBEBF4"/>
          </w:tcPr>
          <w:p>
            <w:pPr>
              <w:jc w:val="center"/>
              <w:ind w:left="54"/>
              <w:spacing w:after="0"/>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top w:val="single" w:sz="8" w:color="auto"/>
              <w:right w:val="single" w:sz="8" w:color="auto"/>
            </w:tcBorders>
            <w:shd w:val="clear" w:color="auto" w:fill="CBEBF4"/>
          </w:tcPr>
          <w:p>
            <w:pPr>
              <w:jc w:val="center"/>
              <w:ind w:left="14"/>
              <w:spacing w:after="0"/>
              <w:rPr>
                <w:sz w:val="20"/>
                <w:szCs w:val="20"/>
                <w:color w:val="auto"/>
              </w:rPr>
            </w:pPr>
            <w:r>
              <w:rPr>
                <w:rFonts w:ascii="Times New Roman" w:cs="Times New Roman" w:eastAsia="Times New Roman" w:hAnsi="Times New Roman"/>
                <w:sz w:val="17"/>
                <w:szCs w:val="17"/>
                <w:color w:val="auto"/>
              </w:rPr>
              <w:t>8/01/2023</w:t>
            </w:r>
          </w:p>
        </w:tc>
        <w:tc>
          <w:tcPr>
            <w:tcW w:w="1240" w:type="dxa"/>
            <w:vAlign w:val="bottom"/>
            <w:tcBorders>
              <w:top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2023, by and between TMC the metals company Inc.</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and Allseas Group S.A.</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10.36</w:t>
            </w:r>
          </w:p>
        </w:tc>
        <w:tc>
          <w:tcPr>
            <w:tcW w:w="160" w:type="dxa"/>
            <w:vAlign w:val="bottom"/>
          </w:tcPr>
          <w:p>
            <w:pPr>
              <w:spacing w:after="0"/>
              <w:rPr>
                <w:sz w:val="15"/>
                <w:szCs w:val="15"/>
                <w:color w:val="auto"/>
              </w:rPr>
            </w:pPr>
          </w:p>
        </w:tc>
        <w:tc>
          <w:tcPr>
            <w:tcW w:w="388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Form of Securities Purchase Agreement, dated August</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6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8/14/2023</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4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7"/>
                <w:szCs w:val="17"/>
                <w:u w:val="single" w:color="auto"/>
                <w:color w:val="auto"/>
              </w:rPr>
              <w:t>14, 2023</w:t>
            </w:r>
          </w:p>
        </w:tc>
        <w:tc>
          <w:tcPr>
            <w:tcW w:w="2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61"/>
        </w:trPr>
        <w:tc>
          <w:tcPr>
            <w:tcW w:w="940" w:type="dxa"/>
            <w:vAlign w:val="bottom"/>
            <w:tcBorders>
              <w:left w:val="single" w:sz="8" w:color="auto"/>
              <w:bottom w:val="single" w:sz="8" w:color="CBEBF4"/>
              <w:right w:val="single" w:sz="8" w:color="auto"/>
            </w:tcBorders>
            <w:shd w:val="clear" w:color="auto" w:fill="CBEBF4"/>
          </w:tcPr>
          <w:p>
            <w:pPr>
              <w:ind w:left="40"/>
              <w:spacing w:after="0" w:line="162" w:lineRule="exact"/>
              <w:rPr>
                <w:sz w:val="20"/>
                <w:szCs w:val="20"/>
                <w:color w:val="auto"/>
              </w:rPr>
            </w:pPr>
            <w:r>
              <w:rPr>
                <w:rFonts w:ascii="Times New Roman" w:cs="Times New Roman" w:eastAsia="Times New Roman" w:hAnsi="Times New Roman"/>
                <w:sz w:val="17"/>
                <w:szCs w:val="17"/>
                <w:color w:val="auto"/>
              </w:rPr>
              <w:t>21.1</w:t>
            </w:r>
          </w:p>
        </w:tc>
        <w:tc>
          <w:tcPr>
            <w:tcW w:w="160" w:type="dxa"/>
            <w:vAlign w:val="bottom"/>
            <w:tcBorders>
              <w:bottom w:val="single" w:sz="8" w:color="CBEBF4"/>
            </w:tcBorders>
            <w:shd w:val="clear" w:color="auto" w:fill="CBEBF4"/>
          </w:tcPr>
          <w:p>
            <w:pPr>
              <w:spacing w:after="0"/>
              <w:rPr>
                <w:sz w:val="14"/>
                <w:szCs w:val="14"/>
                <w:color w:val="auto"/>
              </w:rPr>
            </w:pPr>
          </w:p>
        </w:tc>
        <w:tc>
          <w:tcPr>
            <w:tcW w:w="1340" w:type="dxa"/>
            <w:vAlign w:val="bottom"/>
            <w:tcBorders>
              <w:bottom w:val="single" w:sz="8" w:color="auto"/>
            </w:tcBorders>
            <w:gridSpan w:val="3"/>
            <w:shd w:val="clear" w:color="auto" w:fill="CBEBF4"/>
          </w:tcPr>
          <w:p>
            <w:pPr>
              <w:spacing w:after="0" w:line="149" w:lineRule="exact"/>
              <w:rPr>
                <w:sz w:val="20"/>
                <w:szCs w:val="20"/>
                <w:color w:val="auto"/>
              </w:rPr>
            </w:pPr>
            <w:r>
              <w:rPr>
                <w:rFonts w:ascii="Times New Roman" w:cs="Times New Roman" w:eastAsia="Times New Roman" w:hAnsi="Times New Roman"/>
                <w:sz w:val="17"/>
                <w:szCs w:val="17"/>
                <w:color w:val="auto"/>
                <w:w w:val="99"/>
              </w:rPr>
              <w:t>List of Subsidiaries</w:t>
            </w:r>
          </w:p>
        </w:tc>
        <w:tc>
          <w:tcPr>
            <w:tcW w:w="2540" w:type="dxa"/>
            <w:vAlign w:val="bottom"/>
            <w:tcBorders>
              <w:bottom w:val="single" w:sz="8" w:color="CBEBF4"/>
              <w:right w:val="single" w:sz="8" w:color="auto"/>
            </w:tcBorders>
            <w:shd w:val="clear" w:color="auto" w:fill="CBEBF4"/>
          </w:tcPr>
          <w:p>
            <w:pPr>
              <w:spacing w:after="0"/>
              <w:rPr>
                <w:sz w:val="14"/>
                <w:szCs w:val="14"/>
                <w:color w:val="auto"/>
              </w:rPr>
            </w:pPr>
          </w:p>
        </w:tc>
        <w:tc>
          <w:tcPr>
            <w:tcW w:w="700" w:type="dxa"/>
            <w:vAlign w:val="bottom"/>
            <w:tcBorders>
              <w:bottom w:val="single" w:sz="8" w:color="CBEBF4"/>
              <w:right w:val="single" w:sz="8" w:color="auto"/>
            </w:tcBorders>
            <w:shd w:val="clear" w:color="auto" w:fill="CBEBF4"/>
          </w:tcPr>
          <w:p>
            <w:pPr>
              <w:spacing w:after="0"/>
              <w:rPr>
                <w:sz w:val="14"/>
                <w:szCs w:val="14"/>
                <w:color w:val="auto"/>
              </w:rPr>
            </w:pPr>
          </w:p>
        </w:tc>
        <w:tc>
          <w:tcPr>
            <w:tcW w:w="1740" w:type="dxa"/>
            <w:vAlign w:val="bottom"/>
            <w:tcBorders>
              <w:bottom w:val="single" w:sz="8" w:color="CBEBF4"/>
              <w:right w:val="single" w:sz="8" w:color="auto"/>
            </w:tcBorders>
            <w:shd w:val="clear" w:color="auto" w:fill="CBEBF4"/>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rPr>
              <w:t>Form S-1</w:t>
            </w:r>
          </w:p>
        </w:tc>
        <w:tc>
          <w:tcPr>
            <w:tcW w:w="960" w:type="dxa"/>
            <w:vAlign w:val="bottom"/>
            <w:tcBorders>
              <w:bottom w:val="single" w:sz="8" w:color="CBEBF4"/>
              <w:right w:val="single" w:sz="8" w:color="auto"/>
            </w:tcBorders>
            <w:shd w:val="clear" w:color="auto" w:fill="CBEBF4"/>
          </w:tcPr>
          <w:p>
            <w:pPr>
              <w:jc w:val="center"/>
              <w:spacing w:after="0" w:line="162" w:lineRule="exact"/>
              <w:rPr>
                <w:sz w:val="20"/>
                <w:szCs w:val="20"/>
                <w:color w:val="auto"/>
              </w:rPr>
            </w:pPr>
            <w:r>
              <w:rPr>
                <w:rFonts w:ascii="Times New Roman" w:cs="Times New Roman" w:eastAsia="Times New Roman" w:hAnsi="Times New Roman"/>
                <w:sz w:val="17"/>
                <w:szCs w:val="17"/>
                <w:color w:val="auto"/>
              </w:rPr>
              <w:t>10/27/2021</w:t>
            </w:r>
          </w:p>
        </w:tc>
        <w:tc>
          <w:tcPr>
            <w:tcW w:w="1240" w:type="dxa"/>
            <w:vAlign w:val="bottom"/>
            <w:tcBorders>
              <w:bottom w:val="single" w:sz="8" w:color="CBEBF4"/>
              <w:right w:val="single" w:sz="8" w:color="auto"/>
            </w:tcBorders>
            <w:shd w:val="clear" w:color="auto" w:fill="CBEBF4"/>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rPr>
              <w:t>333-260126</w:t>
            </w:r>
          </w:p>
        </w:tc>
      </w:tr>
      <w:tr>
        <w:trPr>
          <w:trHeight w:val="226"/>
        </w:trPr>
        <w:tc>
          <w:tcPr>
            <w:tcW w:w="940" w:type="dxa"/>
            <w:vAlign w:val="bottom"/>
            <w:tcBorders>
              <w:left w:val="single" w:sz="8" w:color="auto"/>
              <w:bottom w:val="single" w:sz="8" w:color="auto"/>
              <w:right w:val="single" w:sz="8" w:color="auto"/>
            </w:tcBorders>
            <w:shd w:val="clear" w:color="auto" w:fill="CBEBF4"/>
          </w:tcPr>
          <w:p>
            <w:pPr>
              <w:spacing w:after="0"/>
              <w:rPr>
                <w:sz w:val="19"/>
                <w:szCs w:val="19"/>
                <w:color w:val="auto"/>
              </w:rPr>
            </w:pPr>
          </w:p>
        </w:tc>
        <w:tc>
          <w:tcPr>
            <w:tcW w:w="160" w:type="dxa"/>
            <w:vAlign w:val="bottom"/>
            <w:tcBorders>
              <w:bottom w:val="single" w:sz="8" w:color="auto"/>
            </w:tcBorders>
            <w:shd w:val="clear" w:color="auto" w:fill="CBEBF4"/>
          </w:tcPr>
          <w:p>
            <w:pPr>
              <w:spacing w:after="0"/>
              <w:rPr>
                <w:sz w:val="19"/>
                <w:szCs w:val="19"/>
                <w:color w:val="auto"/>
              </w:rPr>
            </w:pPr>
          </w:p>
        </w:tc>
        <w:tc>
          <w:tcPr>
            <w:tcW w:w="340" w:type="dxa"/>
            <w:vAlign w:val="bottom"/>
            <w:tcBorders>
              <w:bottom w:val="single" w:sz="8" w:color="auto"/>
            </w:tcBorders>
            <w:shd w:val="clear" w:color="auto" w:fill="CBEBF4"/>
          </w:tcPr>
          <w:p>
            <w:pPr>
              <w:spacing w:after="0"/>
              <w:rPr>
                <w:sz w:val="19"/>
                <w:szCs w:val="19"/>
                <w:color w:val="auto"/>
              </w:rPr>
            </w:pPr>
          </w:p>
        </w:tc>
        <w:tc>
          <w:tcPr>
            <w:tcW w:w="980" w:type="dxa"/>
            <w:vAlign w:val="bottom"/>
            <w:tcBorders>
              <w:bottom w:val="single" w:sz="8" w:color="auto"/>
            </w:tcBorders>
            <w:shd w:val="clear" w:color="auto" w:fill="CBEBF4"/>
          </w:tcPr>
          <w:p>
            <w:pPr>
              <w:spacing w:after="0"/>
              <w:rPr>
                <w:sz w:val="19"/>
                <w:szCs w:val="19"/>
                <w:color w:val="auto"/>
              </w:rPr>
            </w:pPr>
          </w:p>
        </w:tc>
        <w:tc>
          <w:tcPr>
            <w:tcW w:w="20" w:type="dxa"/>
            <w:vAlign w:val="bottom"/>
            <w:tcBorders>
              <w:bottom w:val="single" w:sz="8" w:color="auto"/>
            </w:tcBorders>
            <w:shd w:val="clear" w:color="auto" w:fill="CBEBF4"/>
          </w:tcPr>
          <w:p>
            <w:pPr>
              <w:spacing w:after="0"/>
              <w:rPr>
                <w:sz w:val="19"/>
                <w:szCs w:val="19"/>
                <w:color w:val="auto"/>
              </w:rPr>
            </w:pPr>
          </w:p>
        </w:tc>
        <w:tc>
          <w:tcPr>
            <w:tcW w:w="2540" w:type="dxa"/>
            <w:vAlign w:val="bottom"/>
            <w:tcBorders>
              <w:bottom w:val="single" w:sz="8" w:color="auto"/>
              <w:right w:val="single" w:sz="8" w:color="auto"/>
            </w:tcBorders>
            <w:shd w:val="clear" w:color="auto" w:fill="CBEBF4"/>
          </w:tcPr>
          <w:p>
            <w:pPr>
              <w:spacing w:after="0"/>
              <w:rPr>
                <w:sz w:val="19"/>
                <w:szCs w:val="19"/>
                <w:color w:val="auto"/>
              </w:rPr>
            </w:pPr>
          </w:p>
        </w:tc>
        <w:tc>
          <w:tcPr>
            <w:tcW w:w="700" w:type="dxa"/>
            <w:vAlign w:val="bottom"/>
            <w:tcBorders>
              <w:bottom w:val="single" w:sz="8" w:color="auto"/>
              <w:right w:val="single" w:sz="8" w:color="auto"/>
            </w:tcBorders>
            <w:shd w:val="clear" w:color="auto" w:fill="CBEBF4"/>
          </w:tcPr>
          <w:p>
            <w:pPr>
              <w:spacing w:after="0"/>
              <w:rPr>
                <w:sz w:val="19"/>
                <w:szCs w:val="19"/>
                <w:color w:val="auto"/>
              </w:rPr>
            </w:pPr>
          </w:p>
        </w:tc>
        <w:tc>
          <w:tcPr>
            <w:tcW w:w="1740" w:type="dxa"/>
            <w:vAlign w:val="bottom"/>
            <w:tcBorders>
              <w:bottom w:val="single" w:sz="8" w:color="auto"/>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21.1)</w:t>
            </w:r>
          </w:p>
        </w:tc>
        <w:tc>
          <w:tcPr>
            <w:tcW w:w="960" w:type="dxa"/>
            <w:vAlign w:val="bottom"/>
            <w:tcBorders>
              <w:bottom w:val="single" w:sz="8" w:color="auto"/>
              <w:right w:val="single" w:sz="8" w:color="auto"/>
            </w:tcBorders>
            <w:shd w:val="clear" w:color="auto" w:fill="CBEBF4"/>
          </w:tcPr>
          <w:p>
            <w:pPr>
              <w:spacing w:after="0"/>
              <w:rPr>
                <w:sz w:val="19"/>
                <w:szCs w:val="19"/>
                <w:color w:val="auto"/>
              </w:rPr>
            </w:pPr>
          </w:p>
        </w:tc>
        <w:tc>
          <w:tcPr>
            <w:tcW w:w="1240" w:type="dxa"/>
            <w:vAlign w:val="bottom"/>
            <w:tcBorders>
              <w:bottom w:val="single" w:sz="8" w:color="auto"/>
              <w:right w:val="single" w:sz="8" w:color="auto"/>
            </w:tcBorders>
            <w:shd w:val="clear" w:color="auto" w:fill="CBEBF4"/>
          </w:tcPr>
          <w:p>
            <w:pPr>
              <w:spacing w:after="0"/>
              <w:rPr>
                <w:sz w:val="19"/>
                <w:szCs w:val="19"/>
                <w:color w:val="auto"/>
              </w:rPr>
            </w:pPr>
          </w:p>
        </w:tc>
      </w:tr>
      <w:tr>
        <w:trPr>
          <w:trHeight w:val="226"/>
        </w:trPr>
        <w:tc>
          <w:tcPr>
            <w:tcW w:w="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23.1**</w:t>
            </w:r>
          </w:p>
        </w:tc>
        <w:tc>
          <w:tcPr>
            <w:tcW w:w="160" w:type="dxa"/>
            <w:vAlign w:val="bottom"/>
            <w:tcBorders>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Consent of Ernst &amp; Young LLP</w:t>
            </w:r>
          </w:p>
        </w:tc>
        <w:tc>
          <w:tcPr>
            <w:tcW w:w="7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177"/>
        </w:trPr>
        <w:tc>
          <w:tcPr>
            <w:tcW w:w="940" w:type="dxa"/>
            <w:vAlign w:val="bottom"/>
            <w:tcBorders>
              <w:left w:val="single" w:sz="8" w:color="auto"/>
              <w:right w:val="single" w:sz="8" w:color="auto"/>
            </w:tcBorders>
            <w:shd w:val="clear" w:color="auto" w:fill="CBEBF4"/>
          </w:tcPr>
          <w:p>
            <w:pPr>
              <w:ind w:left="40"/>
              <w:spacing w:after="0" w:line="177" w:lineRule="exact"/>
              <w:rPr>
                <w:sz w:val="20"/>
                <w:szCs w:val="20"/>
                <w:color w:val="auto"/>
              </w:rPr>
            </w:pPr>
            <w:r>
              <w:rPr>
                <w:rFonts w:ascii="Times New Roman" w:cs="Times New Roman" w:eastAsia="Times New Roman" w:hAnsi="Times New Roman"/>
                <w:sz w:val="17"/>
                <w:szCs w:val="17"/>
                <w:color w:val="auto"/>
              </w:rPr>
              <w:t>31.1</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4"/>
            <w:shd w:val="clear" w:color="auto" w:fill="CBEBF4"/>
          </w:tcPr>
          <w:p>
            <w:pPr>
              <w:spacing w:after="0" w:line="177" w:lineRule="exact"/>
              <w:rPr>
                <w:sz w:val="20"/>
                <w:szCs w:val="20"/>
                <w:color w:val="auto"/>
              </w:rPr>
            </w:pPr>
            <w:r>
              <w:rPr>
                <w:rFonts w:ascii="Times New Roman" w:cs="Times New Roman" w:eastAsia="Times New Roman" w:hAnsi="Times New Roman"/>
                <w:sz w:val="17"/>
                <w:szCs w:val="17"/>
                <w:u w:val="single" w:color="auto"/>
                <w:color w:val="auto"/>
              </w:rPr>
              <w:t>Certification of the Principal Executive Officer</w:t>
            </w:r>
          </w:p>
        </w:tc>
        <w:tc>
          <w:tcPr>
            <w:tcW w:w="700" w:type="dxa"/>
            <w:vAlign w:val="bottom"/>
            <w:tcBorders>
              <w:right w:val="single" w:sz="8" w:color="auto"/>
            </w:tcBorders>
            <w:shd w:val="clear" w:color="auto" w:fill="CBEBF4"/>
          </w:tcPr>
          <w:p>
            <w:pPr>
              <w:ind w:left="360"/>
              <w:spacing w:after="0" w:line="177"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240" w:type="dxa"/>
            <w:vAlign w:val="bottom"/>
            <w:tcBorders>
              <w:right w:val="single" w:sz="8" w:color="auto"/>
            </w:tcBorders>
            <w:shd w:val="clear" w:color="auto" w:fill="CBEBF4"/>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pursuant to Section 302 of the Sarbanes-Oxley Act of</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480" w:type="dxa"/>
            <w:vAlign w:val="bottom"/>
            <w:tcBorders>
              <w:bottom w:val="single" w:sz="8" w:color="auto"/>
            </w:tcBorders>
            <w:gridSpan w:val="3"/>
            <w:shd w:val="clear" w:color="auto" w:fill="CBEBF4"/>
          </w:tcPr>
          <w:p>
            <w:pPr>
              <w:ind w:left="160"/>
              <w:spacing w:after="0" w:line="193" w:lineRule="exact"/>
              <w:rPr>
                <w:sz w:val="20"/>
                <w:szCs w:val="20"/>
                <w:color w:val="auto"/>
              </w:rPr>
            </w:pPr>
            <w:r>
              <w:rPr>
                <w:rFonts w:ascii="Times New Roman" w:cs="Times New Roman" w:eastAsia="Times New Roman" w:hAnsi="Times New Roman"/>
                <w:sz w:val="17"/>
                <w:szCs w:val="17"/>
                <w:color w:val="auto"/>
              </w:rPr>
              <w:t>2002</w:t>
            </w:r>
          </w:p>
        </w:tc>
        <w:tc>
          <w:tcPr>
            <w:tcW w:w="20" w:type="dxa"/>
            <w:vAlign w:val="bottom"/>
            <w:tcBorders>
              <w:bottom w:val="single" w:sz="8" w:color="auto"/>
            </w:tcBorders>
            <w:shd w:val="clear" w:color="auto" w:fill="CBEBF4"/>
          </w:tcPr>
          <w:p>
            <w:pPr>
              <w:spacing w:after="0"/>
              <w:rPr>
                <w:sz w:val="20"/>
                <w:szCs w:val="20"/>
                <w:color w:val="auto"/>
              </w:rPr>
            </w:pPr>
          </w:p>
        </w:tc>
        <w:tc>
          <w:tcPr>
            <w:tcW w:w="2540" w:type="dxa"/>
            <w:vAlign w:val="bottom"/>
            <w:tcBorders>
              <w:bottom w:val="single" w:sz="8" w:color="auto"/>
              <w:right w:val="single" w:sz="8" w:color="auto"/>
            </w:tcBorders>
            <w:shd w:val="clear" w:color="auto" w:fill="CBEBF4"/>
          </w:tcPr>
          <w:p>
            <w:pPr>
              <w:spacing w:after="0"/>
              <w:rPr>
                <w:sz w:val="20"/>
                <w:szCs w:val="20"/>
                <w:color w:val="auto"/>
              </w:rPr>
            </w:pP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175"/>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5"/>
                <w:szCs w:val="15"/>
                <w:color w:val="auto"/>
              </w:rPr>
            </w:pPr>
          </w:p>
        </w:tc>
        <w:tc>
          <w:tcPr>
            <w:tcW w:w="388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Certification of the Principal Financial Officer pursuant</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to Section 302 of the Sarbanes-Oxley Act of 2002</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61"/>
        </w:trPr>
        <w:tc>
          <w:tcPr>
            <w:tcW w:w="940" w:type="dxa"/>
            <w:vAlign w:val="bottom"/>
            <w:tcBorders>
              <w:left w:val="single" w:sz="8" w:color="auto"/>
              <w:bottom w:val="single" w:sz="8" w:color="CBEBF4"/>
              <w:right w:val="single" w:sz="8" w:color="auto"/>
            </w:tcBorders>
            <w:shd w:val="clear" w:color="auto" w:fill="CBEBF4"/>
          </w:tcPr>
          <w:p>
            <w:pPr>
              <w:ind w:left="40"/>
              <w:spacing w:after="0" w:line="162" w:lineRule="exact"/>
              <w:rPr>
                <w:sz w:val="20"/>
                <w:szCs w:val="20"/>
                <w:color w:val="auto"/>
              </w:rPr>
            </w:pPr>
            <w:r>
              <w:rPr>
                <w:rFonts w:ascii="Times New Roman" w:cs="Times New Roman" w:eastAsia="Times New Roman" w:hAnsi="Times New Roman"/>
                <w:sz w:val="17"/>
                <w:szCs w:val="17"/>
                <w:color w:val="auto"/>
              </w:rPr>
              <w:t>32*</w:t>
            </w:r>
          </w:p>
        </w:tc>
        <w:tc>
          <w:tcPr>
            <w:tcW w:w="160" w:type="dxa"/>
            <w:vAlign w:val="bottom"/>
            <w:tcBorders>
              <w:bottom w:val="single" w:sz="8" w:color="CBEBF4"/>
            </w:tcBorders>
            <w:shd w:val="clear" w:color="auto" w:fill="CBEBF4"/>
          </w:tcPr>
          <w:p>
            <w:pPr>
              <w:spacing w:after="0"/>
              <w:rPr>
                <w:sz w:val="14"/>
                <w:szCs w:val="14"/>
                <w:color w:val="auto"/>
              </w:rPr>
            </w:pPr>
          </w:p>
        </w:tc>
        <w:tc>
          <w:tcPr>
            <w:tcW w:w="3880" w:type="dxa"/>
            <w:vAlign w:val="bottom"/>
            <w:tcBorders>
              <w:bottom w:val="single" w:sz="8" w:color="auto"/>
              <w:right w:val="single" w:sz="8" w:color="auto"/>
            </w:tcBorders>
            <w:gridSpan w:val="4"/>
            <w:shd w:val="clear" w:color="auto" w:fill="CBEBF4"/>
          </w:tcPr>
          <w:p>
            <w:pPr>
              <w:spacing w:after="0" w:line="149" w:lineRule="exact"/>
              <w:rPr>
                <w:sz w:val="20"/>
                <w:szCs w:val="20"/>
                <w:color w:val="auto"/>
              </w:rPr>
            </w:pPr>
            <w:r>
              <w:rPr>
                <w:rFonts w:ascii="Times New Roman" w:cs="Times New Roman" w:eastAsia="Times New Roman" w:hAnsi="Times New Roman"/>
                <w:sz w:val="17"/>
                <w:szCs w:val="17"/>
                <w:color w:val="auto"/>
              </w:rPr>
              <w:t>Certifications of the Chief Executive Officer and Chief</w:t>
            </w:r>
          </w:p>
        </w:tc>
        <w:tc>
          <w:tcPr>
            <w:tcW w:w="700" w:type="dxa"/>
            <w:vAlign w:val="bottom"/>
            <w:tcBorders>
              <w:bottom w:val="single" w:sz="8" w:color="CBEBF4"/>
              <w:right w:val="single" w:sz="8" w:color="auto"/>
            </w:tcBorders>
            <w:shd w:val="clear" w:color="auto" w:fill="CBEBF4"/>
          </w:tcPr>
          <w:p>
            <w:pPr>
              <w:ind w:left="360"/>
              <w:spacing w:after="0" w:line="162"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bottom w:val="single" w:sz="8" w:color="CBEBF4"/>
              <w:right w:val="single" w:sz="8" w:color="auto"/>
            </w:tcBorders>
            <w:shd w:val="clear" w:color="auto" w:fill="CBEBF4"/>
          </w:tcPr>
          <w:p>
            <w:pPr>
              <w:spacing w:after="0"/>
              <w:rPr>
                <w:sz w:val="14"/>
                <w:szCs w:val="14"/>
                <w:color w:val="auto"/>
              </w:rPr>
            </w:pPr>
          </w:p>
        </w:tc>
        <w:tc>
          <w:tcPr>
            <w:tcW w:w="960" w:type="dxa"/>
            <w:vAlign w:val="bottom"/>
            <w:tcBorders>
              <w:bottom w:val="single" w:sz="8" w:color="CBEBF4"/>
              <w:right w:val="single" w:sz="8" w:color="auto"/>
            </w:tcBorders>
            <w:shd w:val="clear" w:color="auto" w:fill="CBEBF4"/>
          </w:tcPr>
          <w:p>
            <w:pPr>
              <w:spacing w:after="0"/>
              <w:rPr>
                <w:sz w:val="14"/>
                <w:szCs w:val="14"/>
                <w:color w:val="auto"/>
              </w:rPr>
            </w:pPr>
          </w:p>
        </w:tc>
        <w:tc>
          <w:tcPr>
            <w:tcW w:w="1240" w:type="dxa"/>
            <w:vAlign w:val="bottom"/>
            <w:tcBorders>
              <w:bottom w:val="single" w:sz="8" w:color="CBEBF4"/>
              <w:right w:val="single" w:sz="8" w:color="auto"/>
            </w:tcBorders>
            <w:shd w:val="clear" w:color="auto" w:fill="CBEBF4"/>
          </w:tcPr>
          <w:p>
            <w:pPr>
              <w:spacing w:after="0"/>
              <w:rPr>
                <w:sz w:val="14"/>
                <w:szCs w:val="14"/>
                <w:color w:val="auto"/>
              </w:rPr>
            </w:pPr>
          </w:p>
        </w:tc>
      </w:tr>
      <w:tr>
        <w:trPr>
          <w:trHeight w:val="202"/>
        </w:trPr>
        <w:tc>
          <w:tcPr>
            <w:tcW w:w="940" w:type="dxa"/>
            <w:vAlign w:val="bottom"/>
            <w:tcBorders>
              <w:left w:val="single" w:sz="8" w:color="auto"/>
              <w:right w:val="single" w:sz="8" w:color="auto"/>
            </w:tcBorders>
            <w:shd w:val="clear" w:color="auto" w:fill="CBEBF4"/>
          </w:tcPr>
          <w:p>
            <w:pPr>
              <w:spacing w:after="0"/>
              <w:rPr>
                <w:sz w:val="17"/>
                <w:szCs w:val="17"/>
                <w:color w:val="auto"/>
              </w:rPr>
            </w:pPr>
          </w:p>
        </w:tc>
        <w:tc>
          <w:tcPr>
            <w:tcW w:w="160" w:type="dxa"/>
            <w:vAlign w:val="bottom"/>
            <w:shd w:val="clear" w:color="auto" w:fill="CBEBF4"/>
          </w:tcPr>
          <w:p>
            <w:pPr>
              <w:spacing w:after="0"/>
              <w:rPr>
                <w:sz w:val="17"/>
                <w:szCs w:val="17"/>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Financial Officer pursuant to Section 906 of the</w:t>
            </w:r>
          </w:p>
        </w:tc>
        <w:tc>
          <w:tcPr>
            <w:tcW w:w="700" w:type="dxa"/>
            <w:vAlign w:val="bottom"/>
            <w:tcBorders>
              <w:right w:val="single" w:sz="8" w:color="auto"/>
            </w:tcBorders>
            <w:shd w:val="clear" w:color="auto" w:fill="CBEBF4"/>
          </w:tcPr>
          <w:p>
            <w:pPr>
              <w:spacing w:after="0"/>
              <w:rPr>
                <w:sz w:val="17"/>
                <w:szCs w:val="17"/>
                <w:color w:val="auto"/>
              </w:rPr>
            </w:pPr>
          </w:p>
        </w:tc>
        <w:tc>
          <w:tcPr>
            <w:tcW w:w="1740" w:type="dxa"/>
            <w:vAlign w:val="bottom"/>
            <w:tcBorders>
              <w:right w:val="single" w:sz="8" w:color="auto"/>
            </w:tcBorders>
            <w:shd w:val="clear" w:color="auto" w:fill="CBEBF4"/>
          </w:tcPr>
          <w:p>
            <w:pPr>
              <w:spacing w:after="0"/>
              <w:rPr>
                <w:sz w:val="17"/>
                <w:szCs w:val="17"/>
                <w:color w:val="auto"/>
              </w:rPr>
            </w:pPr>
          </w:p>
        </w:tc>
        <w:tc>
          <w:tcPr>
            <w:tcW w:w="960" w:type="dxa"/>
            <w:vAlign w:val="bottom"/>
            <w:tcBorders>
              <w:right w:val="single" w:sz="8" w:color="auto"/>
            </w:tcBorders>
            <w:shd w:val="clear" w:color="auto" w:fill="CBEBF4"/>
          </w:tcPr>
          <w:p>
            <w:pPr>
              <w:spacing w:after="0"/>
              <w:rPr>
                <w:sz w:val="17"/>
                <w:szCs w:val="17"/>
                <w:color w:val="auto"/>
              </w:rPr>
            </w:pPr>
          </w:p>
        </w:tc>
        <w:tc>
          <w:tcPr>
            <w:tcW w:w="1240" w:type="dxa"/>
            <w:vAlign w:val="bottom"/>
            <w:tcBorders>
              <w:right w:val="single" w:sz="8" w:color="auto"/>
            </w:tcBorders>
            <w:shd w:val="clear" w:color="auto" w:fill="CBEBF4"/>
          </w:tcPr>
          <w:p>
            <w:pPr>
              <w:spacing w:after="0"/>
              <w:rPr>
                <w:sz w:val="17"/>
                <w:szCs w:val="17"/>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Sarbanes-Oxley Act of 2002</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96.1</w:t>
            </w:r>
          </w:p>
        </w:tc>
        <w:tc>
          <w:tcPr>
            <w:tcW w:w="160" w:type="dxa"/>
            <w:vAlign w:val="bottom"/>
          </w:tcPr>
          <w:p>
            <w:pPr>
              <w:spacing w:after="0"/>
              <w:rPr>
                <w:sz w:val="15"/>
                <w:szCs w:val="15"/>
                <w:color w:val="auto"/>
              </w:rPr>
            </w:pPr>
          </w:p>
        </w:tc>
        <w:tc>
          <w:tcPr>
            <w:tcW w:w="388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Technical Report Summary — Initial Assessment of</w:t>
            </w:r>
          </w:p>
        </w:tc>
        <w:tc>
          <w:tcPr>
            <w:tcW w:w="7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8/5/2021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the NORI Property, Clarion Clipperton Zone, for Deep</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96.1)</w:t>
            </w: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07"/>
        </w:trPr>
        <w:tc>
          <w:tcPr>
            <w:tcW w:w="940" w:type="dxa"/>
            <w:vAlign w:val="bottom"/>
            <w:tcBorders>
              <w:left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Green Metals Inc., effective as of March 17, 2021, by</w:t>
            </w:r>
          </w:p>
        </w:tc>
        <w:tc>
          <w:tcPr>
            <w:tcW w:w="7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AMC Consultants Pty Ltd and other qualified persons.</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96.2</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u w:val="single" w:color="auto"/>
                <w:color w:val="auto"/>
              </w:rPr>
              <w:t>Technical Report Summary — Initial Assessment of</w:t>
            </w:r>
          </w:p>
        </w:tc>
        <w:tc>
          <w:tcPr>
            <w:tcW w:w="700" w:type="dxa"/>
            <w:vAlign w:val="bottom"/>
            <w:tcBorders>
              <w:right w:val="single" w:sz="8" w:color="auto"/>
            </w:tcBorders>
            <w:shd w:val="clear" w:color="auto" w:fill="CBEBF4"/>
          </w:tcPr>
          <w:p>
            <w:pPr>
              <w:spacing w:after="0"/>
              <w:rPr>
                <w:sz w:val="15"/>
                <w:szCs w:val="15"/>
                <w:color w:val="auto"/>
              </w:rPr>
            </w:pPr>
          </w:p>
        </w:tc>
        <w:tc>
          <w:tcPr>
            <w:tcW w:w="17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60" w:type="dxa"/>
            <w:vAlign w:val="bottom"/>
            <w:tcBorders>
              <w:right w:val="single" w:sz="8" w:color="auto"/>
            </w:tcBorders>
            <w:shd w:val="clear" w:color="auto" w:fill="CBEBF4"/>
          </w:tcPr>
          <w:p>
            <w:pPr>
              <w:jc w:val="center"/>
              <w:spacing w:after="0" w:line="176" w:lineRule="exact"/>
              <w:rPr>
                <w:sz w:val="20"/>
                <w:szCs w:val="20"/>
                <w:color w:val="auto"/>
              </w:rPr>
            </w:pPr>
            <w:r>
              <w:rPr>
                <w:rFonts w:ascii="Times New Roman" w:cs="Times New Roman" w:eastAsia="Times New Roman" w:hAnsi="Times New Roman"/>
                <w:sz w:val="17"/>
                <w:szCs w:val="17"/>
                <w:color w:val="auto"/>
                <w:w w:val="99"/>
              </w:rPr>
              <w:t>8/5/2021</w:t>
            </w:r>
          </w:p>
        </w:tc>
        <w:tc>
          <w:tcPr>
            <w:tcW w:w="1240" w:type="dxa"/>
            <w:vAlign w:val="bottom"/>
            <w:tcBorders>
              <w:right w:val="single" w:sz="8" w:color="auto"/>
            </w:tcBorders>
            <w:shd w:val="clear" w:color="auto" w:fill="CBEBF4"/>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333-255118</w:t>
            </w: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the TOML Mineral Resource, Clarion Clipperton Zone</w:t>
            </w:r>
            <w:r>
              <w:rPr>
                <w:rFonts w:ascii="Times New Roman" w:cs="Times New Roman" w:eastAsia="Times New Roman" w:hAnsi="Times New Roman"/>
                <w:sz w:val="17"/>
                <w:szCs w:val="17"/>
                <w:color w:val="auto"/>
              </w:rPr>
              <w:t>,</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jc w:val="center"/>
              <w:ind w:left="74"/>
              <w:spacing w:after="0"/>
              <w:rPr>
                <w:sz w:val="20"/>
                <w:szCs w:val="20"/>
                <w:color w:val="auto"/>
              </w:rPr>
            </w:pPr>
            <w:r>
              <w:rPr>
                <w:rFonts w:ascii="Times New Roman" w:cs="Times New Roman" w:eastAsia="Times New Roman" w:hAnsi="Times New Roman"/>
                <w:sz w:val="17"/>
                <w:szCs w:val="17"/>
                <w:color w:val="auto"/>
              </w:rPr>
              <w:t>(Exhibit 96.2)</w:t>
            </w: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Pacific Ocean, for Deep Green Metals Inc., effective as</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of March 26, 2021, by AMC Consultants Pty Ltd and</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u w:val="single" w:color="auto"/>
                <w:color w:val="auto"/>
              </w:rPr>
              <w:t>other qualified persons.</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225"/>
        </w:trPr>
        <w:tc>
          <w:tcPr>
            <w:tcW w:w="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97.1+</w:t>
            </w:r>
          </w:p>
        </w:tc>
        <w:tc>
          <w:tcPr>
            <w:tcW w:w="160" w:type="dxa"/>
            <w:vAlign w:val="bottom"/>
            <w:tcBorders>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u w:val="single" w:color="auto"/>
                <w:color w:val="auto"/>
              </w:rPr>
              <w:t>TMC the metals company Inc. Clawback Policy</w:t>
            </w:r>
          </w:p>
        </w:tc>
        <w:tc>
          <w:tcPr>
            <w:tcW w:w="7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177"/>
        </w:trPr>
        <w:tc>
          <w:tcPr>
            <w:tcW w:w="940" w:type="dxa"/>
            <w:vAlign w:val="bottom"/>
            <w:tcBorders>
              <w:left w:val="single" w:sz="8" w:color="auto"/>
              <w:right w:val="single" w:sz="8" w:color="auto"/>
            </w:tcBorders>
            <w:shd w:val="clear" w:color="auto" w:fill="CBEBF4"/>
          </w:tcPr>
          <w:p>
            <w:pPr>
              <w:ind w:left="40"/>
              <w:spacing w:after="0" w:line="177" w:lineRule="exact"/>
              <w:rPr>
                <w:sz w:val="20"/>
                <w:szCs w:val="20"/>
                <w:color w:val="auto"/>
              </w:rPr>
            </w:pPr>
            <w:r>
              <w:rPr>
                <w:rFonts w:ascii="Times New Roman" w:cs="Times New Roman" w:eastAsia="Times New Roman" w:hAnsi="Times New Roman"/>
                <w:sz w:val="17"/>
                <w:szCs w:val="17"/>
                <w:color w:val="auto"/>
              </w:rPr>
              <w:t>101.INS</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4"/>
            <w:shd w:val="clear" w:color="auto" w:fill="CBEBF4"/>
          </w:tcPr>
          <w:p>
            <w:pPr>
              <w:spacing w:after="0" w:line="177" w:lineRule="exact"/>
              <w:rPr>
                <w:sz w:val="20"/>
                <w:szCs w:val="20"/>
                <w:color w:val="auto"/>
              </w:rPr>
            </w:pPr>
            <w:r>
              <w:rPr>
                <w:rFonts w:ascii="Times New Roman" w:cs="Times New Roman" w:eastAsia="Times New Roman" w:hAnsi="Times New Roman"/>
                <w:sz w:val="17"/>
                <w:szCs w:val="17"/>
                <w:color w:val="auto"/>
              </w:rPr>
              <w:t>Inline XBRL Instance Document (the instance</w:t>
            </w:r>
          </w:p>
        </w:tc>
        <w:tc>
          <w:tcPr>
            <w:tcW w:w="700" w:type="dxa"/>
            <w:vAlign w:val="bottom"/>
            <w:tcBorders>
              <w:right w:val="single" w:sz="8" w:color="auto"/>
            </w:tcBorders>
            <w:shd w:val="clear" w:color="auto" w:fill="CBEBF4"/>
          </w:tcPr>
          <w:p>
            <w:pPr>
              <w:ind w:left="360"/>
              <w:spacing w:after="0" w:line="177"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240" w:type="dxa"/>
            <w:vAlign w:val="bottom"/>
            <w:tcBorders>
              <w:right w:val="single" w:sz="8" w:color="auto"/>
            </w:tcBorders>
            <w:shd w:val="clear" w:color="auto" w:fill="CBEBF4"/>
          </w:tcPr>
          <w:p>
            <w:pPr>
              <w:spacing w:after="0"/>
              <w:rPr>
                <w:sz w:val="15"/>
                <w:szCs w:val="15"/>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color w:val="auto"/>
              </w:rPr>
              <w:t>document does not appear in the Interactive Data File</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07"/>
        </w:trPr>
        <w:tc>
          <w:tcPr>
            <w:tcW w:w="940" w:type="dxa"/>
            <w:vAlign w:val="bottom"/>
            <w:tcBorders>
              <w:left w:val="single" w:sz="8" w:color="auto"/>
              <w:right w:val="single" w:sz="8" w:color="auto"/>
            </w:tcBorders>
            <w:shd w:val="clear" w:color="auto" w:fill="CBEBF4"/>
          </w:tcPr>
          <w:p>
            <w:pPr>
              <w:spacing w:after="0"/>
              <w:rPr>
                <w:sz w:val="18"/>
                <w:szCs w:val="18"/>
                <w:color w:val="auto"/>
              </w:rPr>
            </w:pPr>
          </w:p>
        </w:tc>
        <w:tc>
          <w:tcPr>
            <w:tcW w:w="160" w:type="dxa"/>
            <w:vAlign w:val="bottom"/>
            <w:shd w:val="clear" w:color="auto" w:fill="CBEBF4"/>
          </w:tcPr>
          <w:p>
            <w:pPr>
              <w:spacing w:after="0"/>
              <w:rPr>
                <w:sz w:val="18"/>
                <w:szCs w:val="18"/>
                <w:color w:val="auto"/>
              </w:rPr>
            </w:pPr>
          </w:p>
        </w:tc>
        <w:tc>
          <w:tcPr>
            <w:tcW w:w="3880" w:type="dxa"/>
            <w:vAlign w:val="bottom"/>
            <w:tcBorders>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color w:val="auto"/>
              </w:rPr>
              <w:t>because its XBRL tags are embedded within the Inline</w:t>
            </w:r>
          </w:p>
        </w:tc>
        <w:tc>
          <w:tcPr>
            <w:tcW w:w="700" w:type="dxa"/>
            <w:vAlign w:val="bottom"/>
            <w:tcBorders>
              <w:right w:val="single" w:sz="8" w:color="auto"/>
            </w:tcBorders>
            <w:shd w:val="clear" w:color="auto" w:fill="CBEBF4"/>
          </w:tcPr>
          <w:p>
            <w:pPr>
              <w:spacing w:after="0"/>
              <w:rPr>
                <w:sz w:val="18"/>
                <w:szCs w:val="18"/>
                <w:color w:val="auto"/>
              </w:rPr>
            </w:pPr>
          </w:p>
        </w:tc>
        <w:tc>
          <w:tcPr>
            <w:tcW w:w="1740" w:type="dxa"/>
            <w:vAlign w:val="bottom"/>
            <w:tcBorders>
              <w:right w:val="single" w:sz="8" w:color="auto"/>
            </w:tcBorders>
            <w:shd w:val="clear" w:color="auto" w:fill="CBEBF4"/>
          </w:tcPr>
          <w:p>
            <w:pPr>
              <w:spacing w:after="0"/>
              <w:rPr>
                <w:sz w:val="18"/>
                <w:szCs w:val="18"/>
                <w:color w:val="auto"/>
              </w:rPr>
            </w:pPr>
          </w:p>
        </w:tc>
        <w:tc>
          <w:tcPr>
            <w:tcW w:w="960" w:type="dxa"/>
            <w:vAlign w:val="bottom"/>
            <w:tcBorders>
              <w:right w:val="single" w:sz="8" w:color="auto"/>
            </w:tcBorders>
            <w:shd w:val="clear" w:color="auto" w:fill="CBEBF4"/>
          </w:tcPr>
          <w:p>
            <w:pPr>
              <w:spacing w:after="0"/>
              <w:rPr>
                <w:sz w:val="18"/>
                <w:szCs w:val="18"/>
                <w:color w:val="auto"/>
              </w:rPr>
            </w:pPr>
          </w:p>
        </w:tc>
        <w:tc>
          <w:tcPr>
            <w:tcW w:w="1240" w:type="dxa"/>
            <w:vAlign w:val="bottom"/>
            <w:tcBorders>
              <w:right w:val="single" w:sz="8" w:color="auto"/>
            </w:tcBorders>
            <w:shd w:val="clear" w:color="auto" w:fill="CBEBF4"/>
          </w:tcPr>
          <w:p>
            <w:pPr>
              <w:spacing w:after="0"/>
              <w:rPr>
                <w:sz w:val="18"/>
                <w:szCs w:val="18"/>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color w:val="auto"/>
              </w:rPr>
              <w:t>XBRL document)</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226"/>
        </w:trPr>
        <w:tc>
          <w:tcPr>
            <w:tcW w:w="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101.SCH</w:t>
            </w:r>
          </w:p>
        </w:tc>
        <w:tc>
          <w:tcPr>
            <w:tcW w:w="160" w:type="dxa"/>
            <w:vAlign w:val="bottom"/>
            <w:tcBorders>
              <w:bottom w:val="single" w:sz="8" w:color="auto"/>
            </w:tcBorders>
          </w:tcPr>
          <w:p>
            <w:pPr>
              <w:spacing w:after="0"/>
              <w:rPr>
                <w:sz w:val="19"/>
                <w:szCs w:val="19"/>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7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177"/>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101.CAL</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color w:val="auto"/>
              </w:rPr>
              <w:t>Inline XBRL Taxonomy Extension Calculation</w:t>
            </w:r>
          </w:p>
        </w:tc>
        <w:tc>
          <w:tcPr>
            <w:tcW w:w="700" w:type="dxa"/>
            <w:vAlign w:val="bottom"/>
            <w:tcBorders>
              <w:right w:val="single" w:sz="8" w:color="auto"/>
            </w:tcBorders>
            <w:shd w:val="clear" w:color="auto" w:fill="CBEBF4"/>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240" w:type="dxa"/>
            <w:vAlign w:val="bottom"/>
            <w:tcBorders>
              <w:right w:val="single" w:sz="8" w:color="auto"/>
            </w:tcBorders>
            <w:shd w:val="clear" w:color="auto" w:fill="CBEBF4"/>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176"/>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101.DEF</w:t>
            </w:r>
          </w:p>
        </w:tc>
        <w:tc>
          <w:tcPr>
            <w:tcW w:w="160" w:type="dxa"/>
            <w:vAlign w:val="bottom"/>
          </w:tcPr>
          <w:p>
            <w:pPr>
              <w:spacing w:after="0"/>
              <w:rPr>
                <w:sz w:val="15"/>
                <w:szCs w:val="15"/>
                <w:color w:val="auto"/>
              </w:rPr>
            </w:pPr>
          </w:p>
        </w:tc>
        <w:tc>
          <w:tcPr>
            <w:tcW w:w="388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32"/>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Document</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101.LAB</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700" w:type="dxa"/>
            <w:vAlign w:val="bottom"/>
            <w:tcBorders>
              <w:right w:val="single" w:sz="8" w:color="auto"/>
            </w:tcBorders>
            <w:shd w:val="clear" w:color="auto" w:fill="CBEBF4"/>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240" w:type="dxa"/>
            <w:vAlign w:val="bottom"/>
            <w:tcBorders>
              <w:right w:val="single" w:sz="8" w:color="auto"/>
            </w:tcBorders>
            <w:shd w:val="clear" w:color="auto" w:fill="CBEBF4"/>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color w:val="auto"/>
              </w:rPr>
              <w:t>Document</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177"/>
        </w:trPr>
        <w:tc>
          <w:tcPr>
            <w:tcW w:w="94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101.PRE</w:t>
            </w:r>
          </w:p>
        </w:tc>
        <w:tc>
          <w:tcPr>
            <w:tcW w:w="160" w:type="dxa"/>
            <w:vAlign w:val="bottom"/>
          </w:tcPr>
          <w:p>
            <w:pPr>
              <w:spacing w:after="0"/>
              <w:rPr>
                <w:sz w:val="15"/>
                <w:szCs w:val="15"/>
                <w:color w:val="auto"/>
              </w:rPr>
            </w:pPr>
          </w:p>
        </w:tc>
        <w:tc>
          <w:tcPr>
            <w:tcW w:w="3880" w:type="dxa"/>
            <w:vAlign w:val="bottom"/>
            <w:tcBorders>
              <w:right w:val="single" w:sz="8" w:color="auto"/>
            </w:tcBorders>
            <w:gridSpan w:val="4"/>
          </w:tcPr>
          <w:p>
            <w:pPr>
              <w:spacing w:after="0" w:line="176" w:lineRule="exact"/>
              <w:rPr>
                <w:sz w:val="20"/>
                <w:szCs w:val="20"/>
                <w:color w:val="auto"/>
              </w:rPr>
            </w:pPr>
            <w:r>
              <w:rPr>
                <w:rFonts w:ascii="Times New Roman" w:cs="Times New Roman" w:eastAsia="Times New Roman" w:hAnsi="Times New Roman"/>
                <w:sz w:val="17"/>
                <w:szCs w:val="17"/>
                <w:color w:val="auto"/>
              </w:rPr>
              <w:t>Inline XBRL Taxonomy Extension Presentation</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Linkbase Document</w:t>
            </w:r>
          </w:p>
        </w:tc>
        <w:tc>
          <w:tcPr>
            <w:tcW w:w="7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7"/>
        </w:trPr>
        <w:tc>
          <w:tcPr>
            <w:tcW w:w="940" w:type="dxa"/>
            <w:vAlign w:val="bottom"/>
            <w:tcBorders>
              <w:left w:val="single" w:sz="8" w:color="auto"/>
              <w:right w:val="single" w:sz="8" w:color="auto"/>
            </w:tcBorders>
            <w:shd w:val="clear" w:color="auto" w:fill="CBEBF4"/>
          </w:tcPr>
          <w:p>
            <w:pPr>
              <w:ind w:left="40"/>
              <w:spacing w:after="0" w:line="176" w:lineRule="exact"/>
              <w:rPr>
                <w:sz w:val="20"/>
                <w:szCs w:val="20"/>
                <w:color w:val="auto"/>
              </w:rPr>
            </w:pPr>
            <w:r>
              <w:rPr>
                <w:rFonts w:ascii="Times New Roman" w:cs="Times New Roman" w:eastAsia="Times New Roman" w:hAnsi="Times New Roman"/>
                <w:sz w:val="17"/>
                <w:szCs w:val="17"/>
                <w:color w:val="auto"/>
              </w:rPr>
              <w:t>104</w:t>
            </w:r>
          </w:p>
        </w:tc>
        <w:tc>
          <w:tcPr>
            <w:tcW w:w="160" w:type="dxa"/>
            <w:vAlign w:val="bottom"/>
            <w:shd w:val="clear" w:color="auto" w:fill="CBEBF4"/>
          </w:tcPr>
          <w:p>
            <w:pPr>
              <w:spacing w:after="0"/>
              <w:rPr>
                <w:sz w:val="15"/>
                <w:szCs w:val="15"/>
                <w:color w:val="auto"/>
              </w:rPr>
            </w:pPr>
          </w:p>
        </w:tc>
        <w:tc>
          <w:tcPr>
            <w:tcW w:w="3880" w:type="dxa"/>
            <w:vAlign w:val="bottom"/>
            <w:tcBorders>
              <w:right w:val="single" w:sz="8" w:color="auto"/>
            </w:tcBorders>
            <w:gridSpan w:val="4"/>
            <w:shd w:val="clear" w:color="auto" w:fill="CBEBF4"/>
          </w:tcPr>
          <w:p>
            <w:pPr>
              <w:spacing w:after="0" w:line="176" w:lineRule="exact"/>
              <w:rPr>
                <w:sz w:val="20"/>
                <w:szCs w:val="20"/>
                <w:color w:val="auto"/>
              </w:rPr>
            </w:pPr>
            <w:r>
              <w:rPr>
                <w:rFonts w:ascii="Times New Roman" w:cs="Times New Roman" w:eastAsia="Times New Roman" w:hAnsi="Times New Roman"/>
                <w:sz w:val="17"/>
                <w:szCs w:val="17"/>
                <w:color w:val="auto"/>
              </w:rPr>
              <w:t>Cover Page Interactive Data File (embedded within the</w:t>
            </w:r>
          </w:p>
        </w:tc>
        <w:tc>
          <w:tcPr>
            <w:tcW w:w="700" w:type="dxa"/>
            <w:vAlign w:val="bottom"/>
            <w:tcBorders>
              <w:right w:val="single" w:sz="8" w:color="auto"/>
            </w:tcBorders>
            <w:shd w:val="clear" w:color="auto" w:fill="CBEBF4"/>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40" w:type="dxa"/>
            <w:vAlign w:val="bottom"/>
            <w:tcBorders>
              <w:right w:val="single" w:sz="8" w:color="auto"/>
            </w:tcBorders>
            <w:shd w:val="clear" w:color="auto" w:fill="CBEBF4"/>
          </w:tcPr>
          <w:p>
            <w:pPr>
              <w:spacing w:after="0"/>
              <w:rPr>
                <w:sz w:val="15"/>
                <w:szCs w:val="15"/>
                <w:color w:val="auto"/>
              </w:rPr>
            </w:pPr>
          </w:p>
        </w:tc>
        <w:tc>
          <w:tcPr>
            <w:tcW w:w="960" w:type="dxa"/>
            <w:vAlign w:val="bottom"/>
            <w:tcBorders>
              <w:right w:val="single" w:sz="8" w:color="auto"/>
            </w:tcBorders>
            <w:shd w:val="clear" w:color="auto" w:fill="CBEBF4"/>
          </w:tcPr>
          <w:p>
            <w:pPr>
              <w:spacing w:after="0"/>
              <w:rPr>
                <w:sz w:val="15"/>
                <w:szCs w:val="15"/>
                <w:color w:val="auto"/>
              </w:rPr>
            </w:pPr>
          </w:p>
        </w:tc>
        <w:tc>
          <w:tcPr>
            <w:tcW w:w="1240" w:type="dxa"/>
            <w:vAlign w:val="bottom"/>
            <w:tcBorders>
              <w:right w:val="single" w:sz="8" w:color="auto"/>
            </w:tcBorders>
            <w:shd w:val="clear" w:color="auto" w:fill="CBEBF4"/>
          </w:tcPr>
          <w:p>
            <w:pPr>
              <w:spacing w:after="0"/>
              <w:rPr>
                <w:sz w:val="15"/>
                <w:szCs w:val="15"/>
                <w:color w:val="auto"/>
              </w:rPr>
            </w:pPr>
          </w:p>
        </w:tc>
      </w:tr>
      <w:tr>
        <w:trPr>
          <w:trHeight w:val="231"/>
        </w:trPr>
        <w:tc>
          <w:tcPr>
            <w:tcW w:w="940" w:type="dxa"/>
            <w:vAlign w:val="bottom"/>
            <w:tcBorders>
              <w:left w:val="single" w:sz="8" w:color="auto"/>
              <w:bottom w:val="single" w:sz="8" w:color="auto"/>
              <w:right w:val="single" w:sz="8" w:color="auto"/>
            </w:tcBorders>
            <w:shd w:val="clear" w:color="auto" w:fill="CBEBF4"/>
          </w:tcPr>
          <w:p>
            <w:pPr>
              <w:spacing w:after="0"/>
              <w:rPr>
                <w:sz w:val="20"/>
                <w:szCs w:val="20"/>
                <w:color w:val="auto"/>
              </w:rPr>
            </w:pPr>
          </w:p>
        </w:tc>
        <w:tc>
          <w:tcPr>
            <w:tcW w:w="160" w:type="dxa"/>
            <w:vAlign w:val="bottom"/>
            <w:tcBorders>
              <w:bottom w:val="single" w:sz="8" w:color="auto"/>
            </w:tcBorders>
            <w:shd w:val="clear" w:color="auto" w:fill="CBEBF4"/>
          </w:tcPr>
          <w:p>
            <w:pPr>
              <w:spacing w:after="0"/>
              <w:rPr>
                <w:sz w:val="20"/>
                <w:szCs w:val="20"/>
                <w:color w:val="auto"/>
              </w:rPr>
            </w:pPr>
          </w:p>
        </w:tc>
        <w:tc>
          <w:tcPr>
            <w:tcW w:w="3880" w:type="dxa"/>
            <w:vAlign w:val="bottom"/>
            <w:tcBorders>
              <w:bottom w:val="single" w:sz="8" w:color="auto"/>
              <w:right w:val="single" w:sz="8" w:color="auto"/>
            </w:tcBorders>
            <w:gridSpan w:val="4"/>
            <w:shd w:val="clear" w:color="auto" w:fill="CBEBF4"/>
          </w:tcPr>
          <w:p>
            <w:pPr>
              <w:spacing w:after="0"/>
              <w:rPr>
                <w:sz w:val="20"/>
                <w:szCs w:val="20"/>
                <w:color w:val="auto"/>
              </w:rPr>
            </w:pPr>
            <w:r>
              <w:rPr>
                <w:rFonts w:ascii="Times New Roman" w:cs="Times New Roman" w:eastAsia="Times New Roman" w:hAnsi="Times New Roman"/>
                <w:sz w:val="17"/>
                <w:szCs w:val="17"/>
                <w:color w:val="auto"/>
              </w:rPr>
              <w:t>Inline XBRL document)</w:t>
            </w:r>
          </w:p>
        </w:tc>
        <w:tc>
          <w:tcPr>
            <w:tcW w:w="700" w:type="dxa"/>
            <w:vAlign w:val="bottom"/>
            <w:tcBorders>
              <w:bottom w:val="single" w:sz="8" w:color="auto"/>
              <w:right w:val="single" w:sz="8" w:color="auto"/>
            </w:tcBorders>
            <w:shd w:val="clear" w:color="auto" w:fill="CBEBF4"/>
          </w:tcPr>
          <w:p>
            <w:pPr>
              <w:spacing w:after="0"/>
              <w:rPr>
                <w:sz w:val="20"/>
                <w:szCs w:val="20"/>
                <w:color w:val="auto"/>
              </w:rPr>
            </w:pPr>
          </w:p>
        </w:tc>
        <w:tc>
          <w:tcPr>
            <w:tcW w:w="1740" w:type="dxa"/>
            <w:vAlign w:val="bottom"/>
            <w:tcBorders>
              <w:bottom w:val="single" w:sz="8" w:color="auto"/>
              <w:right w:val="single" w:sz="8" w:color="auto"/>
            </w:tcBorders>
            <w:shd w:val="clear" w:color="auto" w:fill="CBEBF4"/>
          </w:tcPr>
          <w:p>
            <w:pPr>
              <w:spacing w:after="0"/>
              <w:rPr>
                <w:sz w:val="20"/>
                <w:szCs w:val="20"/>
                <w:color w:val="auto"/>
              </w:rPr>
            </w:pPr>
          </w:p>
        </w:tc>
        <w:tc>
          <w:tcPr>
            <w:tcW w:w="960" w:type="dxa"/>
            <w:vAlign w:val="bottom"/>
            <w:tcBorders>
              <w:bottom w:val="single" w:sz="8" w:color="auto"/>
              <w:right w:val="single" w:sz="8" w:color="auto"/>
            </w:tcBorders>
            <w:shd w:val="clear" w:color="auto" w:fill="CBEBF4"/>
          </w:tcPr>
          <w:p>
            <w:pPr>
              <w:spacing w:after="0"/>
              <w:rPr>
                <w:sz w:val="20"/>
                <w:szCs w:val="20"/>
                <w:color w:val="auto"/>
              </w:rPr>
            </w:pPr>
          </w:p>
        </w:tc>
        <w:tc>
          <w:tcPr>
            <w:tcW w:w="1240" w:type="dxa"/>
            <w:vAlign w:val="bottom"/>
            <w:tcBorders>
              <w:bottom w:val="single" w:sz="8" w:color="auto"/>
              <w:right w:val="single" w:sz="8" w:color="auto"/>
            </w:tcBorders>
            <w:shd w:val="clear" w:color="auto" w:fill="CBEBF4"/>
          </w:tcPr>
          <w:p>
            <w:pPr>
              <w:spacing w:after="0"/>
              <w:rPr>
                <w:sz w:val="20"/>
                <w:szCs w:val="20"/>
                <w:color w:val="auto"/>
              </w:rPr>
            </w:pPr>
          </w:p>
        </w:tc>
      </w:tr>
      <w:tr>
        <w:trPr>
          <w:trHeight w:val="97"/>
        </w:trPr>
        <w:tc>
          <w:tcPr>
            <w:tcW w:w="9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67" w:lineRule="exact"/>
        <w:rPr>
          <w:sz w:val="20"/>
          <w:szCs w:val="20"/>
          <w:color w:val="auto"/>
        </w:rPr>
      </w:pPr>
    </w:p>
    <w:p>
      <w:pPr>
        <w:jc w:val="both"/>
        <w:ind w:left="320" w:hanging="305"/>
        <w:spacing w:after="0" w:line="288" w:lineRule="auto"/>
        <w:tabs>
          <w:tab w:leader="none" w:pos="321"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360045</wp:posOffset>
                </wp:positionV>
                <wp:extent cx="6110605" cy="0"/>
                <wp:wrapNone/>
                <wp:docPr id="919" name="Shape 9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919" o:spid="_x0000_s19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pt,28.35pt" to="481.55pt,28.35pt" o:allowincell="f" strokecolor="#000000" strokeweight="1.2956pt"/>
            </w:pict>
          </mc:Fallback>
        </mc:AlternateContent>
      </w:r>
    </w:p>
    <w:p>
      <w:pPr>
        <w:sectPr>
          <w:pgSz w:w="12240" w:h="15840" w:orient="portrait"/>
          <w:cols w:equalWidth="0" w:num="1">
            <w:col w:w="9620"/>
          </w:cols>
          <w:pgMar w:left="1300" w:top="1320" w:right="1320" w:bottom="1440" w:gutter="0" w:footer="0" w:header="0"/>
        </w:sectPr>
      </w:pPr>
    </w:p>
    <w:bookmarkStart w:id="175" w:name="page176"/>
    <w:bookmarkEnd w:id="175"/>
    <w:p>
      <w:pPr>
        <w:ind w:left="310" w:hanging="306"/>
        <w:spacing w:after="0" w:line="298" w:lineRule="auto"/>
        <w:tabs>
          <w:tab w:leader="none" w:pos="309"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20" name="Shape 9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20" o:spid="_x0000_s19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21" name="Shape 9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21" o:spid="_x0000_s19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22" name="Shape 9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22" o:spid="_x0000_s194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23" name="Shape 9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23" o:spid="_x0000_s194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Certain of the exhibits and schedules to this Exhibit have been omitted in accordance with Regulation S-K Item 601(a)(5). The Registrant agrees to furnish a copy of all omitted exhibits and schedules to the SEC upon its request.</w:t>
      </w:r>
    </w:p>
    <w:p>
      <w:pPr>
        <w:spacing w:after="0" w:line="137" w:lineRule="exact"/>
        <w:rPr>
          <w:sz w:val="20"/>
          <w:szCs w:val="20"/>
          <w:color w:val="auto"/>
        </w:rPr>
      </w:pPr>
    </w:p>
    <w:p>
      <w:pPr>
        <w:ind w:left="310" w:hanging="306"/>
        <w:spacing w:after="0"/>
        <w:tabs>
          <w:tab w:leader="none" w:pos="31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19" w:lineRule="exact"/>
        <w:rPr>
          <w:sz w:val="20"/>
          <w:szCs w:val="20"/>
          <w:color w:val="auto"/>
        </w:rPr>
      </w:pPr>
    </w:p>
    <w:p>
      <w:pPr>
        <w:jc w:val="both"/>
        <w:ind w:left="310" w:hanging="306"/>
        <w:spacing w:after="0" w:line="269" w:lineRule="auto"/>
        <w:tabs>
          <w:tab w:leader="none" w:pos="31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 that accompany this Annual Report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80" w:lineRule="exact"/>
        <w:rPr>
          <w:rFonts w:ascii="Times New Roman" w:cs="Times New Roman" w:eastAsia="Times New Roman" w:hAnsi="Times New Roman"/>
          <w:sz w:val="17"/>
          <w:szCs w:val="17"/>
          <w:color w:val="auto"/>
        </w:rPr>
      </w:pPr>
    </w:p>
    <w:p>
      <w:pPr>
        <w:ind w:left="350" w:right="480" w:hanging="350"/>
        <w:spacing w:after="0" w:line="292" w:lineRule="auto"/>
        <w:tabs>
          <w:tab w:leader="none" w:pos="3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Exhibit superseded by exhibit of the same number filed with Amendment No. 1 to the Annual Report on Form 10-K/A filed on April 18, 2024.</w:t>
      </w:r>
    </w:p>
    <w:p>
      <w:pPr>
        <w:spacing w:after="0" w:line="14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7"/>
          <w:szCs w:val="17"/>
          <w:b w:val="1"/>
          <w:bCs w:val="1"/>
          <w:color w:val="auto"/>
        </w:rPr>
        <w:t>Item 16.FORM 10-K SUMMARY</w:t>
      </w:r>
    </w:p>
    <w:p>
      <w:pPr>
        <w:spacing w:after="0" w:line="222" w:lineRule="exact"/>
        <w:rPr>
          <w:sz w:val="20"/>
          <w:szCs w:val="20"/>
          <w:color w:val="auto"/>
        </w:rPr>
      </w:pPr>
    </w:p>
    <w:p>
      <w:pPr>
        <w:ind w:left="31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360045</wp:posOffset>
                </wp:positionV>
                <wp:extent cx="6110605" cy="0"/>
                <wp:wrapNone/>
                <wp:docPr id="924" name="Shape 9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3">
                          <a:solidFill>
                            <a:srgbClr val="000000"/>
                          </a:solidFill>
                          <a:miter lim="800000"/>
                          <a:headEnd/>
                          <a:tailEnd/>
                        </a:ln>
                      </wps:spPr>
                      <wps:bodyPr/>
                    </wps:wsp>
                  </a:graphicData>
                </a:graphic>
              </wp:anchor>
            </w:drawing>
          </mc:Choice>
          <mc:Fallback>
            <w:pict>
              <v:line id="Shape 924" o:spid="_x0000_s19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8.35pt" to="481.05pt,28.35pt" o:allowincell="f" strokecolor="#000000" strokeweight="1.2947pt"/>
            </w:pict>
          </mc:Fallback>
        </mc:AlternateContent>
      </w:r>
    </w:p>
    <w:p>
      <w:pPr>
        <w:sectPr>
          <w:pgSz w:w="12240" w:h="15840" w:orient="portrait"/>
          <w:cols w:equalWidth="0" w:num="1">
            <w:col w:w="9610"/>
          </w:cols>
          <w:pgMar w:left="1310" w:top="1327" w:right="1320" w:bottom="1440" w:gutter="0" w:footer="0" w:header="0"/>
        </w:sectPr>
      </w:pPr>
    </w:p>
    <w:bookmarkStart w:id="176" w:name="page177"/>
    <w:bookmarkEnd w:id="176"/>
    <w:p>
      <w:pPr>
        <w:jc w:val="center"/>
        <w:ind w:right="20"/>
        <w:spacing w:after="0"/>
        <w:rPr>
          <w:sz w:val="20"/>
          <w:szCs w:val="20"/>
          <w:color w:val="auto"/>
        </w:rPr>
      </w:pPr>
      <w:r>
        <w:rPr>
          <w:rFonts w:ascii="Times New Roman" w:cs="Times New Roman" w:eastAsia="Times New Roman" w:hAnsi="Times New Roman"/>
          <w:sz w:val="17"/>
          <w:szCs w:val="17"/>
          <w:b w:val="1"/>
          <w:bCs w:val="1"/>
          <w:color w:val="auto"/>
        </w:rPr>
        <mc:AlternateContent>
          <mc:Choice Requires="wps">
            <w:drawing>
              <wp:anchor simplePos="0" relativeHeight="251657728" behindDoc="1" locked="0" layoutInCell="0" allowOverlap="1">
                <wp:simplePos x="0" y="0"/>
                <wp:positionH relativeFrom="page">
                  <wp:posOffset>-7620</wp:posOffset>
                </wp:positionH>
                <wp:positionV relativeFrom="page">
                  <wp:posOffset>0</wp:posOffset>
                </wp:positionV>
                <wp:extent cx="15240" cy="0"/>
                <wp:wrapNone/>
                <wp:docPr id="925" name="Shape 9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25" o:spid="_x0000_s195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5999pt,0pt" to="0.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26" name="Shape 9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26" o:spid="_x0000_s19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mc:AlternateContent>
          <mc:Choice Requires="wps">
            <w:drawing>
              <wp:anchor simplePos="0" relativeHeight="251657728" behindDoc="1" locked="0" layoutInCell="0" allowOverlap="1">
                <wp:simplePos x="0" y="0"/>
                <wp:positionH relativeFrom="page">
                  <wp:posOffset>7764145</wp:posOffset>
                </wp:positionH>
                <wp:positionV relativeFrom="page">
                  <wp:posOffset>0</wp:posOffset>
                </wp:positionV>
                <wp:extent cx="15875" cy="0"/>
                <wp:wrapNone/>
                <wp:docPr id="927" name="Shape 9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15875">
                          <a:solidFill>
                            <a:srgbClr val="FFFFFF"/>
                          </a:solidFill>
                          <a:miter lim="800000"/>
                          <a:headEnd/>
                          <a:tailEnd/>
                        </a:ln>
                      </wps:spPr>
                      <wps:bodyPr/>
                    </wps:wsp>
                  </a:graphicData>
                </a:graphic>
              </wp:anchor>
            </w:drawing>
          </mc:Choice>
          <mc:Fallback>
            <w:pict>
              <v:line id="Shape 927" o:spid="_x0000_s195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pt" to="612.6pt,0pt" o:allowincell="f" strokecolor="#FFFFFF" strokeweight="1.25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28" name="Shape 9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28" o:spid="_x0000_s195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SIGNATURES</w:t>
      </w:r>
    </w:p>
    <w:p>
      <w:pPr>
        <w:spacing w:after="0" w:line="222" w:lineRule="exact"/>
        <w:rPr>
          <w:sz w:val="20"/>
          <w:szCs w:val="20"/>
          <w:color w:val="auto"/>
        </w:rPr>
      </w:pPr>
    </w:p>
    <w:p>
      <w:pPr>
        <w:ind w:right="20" w:firstLine="310"/>
        <w:spacing w:after="0" w:line="30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12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22" w:lineRule="exact"/>
        <w:rPr>
          <w:sz w:val="20"/>
          <w:szCs w:val="20"/>
          <w:color w:val="auto"/>
        </w:rPr>
      </w:pPr>
    </w:p>
    <w:p>
      <w:pPr>
        <w:spacing w:after="0"/>
        <w:tabs>
          <w:tab w:leader="none" w:pos="4660" w:val="left"/>
        </w:tabs>
        <w:rPr>
          <w:sz w:val="20"/>
          <w:szCs w:val="20"/>
          <w:color w:val="auto"/>
        </w:rPr>
      </w:pPr>
      <w:r>
        <w:rPr>
          <w:rFonts w:ascii="Times New Roman" w:cs="Times New Roman" w:eastAsia="Times New Roman" w:hAnsi="Times New Roman"/>
          <w:sz w:val="17"/>
          <w:szCs w:val="17"/>
          <w:color w:val="auto"/>
        </w:rPr>
        <w:t>Date: March 25, 2024</w:t>
      </w:r>
      <w:r>
        <w:rPr>
          <w:sz w:val="20"/>
          <w:szCs w:val="20"/>
          <w:color w:val="auto"/>
        </w:rPr>
        <w:tab/>
      </w:r>
      <w:r>
        <w:rPr>
          <w:rFonts w:ascii="Times New Roman" w:cs="Times New Roman" w:eastAsia="Times New Roman" w:hAnsi="Times New Roman"/>
          <w:sz w:val="17"/>
          <w:szCs w:val="17"/>
          <w:color w:val="auto"/>
        </w:rPr>
        <w:t>By:/s/ Gerard Barron</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3133725</wp:posOffset>
                </wp:positionH>
                <wp:positionV relativeFrom="paragraph">
                  <wp:posOffset>-112395</wp:posOffset>
                </wp:positionV>
                <wp:extent cx="2969260" cy="0"/>
                <wp:wrapNone/>
                <wp:docPr id="929" name="Shape 9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9260" cy="4763"/>
                        </a:xfrm>
                        <a:prstGeom prst="line">
                          <a:avLst/>
                        </a:prstGeom>
                        <a:solidFill>
                          <a:srgbClr val="FFFFFF"/>
                        </a:solidFill>
                        <a:ln w="8227">
                          <a:solidFill>
                            <a:srgbClr val="000000"/>
                          </a:solidFill>
                          <a:miter lim="800000"/>
                          <a:headEnd/>
                          <a:tailEnd/>
                        </a:ln>
                      </wps:spPr>
                      <wps:bodyPr/>
                    </wps:wsp>
                  </a:graphicData>
                </a:graphic>
              </wp:anchor>
            </w:drawing>
          </mc:Choice>
          <mc:Fallback>
            <w:pict>
              <v:line id="Shape 929" o:spid="_x0000_s19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6.75pt,-8.8499pt" to="480.55pt,-8.8499pt" o:allowincell="f" strokecolor="#000000" strokeweight="0.6478pt"/>
            </w:pict>
          </mc:Fallback>
        </mc:AlternateContent>
      </w:r>
    </w:p>
    <w:p>
      <w:pPr>
        <w:ind w:left="49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19" w:lineRule="exact"/>
        <w:rPr>
          <w:sz w:val="20"/>
          <w:szCs w:val="20"/>
          <w:color w:val="auto"/>
        </w:rPr>
      </w:pPr>
    </w:p>
    <w:p>
      <w:pPr>
        <w:ind w:right="20" w:firstLine="312"/>
        <w:spacing w:after="0" w:line="29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Signatures</w:t>
            </w:r>
          </w:p>
        </w:tc>
        <w:tc>
          <w:tcPr>
            <w:tcW w:w="180" w:type="dxa"/>
            <w:vAlign w:val="bottom"/>
          </w:tcPr>
          <w:p>
            <w:pPr>
              <w:spacing w:after="0"/>
              <w:rPr>
                <w:sz w:val="20"/>
                <w:szCs w:val="20"/>
                <w:color w:val="auto"/>
              </w:rPr>
            </w:pPr>
          </w:p>
        </w:tc>
        <w:tc>
          <w:tcPr>
            <w:tcW w:w="37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7"/>
                <w:szCs w:val="17"/>
                <w:color w:val="auto"/>
              </w:rPr>
              <w:t>Title</w:t>
            </w:r>
          </w:p>
        </w:tc>
        <w:tc>
          <w:tcPr>
            <w:tcW w:w="20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384"/>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Gerard Barron</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executive officer) and Director</w:t>
            </w:r>
          </w:p>
        </w:tc>
        <w:tc>
          <w:tcPr>
            <w:tcW w:w="2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Gerard Barron</w:t>
            </w:r>
          </w:p>
        </w:tc>
        <w:tc>
          <w:tcPr>
            <w:tcW w:w="4080" w:type="dxa"/>
            <w:vAlign w:val="bottom"/>
            <w:gridSpan w:val="3"/>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Craig Shesky</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Craig Shesky</w:t>
            </w:r>
          </w:p>
        </w:tc>
        <w:tc>
          <w:tcPr>
            <w:tcW w:w="4080" w:type="dxa"/>
            <w:vAlign w:val="bottom"/>
            <w:gridSpan w:val="3"/>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Andrew Greig</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Andrew Greig</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Christian Madsbjerg</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Christian Madsbjerg</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Andrew Hall</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Andrew Hall</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Sheila Khama</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Sheila Khama</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Andrei Karkar</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Andrei Karkar</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Amelia Kinahoi Siamomua</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Amelia Kinahoi Siamomua</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By:/s/ Kathleen McAllister</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25, 2024</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Kathleen McAllister</w:t>
            </w:r>
          </w:p>
        </w:tc>
        <w:tc>
          <w:tcPr>
            <w:tcW w:w="1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360045</wp:posOffset>
                </wp:positionV>
                <wp:extent cx="6109970" cy="0"/>
                <wp:wrapNone/>
                <wp:docPr id="930" name="Shape 9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4">
                          <a:solidFill>
                            <a:srgbClr val="000000"/>
                          </a:solidFill>
                          <a:miter lim="800000"/>
                          <a:headEnd/>
                          <a:tailEnd/>
                        </a:ln>
                      </wps:spPr>
                      <wps:bodyPr/>
                    </wps:wsp>
                  </a:graphicData>
                </a:graphic>
              </wp:anchor>
            </w:drawing>
          </mc:Choice>
          <mc:Fallback>
            <w:pict>
              <v:line id="Shape 930" o:spid="_x0000_s19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8.35pt" to="480.55pt,28.35pt" o:allowincell="f" strokecolor="#000000" strokeweight="1.2956pt"/>
            </w:pict>
          </mc:Fallback>
        </mc:AlternateContent>
      </w:r>
    </w:p>
    <w:p>
      <w:pPr>
        <w:sectPr>
          <w:pgSz w:w="12240" w:h="15840" w:orient="portrait"/>
          <w:cols w:equalWidth="0" w:num="1">
            <w:col w:w="9620"/>
          </w:cols>
          <w:pgMar w:left="1320" w:top="1324" w:right="1300"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1009015</wp:posOffset>
            </wp:positionH>
            <wp:positionV relativeFrom="page">
              <wp:posOffset>0</wp:posOffset>
            </wp:positionV>
            <wp:extent cx="12700" cy="100584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39">
                      <a:extLst>
                        <a:ext uri="{28A0092B-C50C-407E-A947-70E740481C1C}"/>
                      </a:extLst>
                    </a:blip>
                    <a:srcRect/>
                    <a:stretch>
                      <a:fillRect/>
                    </a:stretch>
                  </pic:blipFill>
                  <pic:spPr bwMode="auto">
                    <a:xfrm>
                      <a:off x="0" y="0"/>
                      <a:ext cx="12700" cy="1005840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17145" cy="1397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40">
                      <a:extLst>
                        <a:ext uri="{28A0092B-C50C-407E-A947-70E740481C1C}"/>
                      </a:extLst>
                    </a:blip>
                    <a:srcRect/>
                    <a:stretch>
                      <a:fillRect/>
                    </a:stretch>
                  </pic:blipFill>
                  <pic:spPr bwMode="auto">
                    <a:xfrm>
                      <a:off x="0" y="0"/>
                      <a:ext cx="17145" cy="139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7764145</wp:posOffset>
                </wp:positionH>
                <wp:positionV relativeFrom="page">
                  <wp:posOffset>2540</wp:posOffset>
                </wp:positionV>
                <wp:extent cx="15875" cy="0"/>
                <wp:wrapNone/>
                <wp:docPr id="933" name="Shape 9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75" cy="4763"/>
                        </a:xfrm>
                        <a:prstGeom prst="line">
                          <a:avLst/>
                        </a:prstGeom>
                        <a:solidFill>
                          <a:srgbClr val="FFFFFF"/>
                        </a:solidFill>
                        <a:ln w="22119">
                          <a:solidFill>
                            <a:srgbClr val="FFFFFF"/>
                          </a:solidFill>
                          <a:miter lim="800000"/>
                          <a:headEnd/>
                          <a:tailEnd/>
                        </a:ln>
                      </wps:spPr>
                      <wps:bodyPr/>
                    </wps:wsp>
                  </a:graphicData>
                </a:graphic>
              </wp:anchor>
            </w:drawing>
          </mc:Choice>
          <mc:Fallback>
            <w:pict>
              <v:line id="Shape 933" o:spid="_x0000_s19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35pt,0.2pt" to="612.6pt,0.2pt" o:allowincell="f" strokecolor="#FFFFFF" strokeweight="1.7417pt">
                <w10:wrap anchorx="page" anchory="page"/>
              </v:line>
            </w:pict>
          </mc:Fallback>
        </mc:AlternateContent>
        <mc:AlternateContent>
          <mc:Choice Requires="wps">
            <w:drawing>
              <wp:anchor simplePos="0" relativeHeight="251657728" behindDoc="1" locked="0" layoutInCell="0" allowOverlap="1">
                <wp:simplePos x="0" y="0"/>
                <wp:positionH relativeFrom="page">
                  <wp:posOffset>7770495</wp:posOffset>
                </wp:positionH>
                <wp:positionV relativeFrom="page">
                  <wp:posOffset>0</wp:posOffset>
                </wp:positionV>
                <wp:extent cx="3175" cy="0"/>
                <wp:wrapNone/>
                <wp:docPr id="934" name="Shape 9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34" o:spid="_x0000_s19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11.85pt,0pt" to="612.1pt,0pt" o:allowincell="f" strokecolor="#000000" strokeweight="0.25pt">
                <w10:wrap anchorx="page" anchory="page"/>
              </v:line>
            </w:pict>
          </mc:Fallback>
        </mc:AlternateContent>
        <w:t>TMC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Forward-Looking Statements.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Letter to Shareholders and summary information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contained at the beginning of this annual report contain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“forward-looking statements” within the meaning of Section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27A of the Securities Act of 1933, as amended, and Section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21E of the Securities Exchange Act of 1934, as amended,</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that relate to future events, TMC the metals company Inc.’s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future operations or financial performance,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 the Company’s plans, strategies and prospects. These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statements involve risks, uncertainties and assumptions and</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are based on the current estimates and assumptions of the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management of the Company as of the date of this annual</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report and are subject to uncertainty and changes. Given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uncertainties, you should not place undue reliance 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forward-looking statements. Important factors that</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could cause actual results to differ materially from those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indicated by such forward-looking statements include,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among others, those set forth under the heading “Risk</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Factors” contained in the enclosed Annual Report on Form</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10-K for the year ended December 31, 2023, which was filed</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the Securities and Exchange Commission on March 25,</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2024, as well as any updates to those risk factors filed from</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time to time in our periodic and current reports.</w:t>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information in the Letter to Shareholders and summary</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contained at the beginning of this annual report</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 as of the date of this annual report, and the Company</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undertakes no duty to update this information unless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required by law.</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information in the enclosed Annual Report on Form 10-K</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year ended December 31, 2023 is as of the date of</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filing the Annual Report on Form 10-K with the Securities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Exchange Commission on March 25, 2024 or as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otherwise set forth therein, and the Company undertakes no</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duty to update the information unless required by law.</w:t>
      </w: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“us”, “our”, “TMC”, “The Metals Company” and the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“Company” when used in the Letter to Shareholders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summary information contained at the beginning of this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annual report refer to TMC the metals company Inc. and 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subsidiaries.</w:t>
      </w:r>
    </w:p>
    <w:p>
      <w:pPr>
        <w:sectPr>
          <w:pgSz w:w="12240" w:h="15840" w:orient="portrait"/>
          <w:cols w:equalWidth="0" w:num="1">
            <w:col w:w="9720"/>
          </w:cols>
          <w:pgMar w:left="1440" w:top="740" w:right="1080" w:bottom="1440" w:gutter="0" w:footer="0" w:header="0"/>
        </w:sectPr>
      </w:pPr>
    </w:p>
    <w:bookmarkStart w:id="178" w:name="page179"/>
    <w:bookmarkEnd w:id="17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-1270</wp:posOffset>
                </wp:positionH>
                <wp:positionV relativeFrom="page">
                  <wp:posOffset>0</wp:posOffset>
                </wp:positionV>
                <wp:extent cx="2540" cy="0"/>
                <wp:wrapNone/>
                <wp:docPr id="935" name="Shape 9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35" o:spid="_x0000_s19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0.0999pt,0pt" to="0.1pt,0pt" o:allowincell="f" strokecolor="#000000" strokeweight="0.25pt">
                <w10:wrap anchorx="page" anchory="page"/>
              </v:line>
            </w:pict>
          </mc:Fallback>
        </mc:AlternateContent>
      </w:r>
    </w:p>
    <w:p>
      <w:pPr>
        <w:spacing w:after="0" w:line="229" w:lineRule="exact"/>
        <w:rPr>
          <w:sz w:val="20"/>
          <w:szCs w:val="20"/>
          <w:color w:val="auto"/>
        </w:rPr>
      </w:pPr>
    </w:p>
    <w:p>
      <w:pPr>
        <w:ind w:right="600"/>
        <w:spacing w:after="0" w:line="424" w:lineRule="auto"/>
        <w:rPr>
          <w:sz w:val="20"/>
          <w:szCs w:val="20"/>
          <w:color w:val="auto"/>
        </w:rPr>
      </w:pPr>
      <w:r>
        <w:rPr>
          <w:rFonts w:ascii="Arial" w:cs="Arial" w:eastAsia="Arial" w:hAnsi="Arial"/>
          <w:sz w:val="16"/>
          <w:szCs w:val="16"/>
          <w:b w:val="1"/>
          <w:bCs w:val="1"/>
          <w:color w:val="auto"/>
        </w:rPr>
        <w:t>Board of Directors Gerard Barron, Chairman</w:t>
      </w:r>
    </w:p>
    <w:p>
      <w:pPr>
        <w:spacing w:after="0" w:line="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Chief Executive Officer of TMC the metals company Inc.</w:t>
      </w:r>
    </w:p>
    <w:p>
      <w:pPr>
        <w:spacing w:after="0" w:line="123" w:lineRule="exact"/>
        <w:rPr>
          <w:sz w:val="20"/>
          <w:szCs w:val="20"/>
          <w:color w:val="auto"/>
        </w:rPr>
      </w:pPr>
    </w:p>
    <w:p>
      <w:pPr>
        <w:ind w:right="920"/>
        <w:spacing w:after="0" w:line="278" w:lineRule="auto"/>
        <w:rPr>
          <w:sz w:val="20"/>
          <w:szCs w:val="20"/>
          <w:color w:val="auto"/>
        </w:rPr>
      </w:pPr>
      <w:r>
        <w:rPr>
          <w:rFonts w:ascii="Arial" w:cs="Arial" w:eastAsia="Arial" w:hAnsi="Arial"/>
          <w:sz w:val="17"/>
          <w:szCs w:val="17"/>
          <w:b w:val="1"/>
          <w:bCs w:val="1"/>
          <w:color w:val="auto"/>
        </w:rPr>
        <w:t>Andrew Greig, Lead Independent Director</w:t>
      </w:r>
    </w:p>
    <w:p>
      <w:pPr>
        <w:spacing w:after="0" w:line="1"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color w:val="auto"/>
        </w:rPr>
        <w:t>Founder and Senior Director of Innovation Pty Ltd</w:t>
      </w:r>
    </w:p>
    <w:p>
      <w:pPr>
        <w:spacing w:after="0" w:line="123" w:lineRule="exact"/>
        <w:rPr>
          <w:sz w:val="20"/>
          <w:szCs w:val="20"/>
          <w:color w:val="auto"/>
        </w:rPr>
      </w:pPr>
    </w:p>
    <w:p>
      <w:pPr>
        <w:ind w:right="660"/>
        <w:spacing w:after="0" w:line="278" w:lineRule="auto"/>
        <w:rPr>
          <w:sz w:val="20"/>
          <w:szCs w:val="20"/>
          <w:color w:val="auto"/>
        </w:rPr>
      </w:pPr>
      <w:r>
        <w:rPr>
          <w:rFonts w:ascii="Arial" w:cs="Arial" w:eastAsia="Arial" w:hAnsi="Arial"/>
          <w:sz w:val="17"/>
          <w:szCs w:val="17"/>
          <w:b w:val="1"/>
          <w:bCs w:val="1"/>
          <w:color w:val="auto"/>
        </w:rPr>
        <w:t>Stephen Jurvetson, Vice Chairman</w:t>
      </w:r>
    </w:p>
    <w:p>
      <w:pPr>
        <w:spacing w:after="0" w:line="1" w:lineRule="exact"/>
        <w:rPr>
          <w:sz w:val="20"/>
          <w:szCs w:val="20"/>
          <w:color w:val="auto"/>
        </w:rPr>
      </w:pPr>
    </w:p>
    <w:p>
      <w:pPr>
        <w:ind w:right="320"/>
        <w:spacing w:after="0" w:line="397" w:lineRule="auto"/>
        <w:rPr>
          <w:sz w:val="20"/>
          <w:szCs w:val="20"/>
          <w:color w:val="auto"/>
        </w:rPr>
      </w:pPr>
      <w:r>
        <w:rPr>
          <w:rFonts w:ascii="Arial" w:cs="Arial" w:eastAsia="Arial" w:hAnsi="Arial"/>
          <w:sz w:val="17"/>
          <w:szCs w:val="17"/>
          <w:color w:val="auto"/>
        </w:rPr>
        <w:t xml:space="preserve">Co-founder of Future Ventures </w:t>
      </w:r>
      <w:r>
        <w:rPr>
          <w:rFonts w:ascii="Arial" w:cs="Arial" w:eastAsia="Arial" w:hAnsi="Arial"/>
          <w:sz w:val="17"/>
          <w:szCs w:val="17"/>
          <w:b w:val="1"/>
          <w:bCs w:val="1"/>
          <w:color w:val="auto"/>
        </w:rPr>
        <w:t>Andrew Hall</w:t>
      </w:r>
    </w:p>
    <w:p>
      <w:pPr>
        <w:spacing w:after="0" w:line="1"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Managing Director of Saxjo Limited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Andrei Karkar</w:t>
      </w:r>
    </w:p>
    <w:p>
      <w:pPr>
        <w:spacing w:after="0" w:line="62"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Chief Executive Officer of ERAS Capital LLC</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Sheila Khama</w:t>
      </w:r>
    </w:p>
    <w:p>
      <w:pPr>
        <w:spacing w:after="0" w:line="62"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Independent Consultant with SK Consulting Pty, Ltd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Christian Madsbjerg</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Professor of Applied Humanities at The New School for Social Research and director and senior partner of ReD Associates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Kathleen McAllister</w:t>
      </w:r>
    </w:p>
    <w:p>
      <w:pPr>
        <w:spacing w:after="0" w:line="6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A Certified Professional Accountant (CPA) and former President and Chief Executive Officer and Chief Financial Officer of Transocean Partners LLC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Amelia Kinahoi Siamomua</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Independent Consultant on gender and social inclusion for the Government of Nauru</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Arial" w:cs="Arial" w:eastAsia="Arial" w:hAnsi="Arial"/>
          <w:sz w:val="20"/>
          <w:szCs w:val="20"/>
          <w:b w:val="1"/>
          <w:bCs w:val="1"/>
          <w:color w:val="auto"/>
        </w:rPr>
        <w:t>Corporate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Gerard Barron</w:t>
      </w:r>
    </w:p>
    <w:p>
      <w:pPr>
        <w:spacing w:after="0" w:line="62" w:lineRule="exact"/>
        <w:rPr>
          <w:sz w:val="20"/>
          <w:szCs w:val="20"/>
          <w:color w:val="auto"/>
        </w:rPr>
      </w:pPr>
    </w:p>
    <w:p>
      <w:pPr>
        <w:ind w:right="580"/>
        <w:spacing w:after="0" w:line="282" w:lineRule="auto"/>
        <w:rPr>
          <w:sz w:val="20"/>
          <w:szCs w:val="20"/>
          <w:color w:val="auto"/>
        </w:rPr>
      </w:pPr>
      <w:r>
        <w:rPr>
          <w:rFonts w:ascii="Arial" w:cs="Arial" w:eastAsia="Arial" w:hAnsi="Arial"/>
          <w:sz w:val="17"/>
          <w:szCs w:val="17"/>
          <w:color w:val="auto"/>
        </w:rPr>
        <w:t>Chief Executive Officer and Chairman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Craig Shesky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Anthony O’Sullivan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Chief Development Officer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Erika Ilves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Chief Strategy Officer</w:t>
      </w: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Registered Office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TMC the metals company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595 Howe Street, 10th Floor</w:t>
      </w:r>
    </w:p>
    <w:p>
      <w:pPr>
        <w:spacing w:after="0" w:line="59"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Vancouver, British Columbia, V6C 2T5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Website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www.metals.co</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Counsel</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Mintz, Levin, Cohn, Ferris, Glovsky</w:t>
      </w:r>
    </w:p>
    <w:p>
      <w:pPr>
        <w:ind w:left="100"/>
        <w:spacing w:after="0"/>
        <w:rPr>
          <w:sz w:val="20"/>
          <w:szCs w:val="20"/>
          <w:color w:val="auto"/>
        </w:rPr>
      </w:pPr>
      <w:r>
        <w:rPr>
          <w:rFonts w:ascii="Arial" w:cs="Arial" w:eastAsia="Arial" w:hAnsi="Arial"/>
          <w:sz w:val="17"/>
          <w:szCs w:val="17"/>
          <w:color w:val="auto"/>
        </w:rPr>
        <w:t>and Popeo, P.C.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Canadian Legal Counsel</w:t>
      </w:r>
    </w:p>
    <w:p>
      <w:pPr>
        <w:spacing w:after="0" w:line="6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Fasken Martineau DuMoulin LLP Vancouver, British Columbia</w:t>
      </w:r>
    </w:p>
    <w:p>
      <w:pPr>
        <w:spacing w:after="0" w:line="133"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b w:val="1"/>
          <w:bCs w:val="1"/>
          <w:color w:val="auto"/>
        </w:rPr>
        <w:t>Independent Registered Public Accounting Firm</w:t>
      </w:r>
    </w:p>
    <w:p>
      <w:pPr>
        <w:spacing w:after="0" w:line="236" w:lineRule="auto"/>
        <w:rPr>
          <w:sz w:val="20"/>
          <w:szCs w:val="20"/>
          <w:color w:val="auto"/>
        </w:rPr>
      </w:pPr>
      <w:r>
        <w:rPr>
          <w:rFonts w:ascii="Arial" w:cs="Arial" w:eastAsia="Arial" w:hAnsi="Arial"/>
          <w:sz w:val="17"/>
          <w:szCs w:val="17"/>
          <w:color w:val="auto"/>
        </w:rPr>
        <w:t>Ernst &amp; Young LLP</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Vancouver,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ind w:right="800"/>
        <w:spacing w:after="0" w:line="278" w:lineRule="auto"/>
        <w:rPr>
          <w:sz w:val="20"/>
          <w:szCs w:val="20"/>
          <w:color w:val="auto"/>
        </w:rPr>
      </w:pPr>
      <w:r>
        <w:rPr>
          <w:rFonts w:ascii="Arial" w:cs="Arial" w:eastAsia="Arial" w:hAnsi="Arial"/>
          <w:sz w:val="17"/>
          <w:szCs w:val="17"/>
          <w:b w:val="1"/>
          <w:bCs w:val="1"/>
          <w:color w:val="auto"/>
        </w:rPr>
        <w:t>Share and Public Warrant Listing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2588895</wp:posOffset>
                </wp:positionH>
                <wp:positionV relativeFrom="paragraph">
                  <wp:posOffset>-1460500</wp:posOffset>
                </wp:positionV>
                <wp:extent cx="3175" cy="0"/>
                <wp:wrapNone/>
                <wp:docPr id="936" name="Shape 9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936" o:spid="_x0000_s19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85pt,-115pt" to="204.1pt,-115pt" o:allowincell="f" strokecolor="#000000" strokeweight="0.25pt"/>
            </w:pict>
          </mc:Fallback>
        </mc:AlternateContent>
      </w:r>
    </w:p>
    <w:p>
      <w:pPr>
        <w:ind w:right="240"/>
        <w:spacing w:after="0" w:line="245" w:lineRule="auto"/>
        <w:rPr>
          <w:sz w:val="20"/>
          <w:szCs w:val="20"/>
          <w:color w:val="auto"/>
        </w:rPr>
      </w:pPr>
      <w:r>
        <w:rPr>
          <w:rFonts w:ascii="Arial" w:cs="Arial" w:eastAsia="Arial" w:hAnsi="Arial"/>
          <w:sz w:val="17"/>
          <w:szCs w:val="17"/>
          <w:color w:val="auto"/>
        </w:rPr>
        <w:t>Our common shares and public warrants are traded on the Nasdaq Global Select Market under the symbol TMC and TMCWW, respectively. On April 17, 2024, the closing price of our common shares was $1.66 per share and of our public warrants was $0.2159.</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You may obtain a copy of any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exhibits to our Annual Report</w:t>
      </w:r>
    </w:p>
    <w:p>
      <w:pPr>
        <w:spacing w:after="0" w:line="237" w:lineRule="auto"/>
        <w:rPr>
          <w:sz w:val="20"/>
          <w:szCs w:val="20"/>
          <w:color w:val="auto"/>
        </w:rPr>
      </w:pPr>
      <w:r>
        <w:rPr>
          <w:rFonts w:ascii="Arial" w:cs="Arial" w:eastAsia="Arial" w:hAnsi="Arial"/>
          <w:sz w:val="17"/>
          <w:szCs w:val="17"/>
          <w:color w:val="auto"/>
        </w:rPr>
        <w:t>on Form 10-K free of charge. These</w:t>
      </w:r>
    </w:p>
    <w:p>
      <w:pPr>
        <w:spacing w:after="0"/>
        <w:rPr>
          <w:sz w:val="20"/>
          <w:szCs w:val="20"/>
          <w:color w:val="auto"/>
        </w:rPr>
      </w:pPr>
      <w:r>
        <w:rPr>
          <w:rFonts w:ascii="Arial" w:cs="Arial" w:eastAsia="Arial" w:hAnsi="Arial"/>
          <w:sz w:val="17"/>
          <w:szCs w:val="17"/>
          <w:color w:val="auto"/>
        </w:rPr>
        <w:t>documents are available on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website at www.metals.co or by</w:t>
      </w:r>
    </w:p>
    <w:p>
      <w:pPr>
        <w:spacing w:after="0" w:line="237" w:lineRule="auto"/>
        <w:rPr>
          <w:sz w:val="20"/>
          <w:szCs w:val="20"/>
          <w:color w:val="auto"/>
        </w:rPr>
      </w:pPr>
      <w:r>
        <w:rPr>
          <w:rFonts w:ascii="Arial" w:cs="Arial" w:eastAsia="Arial" w:hAnsi="Arial"/>
          <w:sz w:val="17"/>
          <w:szCs w:val="17"/>
          <w:color w:val="auto"/>
        </w:rPr>
        <w:t>contacting our Investor Relations</w:t>
      </w:r>
    </w:p>
    <w:p>
      <w:pPr>
        <w:spacing w:after="0"/>
        <w:rPr>
          <w:sz w:val="20"/>
          <w:szCs w:val="20"/>
          <w:color w:val="auto"/>
        </w:rPr>
      </w:pPr>
      <w:r>
        <w:rPr>
          <w:rFonts w:ascii="Arial" w:cs="Arial" w:eastAsia="Arial" w:hAnsi="Arial"/>
          <w:sz w:val="17"/>
          <w:szCs w:val="17"/>
          <w:color w:val="auto"/>
        </w:rPr>
        <w:t>department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investors@metals.co. Requests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information about TMC the metals</w:t>
      </w:r>
    </w:p>
    <w:p>
      <w:pPr>
        <w:spacing w:after="0" w:line="237" w:lineRule="auto"/>
        <w:rPr>
          <w:sz w:val="20"/>
          <w:szCs w:val="20"/>
          <w:color w:val="auto"/>
        </w:rPr>
      </w:pPr>
      <w:r>
        <w:rPr>
          <w:rFonts w:ascii="Arial" w:cs="Arial" w:eastAsia="Arial" w:hAnsi="Arial"/>
          <w:sz w:val="17"/>
          <w:szCs w:val="17"/>
          <w:color w:val="auto"/>
        </w:rPr>
        <w:t>company Inc. should be directed to</w:t>
      </w:r>
    </w:p>
    <w:p>
      <w:pPr>
        <w:spacing w:after="0"/>
        <w:rPr>
          <w:sz w:val="20"/>
          <w:szCs w:val="20"/>
          <w:color w:val="auto"/>
        </w:rPr>
      </w:pPr>
      <w:r>
        <w:rPr>
          <w:rFonts w:ascii="Arial" w:cs="Arial" w:eastAsia="Arial" w:hAnsi="Arial"/>
          <w:sz w:val="17"/>
          <w:szCs w:val="17"/>
          <w:color w:val="auto"/>
        </w:rPr>
        <w:t>our Investor Relations department.</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 xml:space="preserve">2024 Annual and Special Meeting </w:t>
      </w:r>
      <w:r>
        <w:rPr>
          <w:rFonts w:ascii="Arial" w:cs="Arial" w:eastAsia="Arial" w:hAnsi="Arial"/>
          <w:sz w:val="17"/>
          <w:szCs w:val="17"/>
          <w:color w:val="auto"/>
        </w:rPr>
        <w:t>Our 2024 Annual and Special Meeting</w:t>
      </w:r>
    </w:p>
    <w:p>
      <w:pPr>
        <w:spacing w:after="0" w:line="2"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of Shareholders will be held on Thursday, May 30, 2024, at 10:00 a.m. EDT, via live webcast available at the following URL: https://www.cstproxy.com/metals/2 024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Continental Stock Transfer &amp; Trust</w:t>
      </w:r>
    </w:p>
    <w:p>
      <w:pPr>
        <w:spacing w:after="0" w:line="237" w:lineRule="auto"/>
        <w:rPr>
          <w:sz w:val="20"/>
          <w:szCs w:val="20"/>
          <w:color w:val="auto"/>
        </w:rPr>
      </w:pPr>
      <w:r>
        <w:rPr>
          <w:rFonts w:ascii="Arial" w:cs="Arial" w:eastAsia="Arial" w:hAnsi="Arial"/>
          <w:sz w:val="17"/>
          <w:szCs w:val="17"/>
          <w:color w:val="auto"/>
        </w:rPr>
        <w:t>Company</w:t>
      </w:r>
    </w:p>
    <w:p>
      <w:pPr>
        <w:spacing w:after="0"/>
        <w:rPr>
          <w:sz w:val="20"/>
          <w:szCs w:val="20"/>
          <w:color w:val="auto"/>
        </w:rPr>
      </w:pPr>
      <w:r>
        <w:rPr>
          <w:rFonts w:ascii="Arial" w:cs="Arial" w:eastAsia="Arial" w:hAnsi="Arial"/>
          <w:sz w:val="17"/>
          <w:szCs w:val="17"/>
          <w:color w:val="auto"/>
        </w:rPr>
        <w:t>1 State Street, 30th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10004-1561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 shareholders: (800) 509-5586</w:t>
      </w:r>
    </w:p>
    <w:p>
      <w:pPr>
        <w:sectPr>
          <w:pgSz w:w="12240" w:h="15840" w:orient="portrait"/>
          <w:cols w:equalWidth="0" w:num="3">
            <w:col w:w="2640" w:space="720"/>
            <w:col w:w="2640" w:space="720"/>
            <w:col w:w="2880"/>
          </w:cols>
          <w:pgMar w:left="1440" w:top="1419" w:right="1200"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8298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41">
                      <a:extLst>
                        <a:ext uri="{28A0092B-C50C-407E-A947-70E740481C1C}"/>
                      </a:extLst>
                    </a:blip>
                    <a:srcRect/>
                    <a:stretch>
                      <a:fillRect/>
                    </a:stretch>
                  </pic:blipFill>
                  <pic:spPr bwMode="auto">
                    <a:xfrm>
                      <a:off x="0" y="0"/>
                      <a:ext cx="77724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940"/>
        <w:spacing w:after="0"/>
        <w:rPr>
          <w:sz w:val="20"/>
          <w:szCs w:val="20"/>
          <w:color w:val="auto"/>
        </w:rPr>
      </w:pPr>
      <w:r>
        <w:rPr>
          <w:rFonts w:ascii="Arial" w:cs="Arial" w:eastAsia="Arial" w:hAnsi="Arial"/>
          <w:sz w:val="48"/>
          <w:szCs w:val="48"/>
          <w:color w:val="FFFFFF"/>
        </w:rPr>
        <w:t>metals.co</w:t>
      </w:r>
    </w:p>
    <w:sectPr>
      <w:pgSz w:w="12240" w:h="15840" w:orient="portrait"/>
      <w:cols w:equalWidth="0" w:num="1">
        <w:col w:w="10080"/>
      </w:cols>
      <w:pgMar w:left="1440" w:top="1440" w:right="720" w:bottom="23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1)"/>
      <w:numFmt w:val="lowerRoman"/>
      <w:start w:val="1"/>
    </w:lvl>
  </w:abstractNum>
  <w:abstractNum w:abstractNumId="10">
    <w:nsid w:val="75C6C33A"/>
    <w:multiLevelType w:val="hybridMultilevel"/>
    <w:lvl w:ilvl="0">
      <w:lvlJc w:val="left"/>
      <w:lvlText w:val="(%1)"/>
      <w:numFmt w:val="lowerRoman"/>
      <w:start w:val="2"/>
    </w:lvl>
  </w:abstractNum>
  <w:abstractNum w:abstractNumId="11">
    <w:nsid w:val="12E685FB"/>
    <w:multiLevelType w:val="hybridMultilevel"/>
    <w:lvl w:ilvl="0">
      <w:lvlJc w:val="left"/>
      <w:lvlText w:val="(%1)"/>
      <w:numFmt w:val="lowerRoman"/>
      <w:start w:val="3"/>
    </w:lvl>
  </w:abstractNum>
  <w:abstractNum w:abstractNumId="12">
    <w:nsid w:val="70C6A529"/>
    <w:multiLevelType w:val="hybridMultilevel"/>
    <w:lvl w:ilvl="0">
      <w:lvlJc w:val="left"/>
      <w:lvlText w:val="(%1)"/>
      <w:numFmt w:val="lowerRoman"/>
      <w:start w:val="4"/>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1)"/>
      <w:numFmt w:val="lowerRoman"/>
      <w:start w:val="7"/>
    </w:lvl>
  </w:abstractNum>
  <w:abstractNum w:abstractNumId="27">
    <w:nsid w:val="D34B6A8"/>
    <w:multiLevelType w:val="hybridMultilevel"/>
    <w:lvl w:ilvl="0">
      <w:lvlJc w:val="left"/>
      <w:lvlText w:val="%1."/>
      <w:numFmt w:val="upperLetter"/>
      <w:start w:val="22"/>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emdash "/>
      <w:numFmt w:val="bullet"/>
      <w:start w:val="1"/>
    </w:lvl>
  </w:abstractNum>
  <w:abstractNum w:abstractNumId="32">
    <w:nsid w:val="77AE35EB"/>
    <w:multiLevelType w:val="hybridMultilevel"/>
    <w:lvl w:ilvl="0">
      <w:lvlJc w:val="left"/>
      <w:lvlText w:val="(%1)"/>
      <w:numFmt w:val="lowerRoman"/>
      <w:start w:val="4"/>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upperLetter"/>
      <w:start w:val="30"/>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lvl w:ilvl="1">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3"/>
    </w:lvl>
  </w:abstractNum>
  <w:abstractNum w:abstractNumId="52">
    <w:nsid w:val="1EBA5D23"/>
    <w:multiLevelType w:val="hybridMultilevel"/>
    <w:lvl w:ilvl="0">
      <w:lvlJc w:val="left"/>
      <w:lvlText w:val="%1."/>
      <w:numFmt w:val="lowerRoman"/>
      <w:start w:val="5"/>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1."/>
      <w:numFmt w:val="lowerRoman"/>
      <w:start w:val="10"/>
    </w:lvl>
  </w:abstractNum>
  <w:abstractNum w:abstractNumId="56">
    <w:nsid w:val="7BD3EE7B"/>
    <w:multiLevelType w:val="hybridMultilevel"/>
    <w:lvl w:ilvl="0">
      <w:lvlJc w:val="left"/>
      <w:lvlText w:val="%1."/>
      <w:numFmt w:val="lowerRoman"/>
      <w:start w:val="1"/>
    </w:lvl>
  </w:abstractNum>
  <w:abstractNum w:abstractNumId="57">
    <w:nsid w:val="51D9C564"/>
    <w:multiLevelType w:val="hybridMultilevel"/>
    <w:lvl w:ilvl="0">
      <w:lvlJc w:val="left"/>
      <w:lvlText w:val="%1."/>
      <w:numFmt w:val="decimal"/>
      <w:start w:val="4"/>
    </w:lvl>
  </w:abstractNum>
  <w:abstractNum w:abstractNumId="58">
    <w:nsid w:val="613EFDC5"/>
    <w:multiLevelType w:val="hybridMultilevel"/>
    <w:lvl w:ilvl="0">
      <w:lvlJc w:val="left"/>
      <w:lvlText w:val="%1."/>
      <w:numFmt w:val="decimal"/>
      <w:start w:val="5"/>
    </w:lvl>
  </w:abstractNum>
  <w:abstractNum w:abstractNumId="59">
    <w:nsid w:val="BF72B14"/>
    <w:multiLevelType w:val="hybridMultilevel"/>
    <w:lvl w:ilvl="0">
      <w:lvlJc w:val="left"/>
      <w:lvlText w:val="%1."/>
      <w:numFmt w:val="decimal"/>
      <w:start w:val="7"/>
    </w:lvl>
  </w:abstractNum>
  <w:abstractNum w:abstractNumId="60">
    <w:nsid w:val="11447B73"/>
    <w:multiLevelType w:val="hybridMultilevel"/>
    <w:lvl w:ilvl="0">
      <w:lvlJc w:val="left"/>
      <w:lvlText w:val="%1."/>
      <w:numFmt w:val="decimal"/>
      <w:start w:val="8"/>
    </w:lvl>
    <w:lvl w:ilvl="1">
      <w:lvlJc w:val="left"/>
      <w:lvlText w:val="●"/>
      <w:numFmt w:val="bullet"/>
      <w:start w:val="1"/>
    </w:lvl>
  </w:abstractNum>
  <w:abstractNum w:abstractNumId="61">
    <w:nsid w:val="42963E5A"/>
    <w:multiLevelType w:val="hybridMultilevel"/>
    <w:lvl w:ilvl="0">
      <w:lvlJc w:val="left"/>
      <w:lvlText w:val="%1."/>
      <w:numFmt w:val="decimal"/>
      <w:start w:val="9"/>
    </w:lvl>
  </w:abstractNum>
  <w:abstractNum w:abstractNumId="62">
    <w:nsid w:val="A0382C5"/>
    <w:multiLevelType w:val="hybridMultilevel"/>
    <w:lvl w:ilvl="0">
      <w:lvlJc w:val="left"/>
      <w:lvlText w:val="%1."/>
      <w:numFmt w:val="decimal"/>
      <w:start w:val="10"/>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lvl w:ilvl="1">
      <w:lvlJc w:val="left"/>
      <w:lvlText w:val="(%2)"/>
      <w:numFmt w:val="decimal"/>
      <w:start w:val="1"/>
    </w:lvl>
  </w:abstractNum>
  <w:abstractNum w:abstractNumId="65">
    <w:nsid w:val="3B0FD379"/>
    <w:multiLevelType w:val="hybridMultilevel"/>
    <w:lvl w:ilvl="0">
      <w:lvlJc w:val="left"/>
      <w:lvlText w:val="%1."/>
      <w:numFmt w:val="decimal"/>
      <w:start w:val="12"/>
    </w:lvl>
    <w:lvl w:ilvl="1">
      <w:lvlJc w:val="left"/>
      <w:lvlText w:val="%2"/>
      <w:numFmt w:val="decimal"/>
      <w:start w:val="1"/>
    </w:lvl>
  </w:abstractNum>
  <w:abstractNum w:abstractNumId="66">
    <w:nsid w:val="68EB2F63"/>
    <w:multiLevelType w:val="hybridMultilevel"/>
    <w:lvl w:ilvl="0">
      <w:lvlJc w:val="left"/>
      <w:lvlText w:val="%1."/>
      <w:numFmt w:val="decimal"/>
      <w:start w:val="13"/>
    </w:lvl>
    <w:lvl w:ilvl="1">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1)"/>
      <w:numFmt w:val="lowerRoman"/>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1."/>
      <w:numFmt w:val="decimal"/>
      <w:start w:val="1"/>
    </w:lvl>
  </w:abstractNum>
  <w:abstractNum w:abstractNumId="71">
    <w:nsid w:val="7FFFCA11"/>
    <w:multiLevelType w:val="hybridMultilevel"/>
    <w:lvl w:ilvl="0">
      <w:lvlJc w:val="left"/>
      <w:lvlText w:val="%1."/>
      <w:numFmt w:val="decimal"/>
      <w:start w:val="14"/>
    </w:lvl>
  </w:abstractNum>
  <w:abstractNum w:abstractNumId="72">
    <w:nsid w:val="1A27709E"/>
    <w:multiLevelType w:val="hybridMultilevel"/>
    <w:lvl w:ilvl="0">
      <w:lvlJc w:val="left"/>
      <w:lvlText w:val="%1."/>
      <w:numFmt w:val="decimal"/>
      <w:start w:val="15"/>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16"/>
    </w:lvl>
  </w:abstractNum>
  <w:abstractNum w:abstractNumId="77">
    <w:nsid w:val="6F6DD9AC"/>
    <w:multiLevelType w:val="hybridMultilevel"/>
    <w:lvl w:ilvl="0">
      <w:lvlJc w:val="left"/>
      <w:lvlText w:val="%1."/>
      <w:numFmt w:val="decimal"/>
      <w:start w:val="18"/>
    </w:lvl>
  </w:abstractNum>
  <w:abstractNum w:abstractNumId="78">
    <w:nsid w:val="94211F2"/>
    <w:multiLevelType w:val="hybridMultilevel"/>
    <w:lvl w:ilvl="0">
      <w:lvlJc w:val="left"/>
      <w:lvlText w:val="%1."/>
      <w:numFmt w:val="decimal"/>
      <w:start w:val="19"/>
    </w:lvl>
  </w:abstractNum>
  <w:abstractNum w:abstractNumId="79">
    <w:nsid w:val="885E1B"/>
    <w:multiLevelType w:val="hybridMultilevel"/>
    <w:lvl w:ilvl="0">
      <w:lvlJc w:val="left"/>
      <w:lvlText w:val="%1."/>
      <w:numFmt w:val="decimal"/>
      <w:start w:val="2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22"/>
    </w:lvl>
    <w:lvl w:ilvl="1">
      <w:lvlJc w:val="left"/>
      <w:lvlText w:val="-"/>
      <w:numFmt w:val="bullet"/>
      <w:start w:val="1"/>
    </w:lvl>
    <w:lvl w:ilvl="2">
      <w:lvlJc w:val="left"/>
      <w:lvlText w:val="-"/>
      <w:numFmt w:val="bullet"/>
      <w:start w:val="1"/>
    </w:lvl>
  </w:abstractNum>
  <w:abstractNum w:abstractNumId="83">
    <w:nsid w:val="14E17E33"/>
    <w:multiLevelType w:val="hybridMultilevel"/>
    <w:lvl w:ilvl="0">
      <w:lvlJc w:val="left"/>
      <w:lvlText w:val="%1."/>
      <w:numFmt w:val="decimal"/>
      <w:start w:val="23"/>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1)"/>
      <w:numFmt w:val="decimal"/>
      <w:start w:val="2"/>
    </w:lvl>
  </w:abstractNum>
  <w:abstractNum w:abstractNumId="87">
    <w:nsid w:val="2DF6D648"/>
    <w:multiLevelType w:val="hybridMultilevel"/>
    <w:lvl w:ilvl="0">
      <w:lvlJc w:val="left"/>
      <w:lvlText w:val="(%1)"/>
      <w:numFmt w:val="decimal"/>
      <w:start w:val="3"/>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
      <w:numFmt w:val="bullet"/>
      <w:start w:val="1"/>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2024-04-18T10:51:57Z</dcterms:created>
  <dcterms:modified xsi:type="dcterms:W3CDTF">2024-04-18T10:51:57Z</dcterms:modified>
</cp:coreProperties>
</file>