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46"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(Amendment No. 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a Party other than the Registrant [ 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Check the appropriate box:</w:t>
      </w:r>
    </w:p>
    <w:p>
      <w:pPr>
        <w:spacing w:after="0" w:line="27"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Preliminary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b w:val="1"/>
          <w:bCs w:val="1"/>
          <w:color w:val="auto"/>
        </w:rPr>
        <w:t>Confidential, for Use of the Commission Only (as permitted by Rule 14a-6(e)(2))</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§240.14a-12</w:t>
      </w:r>
    </w:p>
    <w:p>
      <w:pPr>
        <w:spacing w:after="0" w:line="342" w:lineRule="exact"/>
        <w:rPr>
          <w:sz w:val="24"/>
          <w:szCs w:val="24"/>
          <w:color w:val="auto"/>
        </w:rPr>
      </w:pPr>
    </w:p>
    <w:tbl>
      <w:tblPr>
        <w:tblLayout w:type="fixed"/>
        <w:tblInd w:w="1240" w:type="dxa"/>
        <w:tblCellMar>
          <w:top w:w="0" w:type="dxa"/>
          <w:left w:w="0" w:type="dxa"/>
          <w:bottom w:w="0" w:type="dxa"/>
          <w:right w:w="0" w:type="dxa"/>
        </w:tblCellMar>
      </w:tblPr>
      <w:tr>
        <w:trPr>
          <w:trHeight w:val="242"/>
        </w:trPr>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420"/>
              <w:spacing w:after="0"/>
              <w:rPr>
                <w:sz w:val="20"/>
                <w:szCs w:val="20"/>
                <w:color w:val="auto"/>
              </w:rPr>
            </w:pPr>
            <w:r>
              <w:rPr>
                <w:rFonts w:ascii="Arial" w:cs="Arial" w:eastAsia="Arial" w:hAnsi="Arial"/>
                <w:sz w:val="18"/>
                <w:szCs w:val="18"/>
                <w:b w:val="1"/>
                <w:bCs w:val="1"/>
                <w:color w:val="auto"/>
              </w:rPr>
              <w:t>​ ​</w:t>
            </w: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TMC THE METALS COMPANY INC.</w:t>
            </w:r>
          </w:p>
        </w:tc>
        <w:tc>
          <w:tcPr>
            <w:tcW w:w="660" w:type="dxa"/>
            <w:vAlign w:val="bottom"/>
          </w:tcPr>
          <w:p>
            <w:pPr>
              <w:spacing w:after="0"/>
              <w:rPr>
                <w:sz w:val="20"/>
                <w:szCs w:val="20"/>
                <w:color w:val="auto"/>
              </w:rPr>
            </w:pPr>
            <w:r>
              <w:rPr>
                <w:rFonts w:ascii="Arial" w:cs="Arial" w:eastAsia="Arial" w:hAnsi="Arial"/>
                <w:sz w:val="18"/>
                <w:szCs w:val="18"/>
                <w:b w:val="1"/>
                <w:bCs w:val="1"/>
                <w:color w:val="auto"/>
              </w:rPr>
              <w:t>​ ​ ​</w:t>
            </w:r>
          </w:p>
        </w:tc>
        <w:tc>
          <w:tcPr>
            <w:tcW w:w="460" w:type="dxa"/>
            <w:vAlign w:val="bottom"/>
          </w:tcPr>
          <w:p>
            <w:pPr>
              <w:ind w:left="420"/>
              <w:spacing w:after="0"/>
              <w:rPr>
                <w:sz w:val="20"/>
                <w:szCs w:val="20"/>
                <w:color w:val="auto"/>
              </w:rPr>
            </w:pPr>
            <w:r>
              <w:rPr>
                <w:rFonts w:ascii="Arial" w:cs="Arial" w:eastAsia="Arial" w:hAnsi="Arial"/>
                <w:sz w:val="18"/>
                <w:szCs w:val="18"/>
                <w:b w:val="1"/>
                <w:bCs w:val="1"/>
                <w:color w:val="auto"/>
              </w:rPr>
              <w:t>​</w:t>
            </w:r>
          </w:p>
        </w:tc>
      </w:tr>
      <w:tr>
        <w:trPr>
          <w:trHeight w:val="238"/>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Registrant as Specified In Its Charter)</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181"/>
        </w:trPr>
        <w:tc>
          <w:tcPr>
            <w:tcW w:w="4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181" w:lineRule="exact"/>
              <w:rPr>
                <w:sz w:val="20"/>
                <w:szCs w:val="20"/>
                <w:color w:val="auto"/>
              </w:rPr>
            </w:pPr>
            <w:r>
              <w:rPr>
                <w:rFonts w:ascii="Arial" w:cs="Arial" w:eastAsia="Arial" w:hAnsi="Arial"/>
                <w:sz w:val="18"/>
                <w:szCs w:val="18"/>
                <w:color w:val="auto"/>
              </w:rPr>
              <w:t>​ ​</w:t>
            </w:r>
          </w:p>
        </w:tc>
        <w:tc>
          <w:tcPr>
            <w:tcW w:w="6060" w:type="dxa"/>
            <w:vAlign w:val="bottom"/>
          </w:tcPr>
          <w:p>
            <w:pPr>
              <w:jc w:val="center"/>
              <w:spacing w:after="0" w:line="181" w:lineRule="exact"/>
              <w:rPr>
                <w:sz w:val="20"/>
                <w:szCs w:val="20"/>
                <w:color w:val="auto"/>
              </w:rPr>
            </w:pPr>
            <w:r>
              <w:rPr>
                <w:rFonts w:ascii="Arial" w:cs="Arial" w:eastAsia="Arial" w:hAnsi="Arial"/>
                <w:sz w:val="18"/>
                <w:szCs w:val="18"/>
                <w:color w:val="auto"/>
              </w:rPr>
              <w:t>​</w:t>
            </w:r>
          </w:p>
        </w:tc>
        <w:tc>
          <w:tcPr>
            <w:tcW w:w="660" w:type="dxa"/>
            <w:vAlign w:val="bottom"/>
          </w:tcPr>
          <w:p>
            <w:pPr>
              <w:spacing w:after="0" w:line="181" w:lineRule="exact"/>
              <w:rPr>
                <w:sz w:val="20"/>
                <w:szCs w:val="20"/>
                <w:color w:val="auto"/>
              </w:rPr>
            </w:pPr>
            <w:r>
              <w:rPr>
                <w:rFonts w:ascii="Arial" w:cs="Arial" w:eastAsia="Arial" w:hAnsi="Arial"/>
                <w:sz w:val="18"/>
                <w:szCs w:val="18"/>
                <w:color w:val="auto"/>
              </w:rPr>
              <w:t>​ ​ ​</w:t>
            </w:r>
          </w:p>
        </w:tc>
        <w:tc>
          <w:tcPr>
            <w:tcW w:w="460" w:type="dxa"/>
            <w:vAlign w:val="bottom"/>
          </w:tcPr>
          <w:p>
            <w:pPr>
              <w:ind w:left="420"/>
              <w:spacing w:after="0" w:line="181" w:lineRule="exact"/>
              <w:rPr>
                <w:sz w:val="20"/>
                <w:szCs w:val="20"/>
                <w:color w:val="auto"/>
              </w:rPr>
            </w:pPr>
            <w:r>
              <w:rPr>
                <w:rFonts w:ascii="Arial" w:cs="Arial" w:eastAsia="Arial" w:hAnsi="Arial"/>
                <w:sz w:val="18"/>
                <w:szCs w:val="18"/>
                <w:color w:val="auto"/>
              </w:rPr>
              <w:t>​</w:t>
            </w: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Person(s) Filing Proxy Statement, if other than the Registrant)</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Payment of Filing Fee (Check all boxes that apply):</w:t>
      </w:r>
    </w:p>
    <w:p>
      <w:pPr>
        <w:spacing w:after="0" w:line="27"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9" w:lineRule="exact"/>
        <w:rPr>
          <w:sz w:val="24"/>
          <w:szCs w:val="24"/>
          <w:color w:val="auto"/>
        </w:rPr>
      </w:pPr>
    </w:p>
    <w:p>
      <w:pPr>
        <w:ind w:left="1600" w:right="559" w:hanging="359"/>
        <w:spacing w:after="0" w:line="266" w:lineRule="auto"/>
        <w:tabs>
          <w:tab w:leader="none" w:pos="1580" w:val="left"/>
        </w:tabs>
        <w:rPr>
          <w:sz w:val="20"/>
          <w:szCs w:val="20"/>
          <w:color w:val="auto"/>
        </w:rPr>
      </w:pPr>
      <w:r>
        <w:rPr>
          <w:rFonts w:ascii="Arial" w:cs="Arial" w:eastAsia="Arial" w:hAnsi="Arial"/>
          <w:sz w:val="18"/>
          <w:szCs w:val="18"/>
          <w:color w:val="auto"/>
        </w:rPr>
        <w:t>[  ]</w:t>
        <w:tab/>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3991610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PRELIMINARY COPY FILED PURSUANT TO RULE 14a-6(a)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43180</wp:posOffset>
            </wp:positionV>
            <wp:extent cx="181737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Letter to Shareholders</w:t>
      </w:r>
    </w:p>
    <w:p>
      <w:pPr>
        <w:spacing w:after="0" w:line="144"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18, 2025​</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You are cordially invited to attend the 2025 annual and special meeting of shareholders of TMC the metals company Inc. (the “Company”) to be held in a virtual format on Thursday, May 29, 2025 at 10:00 a.m. EDT.</w:t>
      </w:r>
    </w:p>
    <w:p>
      <w:pPr>
        <w:spacing w:after="0" w:line="40" w:lineRule="exact"/>
        <w:rPr>
          <w:sz w:val="20"/>
          <w:szCs w:val="20"/>
          <w:color w:val="auto"/>
        </w:rPr>
      </w:pPr>
    </w:p>
    <w:p>
      <w:pPr>
        <w:jc w:val="both"/>
        <w:ind w:left="1240" w:right="419" w:firstLine="360"/>
        <w:spacing w:after="0" w:line="263" w:lineRule="auto"/>
        <w:rPr>
          <w:sz w:val="20"/>
          <w:szCs w:val="20"/>
          <w:color w:val="auto"/>
        </w:rPr>
      </w:pPr>
      <w:r>
        <w:rPr>
          <w:rFonts w:ascii="Arial" w:cs="Arial" w:eastAsia="Arial" w:hAnsi="Arial"/>
          <w:sz w:val="17"/>
          <w:szCs w:val="17"/>
          <w:color w:val="auto"/>
        </w:rPr>
        <w:t>This year’s annual and special meeting will be held virtually via live audio webcast on the internet. We believe hosting a virtual annual and special meeting enables greater shareholder attendance and participation from any location around the world, improves meeting efficiency and our ability to communicate effectively with our shareholders, and reduces the cost and environmental impact of our annual and special meeting. You will be able to attend the annual and special meeting, vote and submit your questions during the annual and special meeting by visiting https://www.cstproxy.com/metals/2025. You will not be able to attend the annual and special meeting in person.</w:t>
      </w:r>
    </w:p>
    <w:p>
      <w:pPr>
        <w:spacing w:after="0" w:line="40"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Details regarding the meeting, the business to be conducted at the meeting, and information about the Company that you should consider when you vote your shares are described in the accompanying proxy statement.</w:t>
      </w:r>
    </w:p>
    <w:p>
      <w:pPr>
        <w:spacing w:after="0" w:line="47" w:lineRule="exact"/>
        <w:rPr>
          <w:sz w:val="20"/>
          <w:szCs w:val="20"/>
          <w:color w:val="auto"/>
        </w:rPr>
      </w:pPr>
    </w:p>
    <w:p>
      <w:pPr>
        <w:jc w:val="both"/>
        <w:ind w:left="1240" w:right="419" w:firstLine="360"/>
        <w:spacing w:after="0" w:line="263" w:lineRule="auto"/>
        <w:rPr>
          <w:sz w:val="20"/>
          <w:szCs w:val="20"/>
          <w:color w:val="auto"/>
        </w:rPr>
      </w:pPr>
      <w:r>
        <w:rPr>
          <w:rFonts w:ascii="Arial" w:cs="Arial" w:eastAsia="Arial" w:hAnsi="Arial"/>
          <w:sz w:val="17"/>
          <w:szCs w:val="17"/>
          <w:color w:val="auto"/>
        </w:rPr>
        <w:t>At the annual and special meeting, we will present the audited consolidated financial statements for the fiscal year ended December 31, 2024 and the auditors’ report thereon, we will ask the shareholders to set the number of directors at eight and elect eight persons to our board of directors. In addition, we will ask shareholders to appoint Ernst &amp; Young LLP as our independent registered public accounting firm for our fiscal year ending December 31, 2025 and to adopt an amendment to our articles to update the advance notice provisions with respect to the address of our registered and records office. Our board of directors recommends the approval of each of the proposals and the election of each director nominee. Such other business will be transacted as may properly come before the annual and special meeting.</w:t>
      </w:r>
    </w:p>
    <w:p>
      <w:pPr>
        <w:spacing w:after="0" w:line="4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7"/>
          <w:szCs w:val="17"/>
          <w:color w:val="auto"/>
        </w:rPr>
        <w:t>Under the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or about April 18, 2025, we intend to begin sending to our shareholders a Notice of Internet Availability of Proxy Materials (the “Notice”) containing instructions on how to access our proxy statement for our 2025 annual and special meeting of shareholders and our annual report to shareholders. The Notice also provides instructions on how to vote by proxy, online or at the meeting, how to access the virtual annual and special meeting and how to receive a paper copy of the proxy materials by mail.</w:t>
      </w:r>
    </w:p>
    <w:p>
      <w:pPr>
        <w:spacing w:after="0" w:line="45"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We hope you will be able to attend the annual and special meeting. Whether or not you plan to attend the annual and special meeting, we hope you will vote promptly. Information about voting methods is set forth in the accompanying proxy statement.</w:t>
      </w:r>
    </w:p>
    <w:p>
      <w:pPr>
        <w:spacing w:after="0" w:line="40"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8"/>
          <w:szCs w:val="18"/>
          <w:color w:val="auto"/>
        </w:rPr>
        <w:t>Thank you for your continued support of the Company. We look forward to seeing you at the annual and special meeting.</w:t>
      </w:r>
    </w:p>
    <w:p>
      <w:pPr>
        <w:ind w:left="5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26035</wp:posOffset>
            </wp:positionV>
            <wp:extent cx="189420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42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Gerard Barron</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679450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PRELIMINARY COPY FILED PURSUANT TO RULE 14a-6(a)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43180</wp:posOffset>
            </wp:positionV>
            <wp:extent cx="181737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NOTICE OF 2025 ANNUAL AND SPECIAL MEETING OF SHAREHOLDERS</w:t>
      </w:r>
    </w:p>
    <w:p>
      <w:pPr>
        <w:spacing w:after="0" w:line="50"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18, 2025​</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TIME: 10:00 a.m. EDT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Thursday, May 29, 2025</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ACCESS: https://www.cstproxy.com/metals/2025</w:t>
      </w:r>
    </w:p>
    <w:p>
      <w:pPr>
        <w:spacing w:after="0" w:line="50" w:lineRule="exact"/>
        <w:rPr>
          <w:sz w:val="20"/>
          <w:szCs w:val="20"/>
          <w:color w:val="auto"/>
        </w:rPr>
      </w:pPr>
    </w:p>
    <w:p>
      <w:pPr>
        <w:jc w:val="both"/>
        <w:ind w:left="1240" w:right="419" w:firstLine="360"/>
        <w:spacing w:after="0" w:line="225" w:lineRule="auto"/>
        <w:rPr>
          <w:sz w:val="20"/>
          <w:szCs w:val="20"/>
          <w:color w:val="auto"/>
        </w:rPr>
      </w:pPr>
      <w:r>
        <w:rPr>
          <w:rFonts w:ascii="Arial" w:cs="Arial" w:eastAsia="Arial" w:hAnsi="Arial"/>
          <w:sz w:val="18"/>
          <w:szCs w:val="18"/>
          <w:color w:val="auto"/>
        </w:rPr>
        <w:t>Notice is hereby given that this year’s annual and special meeting of shareholders of TMC the metals company Inc. (the “Meeting”) will be heId virtually via live webcast on the Internet at the above noted link at 10:00 a.m. EDT on Thursday, May 29, 2025. You will be able to attend the Meeting, vote and submit your questions during the Meeting by visiting https://www.cstproxy.com/metals/2025 at the date and time of the Meeting and entering the 12-digit control number included in the Notice of lnternet Availability or proxy card that you receive. For further information about the Meeting, please see the questions and answers about the Meeting under the heading “Important Information About the Annual and Special Meeting and Voting” beginning on page 3 of TMC the metals company lnc.’s 2025 Proxy Statement.</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PURPOSES:</w:t>
      </w:r>
    </w:p>
    <w:p>
      <w:pPr>
        <w:spacing w:after="0" w:line="5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will  present  the  audited  consolidated  financial  statements  for  the  fiscal  year  ended</w:t>
      </w:r>
    </w:p>
    <w:p>
      <w:pPr>
        <w:ind w:left="1240"/>
        <w:spacing w:after="0"/>
        <w:rPr>
          <w:sz w:val="20"/>
          <w:szCs w:val="20"/>
          <w:color w:val="auto"/>
        </w:rPr>
      </w:pPr>
      <w:r>
        <w:rPr>
          <w:rFonts w:ascii="Arial" w:cs="Arial" w:eastAsia="Arial" w:hAnsi="Arial"/>
          <w:sz w:val="18"/>
          <w:szCs w:val="18"/>
          <w:color w:val="auto"/>
        </w:rPr>
        <w:t>December 31, 2025 and the auditors’ report thereon and then act on the following proposals:</w:t>
      </w:r>
    </w:p>
    <w:p>
      <w:pPr>
        <w:spacing w:after="0" w:line="18" w:lineRule="exact"/>
        <w:rPr>
          <w:sz w:val="20"/>
          <w:szCs w:val="20"/>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number of directors at eight;</w:t>
      </w:r>
    </w:p>
    <w:p>
      <w:pPr>
        <w:spacing w:after="0" w:line="36" w:lineRule="exact"/>
        <w:rPr>
          <w:rFonts w:ascii="Arial" w:cs="Arial" w:eastAsia="Arial" w:hAnsi="Arial"/>
          <w:sz w:val="18"/>
          <w:szCs w:val="18"/>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eight directors to serve a one-year term expiring in 2026;</w:t>
      </w:r>
    </w:p>
    <w:p>
      <w:pPr>
        <w:spacing w:after="0" w:line="36" w:lineRule="exact"/>
        <w:rPr>
          <w:rFonts w:ascii="Arial" w:cs="Arial" w:eastAsia="Arial" w:hAnsi="Arial"/>
          <w:sz w:val="18"/>
          <w:szCs w:val="18"/>
          <w:color w:val="auto"/>
        </w:rPr>
      </w:pPr>
    </w:p>
    <w:p>
      <w:pPr>
        <w:ind w:left="1960" w:right="419" w:hanging="352"/>
        <w:spacing w:after="0" w:line="258"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Ernst &amp; Young LLP as our independent registered public accounting firm for the fiscal year ending December 31, 2025; and</w:t>
      </w:r>
    </w:p>
    <w:p>
      <w:pPr>
        <w:ind w:left="1960" w:right="419" w:hanging="352"/>
        <w:spacing w:after="0" w:line="258"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adopt an amendment to our articles to update the advance notice provisions with respect to the address of our registered and records office; and</w:t>
      </w:r>
    </w:p>
    <w:p>
      <w:pPr>
        <w:ind w:left="1960" w:right="439" w:hanging="352"/>
        <w:spacing w:after="0" w:line="271"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Meeting and any adjournments or postponements thereof.</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WHO MAY VOTE:</w:t>
      </w:r>
    </w:p>
    <w:p>
      <w:pPr>
        <w:spacing w:after="0" w:line="50" w:lineRule="exact"/>
        <w:rPr>
          <w:sz w:val="20"/>
          <w:szCs w:val="20"/>
          <w:color w:val="auto"/>
        </w:rPr>
      </w:pPr>
    </w:p>
    <w:p>
      <w:pPr>
        <w:jc w:val="both"/>
        <w:ind w:left="1240" w:right="419" w:firstLine="360"/>
        <w:spacing w:after="0" w:line="250" w:lineRule="auto"/>
        <w:rPr>
          <w:sz w:val="20"/>
          <w:szCs w:val="20"/>
          <w:color w:val="auto"/>
        </w:rPr>
      </w:pPr>
      <w:r>
        <w:rPr>
          <w:rFonts w:ascii="Arial" w:cs="Arial" w:eastAsia="Arial" w:hAnsi="Arial"/>
          <w:sz w:val="18"/>
          <w:szCs w:val="18"/>
          <w:color w:val="auto"/>
        </w:rPr>
        <w:t>You may vote if you were the record owner of TMC the metals company Inc. common shares at the close of business on April 3, 2025.</w:t>
      </w:r>
    </w:p>
    <w:p>
      <w:pPr>
        <w:spacing w:after="0" w:line="1" w:lineRule="exact"/>
        <w:rPr>
          <w:sz w:val="20"/>
          <w:szCs w:val="20"/>
          <w:color w:val="auto"/>
        </w:rPr>
      </w:pPr>
    </w:p>
    <w:p>
      <w:pPr>
        <w:jc w:val="both"/>
        <w:ind w:left="1240" w:right="419" w:firstLine="360"/>
        <w:spacing w:after="0" w:line="228" w:lineRule="auto"/>
        <w:rPr>
          <w:sz w:val="20"/>
          <w:szCs w:val="20"/>
          <w:color w:val="auto"/>
        </w:rPr>
      </w:pPr>
      <w:r>
        <w:rPr>
          <w:rFonts w:ascii="Arial" w:cs="Arial" w:eastAsia="Arial" w:hAnsi="Arial"/>
          <w:sz w:val="18"/>
          <w:szCs w:val="18"/>
          <w:color w:val="auto"/>
        </w:rPr>
        <w:t xml:space="preserve">All shareholders are cordially invited to attend the Meeting. </w:t>
      </w:r>
      <w:r>
        <w:rPr>
          <w:rFonts w:ascii="Arial" w:cs="Arial" w:eastAsia="Arial" w:hAnsi="Arial"/>
          <w:sz w:val="18"/>
          <w:szCs w:val="18"/>
          <w:b w:val="1"/>
          <w:bCs w:val="1"/>
          <w:color w:val="auto"/>
        </w:rPr>
        <w:t>Whether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Meeting or not, in order to ensure the presence of a quorum, we urge you to vote and submit your proxy by the Internet or mail by following the instructions in the Notice of Internet Availability of Proxy Materials that you previously received. </w:t>
      </w:r>
      <w:r>
        <w:rPr>
          <w:rFonts w:ascii="Arial" w:cs="Arial" w:eastAsia="Arial" w:hAnsi="Arial"/>
          <w:sz w:val="18"/>
          <w:szCs w:val="18"/>
          <w:color w:val="auto"/>
        </w:rPr>
        <w:t>You may change or revoke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before it is voted at the Meeting. If you participate in and vote your shares at the Meeting, your proxy will not be used.</w:t>
      </w:r>
    </w:p>
    <w:p>
      <w:pPr>
        <w:spacing w:after="0" w:line="8" w:lineRule="exact"/>
        <w:rPr>
          <w:sz w:val="20"/>
          <w:szCs w:val="20"/>
          <w:color w:val="auto"/>
        </w:rPr>
      </w:pPr>
    </w:p>
    <w:p>
      <w:pPr>
        <w:jc w:val="both"/>
        <w:ind w:left="1240" w:right="419" w:firstLine="360"/>
        <w:spacing w:after="0" w:line="224" w:lineRule="auto"/>
        <w:rPr>
          <w:sz w:val="20"/>
          <w:szCs w:val="20"/>
          <w:color w:val="auto"/>
        </w:rPr>
      </w:pPr>
      <w:r>
        <w:rPr>
          <w:rFonts w:ascii="Arial" w:cs="Arial" w:eastAsia="Arial" w:hAnsi="Arial"/>
          <w:sz w:val="18"/>
          <w:szCs w:val="18"/>
          <w:color w:val="auto"/>
        </w:rPr>
        <w:t>You will be provided instructions and prompted to vote during the Meeting. Shareholders may submit questions for the Meeting after logging in. If you wish to submit a question, you may do so by logging into the virtual Meeting platform at https://www.cstproxy.com/metals/2025, typing your question into the “Ask a Question” field, and clicking “Submit.” Please submit any questions before the start time of the Meeting. In addition, we have made available a separate conference line to allow attendees to communicate with each other during the Meeting. Attendees who wish to utilize this facility may do so by dialing the attendee conference line number shown on the right-hand side of the Meeting website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635</wp:posOffset>
            </wp:positionV>
            <wp:extent cx="189420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619125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66" w:lineRule="exact"/>
        <w:rPr>
          <w:sz w:val="20"/>
          <w:szCs w:val="20"/>
          <w:color w:val="auto"/>
        </w:rPr>
      </w:pPr>
    </w:p>
    <w:tbl>
      <w:tblPr>
        <w:tblLayout w:type="fixed"/>
        <w:tblInd w:w="1240" w:type="dxa"/>
        <w:tblCellMar>
          <w:top w:w="0" w:type="dxa"/>
          <w:left w:w="0" w:type="dxa"/>
          <w:bottom w:w="0" w:type="dxa"/>
          <w:right w:w="0" w:type="dxa"/>
        </w:tblCellMar>
      </w:tblPr>
      <w:tr>
        <w:trPr>
          <w:trHeight w:val="367"/>
        </w:trPr>
        <w:tc>
          <w:tcPr>
            <w:tcW w:w="7240" w:type="dxa"/>
            <w:vAlign w:val="bottom"/>
            <w:gridSpan w:val="17"/>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center"/>
              <w:ind w:left="237"/>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37"/>
        </w:trPr>
        <w:tc>
          <w:tcPr>
            <w:tcW w:w="6720" w:type="dxa"/>
            <w:vAlign w:val="bottom"/>
            <w:tcBorders>
              <w:top w:val="single" w:sz="8" w:color="CCEEFF"/>
              <w:bottom w:val="single" w:sz="8" w:color="0000EE"/>
            </w:tcBorders>
            <w:gridSpan w:val="14"/>
            <w:shd w:val="clear" w:color="auto" w:fill="CCEEFF"/>
          </w:tcPr>
          <w:p>
            <w:pPr>
              <w:spacing w:after="0"/>
              <w:rPr>
                <w:sz w:val="20"/>
                <w:szCs w:val="20"/>
                <w:color w:val="auto"/>
              </w:rPr>
            </w:pPr>
            <w:r>
              <w:rPr>
                <w:rFonts w:ascii="Arial" w:cs="Arial" w:eastAsia="Arial" w:hAnsi="Arial"/>
                <w:sz w:val="18"/>
                <w:szCs w:val="18"/>
                <w:color w:val="0000EE"/>
                <w:w w:val="98"/>
              </w:rPr>
              <w:t>IMPORTANT INFORMATION ABOUT THE ANNUAL AND SPECIAL MEETING AND</w:t>
            </w:r>
          </w:p>
        </w:tc>
        <w:tc>
          <w:tcPr>
            <w:tcW w:w="52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shd w:val="clear" w:color="auto" w:fill="CCEEFF"/>
          </w:tcPr>
          <w:p>
            <w:pPr>
              <w:spacing w:after="0" w:line="182" w:lineRule="exact"/>
              <w:rPr>
                <w:sz w:val="20"/>
                <w:szCs w:val="20"/>
                <w:color w:val="auto"/>
              </w:rPr>
            </w:pPr>
            <w:r>
              <w:rPr>
                <w:rFonts w:ascii="Arial" w:cs="Arial" w:eastAsia="Arial" w:hAnsi="Arial"/>
                <w:sz w:val="18"/>
                <w:szCs w:val="18"/>
                <w:color w:val="0000EE"/>
                <w:w w:val="95"/>
              </w:rPr>
              <w:t>VOTING</w:t>
            </w:r>
          </w:p>
        </w:tc>
        <w:tc>
          <w:tcPr>
            <w:tcW w:w="660" w:type="dxa"/>
            <w:vAlign w:val="bottom"/>
            <w:tcBorders>
              <w:bottom w:val="single" w:sz="8" w:color="CCEEFF"/>
            </w:tcBorders>
            <w:vMerge w:val="restart"/>
            <w:shd w:val="clear" w:color="auto" w:fill="CCEEFF"/>
          </w:tcPr>
          <w:p>
            <w:pPr>
              <w:spacing w:after="0"/>
              <w:rPr>
                <w:sz w:val="17"/>
                <w:szCs w:val="17"/>
                <w:color w:val="auto"/>
              </w:rPr>
            </w:pPr>
          </w:p>
        </w:tc>
        <w:tc>
          <w:tcPr>
            <w:tcW w:w="340" w:type="dxa"/>
            <w:vAlign w:val="bottom"/>
            <w:tcBorders>
              <w:bottom w:val="single" w:sz="8" w:color="CCEEFF"/>
            </w:tcBorders>
            <w:vMerge w:val="restart"/>
            <w:shd w:val="clear" w:color="auto" w:fill="CCEEFF"/>
          </w:tcPr>
          <w:p>
            <w:pPr>
              <w:spacing w:after="0"/>
              <w:rPr>
                <w:sz w:val="17"/>
                <w:szCs w:val="17"/>
                <w:color w:val="auto"/>
              </w:rPr>
            </w:pPr>
          </w:p>
        </w:tc>
        <w:tc>
          <w:tcPr>
            <w:tcW w:w="880" w:type="dxa"/>
            <w:vAlign w:val="bottom"/>
            <w:tcBorders>
              <w:bottom w:val="single" w:sz="8" w:color="CCEEFF"/>
            </w:tcBorders>
            <w:vMerge w:val="restart"/>
            <w:shd w:val="clear" w:color="auto" w:fill="CCEEFF"/>
          </w:tcPr>
          <w:p>
            <w:pPr>
              <w:spacing w:after="0"/>
              <w:rPr>
                <w:sz w:val="17"/>
                <w:szCs w:val="17"/>
                <w:color w:val="auto"/>
              </w:rPr>
            </w:pPr>
          </w:p>
        </w:tc>
        <w:tc>
          <w:tcPr>
            <w:tcW w:w="620" w:type="dxa"/>
            <w:vAlign w:val="bottom"/>
            <w:tcBorders>
              <w:bottom w:val="single" w:sz="8" w:color="CCEEFF"/>
            </w:tcBorders>
            <w:vMerge w:val="restart"/>
            <w:shd w:val="clear" w:color="auto" w:fill="CCEEFF"/>
          </w:tcPr>
          <w:p>
            <w:pPr>
              <w:spacing w:after="0"/>
              <w:rPr>
                <w:sz w:val="17"/>
                <w:szCs w:val="17"/>
                <w:color w:val="auto"/>
              </w:rPr>
            </w:pPr>
          </w:p>
        </w:tc>
        <w:tc>
          <w:tcPr>
            <w:tcW w:w="460" w:type="dxa"/>
            <w:vAlign w:val="bottom"/>
            <w:tcBorders>
              <w:bottom w:val="single" w:sz="8" w:color="CCEEFF"/>
            </w:tcBorders>
            <w:vMerge w:val="restart"/>
            <w:shd w:val="clear" w:color="auto" w:fill="CCEEFF"/>
          </w:tcPr>
          <w:p>
            <w:pPr>
              <w:spacing w:after="0"/>
              <w:rPr>
                <w:sz w:val="17"/>
                <w:szCs w:val="17"/>
                <w:color w:val="auto"/>
              </w:rPr>
            </w:pPr>
          </w:p>
        </w:tc>
        <w:tc>
          <w:tcPr>
            <w:tcW w:w="120" w:type="dxa"/>
            <w:vAlign w:val="bottom"/>
            <w:tcBorders>
              <w:bottom w:val="single" w:sz="8" w:color="CCEEFF"/>
            </w:tcBorders>
            <w:vMerge w:val="restart"/>
            <w:shd w:val="clear" w:color="auto" w:fill="CCEEFF"/>
          </w:tcPr>
          <w:p>
            <w:pPr>
              <w:spacing w:after="0"/>
              <w:rPr>
                <w:sz w:val="17"/>
                <w:szCs w:val="17"/>
                <w:color w:val="auto"/>
              </w:rPr>
            </w:pPr>
          </w:p>
        </w:tc>
        <w:tc>
          <w:tcPr>
            <w:tcW w:w="240" w:type="dxa"/>
            <w:vAlign w:val="bottom"/>
            <w:tcBorders>
              <w:bottom w:val="single" w:sz="8" w:color="CCEEFF"/>
            </w:tcBorders>
            <w:vMerge w:val="restart"/>
            <w:shd w:val="clear" w:color="auto" w:fill="CCEEFF"/>
          </w:tcPr>
          <w:p>
            <w:pPr>
              <w:spacing w:after="0"/>
              <w:rPr>
                <w:sz w:val="17"/>
                <w:szCs w:val="17"/>
                <w:color w:val="auto"/>
              </w:rPr>
            </w:pPr>
          </w:p>
        </w:tc>
        <w:tc>
          <w:tcPr>
            <w:tcW w:w="540" w:type="dxa"/>
            <w:vAlign w:val="bottom"/>
            <w:tcBorders>
              <w:bottom w:val="single" w:sz="8" w:color="CCEEFF"/>
            </w:tcBorders>
            <w:vMerge w:val="restart"/>
            <w:shd w:val="clear" w:color="auto" w:fill="CCEEFF"/>
          </w:tcPr>
          <w:p>
            <w:pPr>
              <w:spacing w:after="0"/>
              <w:rPr>
                <w:sz w:val="17"/>
                <w:szCs w:val="17"/>
                <w:color w:val="auto"/>
              </w:rPr>
            </w:pPr>
          </w:p>
        </w:tc>
        <w:tc>
          <w:tcPr>
            <w:tcW w:w="900" w:type="dxa"/>
            <w:vAlign w:val="bottom"/>
            <w:tcBorders>
              <w:bottom w:val="single" w:sz="8" w:color="CCEEFF"/>
            </w:tcBorders>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tcBorders>
              <w:bottom w:val="single" w:sz="8" w:color="CCEEFF"/>
            </w:tcBorders>
            <w:vMerge w:val="restart"/>
            <w:shd w:val="clear" w:color="auto" w:fill="CCEEFF"/>
          </w:tcPr>
          <w:p>
            <w:pPr>
              <w:spacing w:after="0"/>
              <w:rPr>
                <w:sz w:val="17"/>
                <w:szCs w:val="17"/>
                <w:color w:val="auto"/>
              </w:rPr>
            </w:pPr>
          </w:p>
        </w:tc>
        <w:tc>
          <w:tcPr>
            <w:tcW w:w="1080" w:type="dxa"/>
            <w:vAlign w:val="bottom"/>
            <w:tcBorders>
              <w:bottom w:val="single" w:sz="8" w:color="CCEEFF"/>
            </w:tcBorders>
            <w:gridSpan w:val="2"/>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300" w:type="dxa"/>
            <w:vAlign w:val="bottom"/>
            <w:tcBorders>
              <w:bottom w:val="single" w:sz="8" w:color="CCEEFF"/>
            </w:tcBorders>
            <w:vMerge w:val="restart"/>
            <w:shd w:val="clear" w:color="auto" w:fill="CCEEFF"/>
          </w:tcPr>
          <w:p>
            <w:pPr>
              <w:spacing w:after="0"/>
              <w:rPr>
                <w:sz w:val="17"/>
                <w:szCs w:val="17"/>
                <w:color w:val="auto"/>
              </w:rPr>
            </w:pPr>
          </w:p>
        </w:tc>
        <w:tc>
          <w:tcPr>
            <w:tcW w:w="460" w:type="dxa"/>
            <w:vAlign w:val="bottom"/>
            <w:tcBorders>
              <w:bottom w:val="single" w:sz="8" w:color="CCEEFF"/>
            </w:tcBorders>
            <w:vMerge w:val="restart"/>
            <w:shd w:val="clear" w:color="auto" w:fill="CCEEFF"/>
          </w:tcPr>
          <w:p>
            <w:pPr>
              <w:jc w:val="center"/>
              <w:ind w:left="257"/>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0000EE"/>
            </w:tcBorders>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3</w:t>
            </w: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240" w:type="dxa"/>
            <w:vAlign w:val="bottom"/>
            <w:gridSpan w:val="17"/>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0000EE"/>
                <w:w w:val="79"/>
              </w:rPr>
              <w:t>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260" w:type="dxa"/>
            <w:vAlign w:val="bottom"/>
            <w:gridSpan w:val="2"/>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MANAGEMENT AND CORPORATE GOVERNANCE</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5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EXECUTIVE OFFICER AND DIRECTOR COMPENSATION</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EQUITY COMPENSATION PLAN INFORMATION</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5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REPORT OF AUDIT COMMITTEE</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540" w:type="dxa"/>
            <w:vAlign w:val="bottom"/>
            <w:tcBorders>
              <w:top w:val="single" w:sz="8" w:color="0000EE"/>
              <w:bottom w:val="single" w:sz="8" w:color="CCEEFF"/>
            </w:tcBorders>
            <w:shd w:val="clear" w:color="auto" w:fill="CCEEFF"/>
          </w:tcPr>
          <w:p>
            <w:pPr>
              <w:spacing w:after="0"/>
              <w:rPr>
                <w:sz w:val="4"/>
                <w:szCs w:val="4"/>
                <w:color w:val="auto"/>
              </w:rPr>
            </w:pPr>
          </w:p>
        </w:tc>
        <w:tc>
          <w:tcPr>
            <w:tcW w:w="9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40" w:type="dxa"/>
            <w:vAlign w:val="bottom"/>
            <w:tcBorders>
              <w:top w:val="single" w:sz="8" w:color="0000EE"/>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PROPOSAL NOS. 1 AND 2 — ELECTION OF DIRECTORS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57"/>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PROPOSAL NO. 3 — APPOINTMENT OF THE INDEPENDENT REGISTERED PUBLIC</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1680" w:type="dxa"/>
            <w:vAlign w:val="bottom"/>
            <w:tcBorders>
              <w:top w:val="single" w:sz="8" w:color="0000EE"/>
              <w:bottom w:val="single" w:sz="8" w:color="0000EE"/>
            </w:tcBorders>
            <w:gridSpan w:val="3"/>
            <w:shd w:val="clear" w:color="auto" w:fill="CCEEFF"/>
          </w:tcPr>
          <w:p>
            <w:pPr>
              <w:spacing w:after="0" w:line="182" w:lineRule="exact"/>
              <w:rPr>
                <w:sz w:val="20"/>
                <w:szCs w:val="20"/>
                <w:color w:val="auto"/>
              </w:rPr>
            </w:pPr>
            <w:r>
              <w:rPr>
                <w:rFonts w:ascii="Arial" w:cs="Arial" w:eastAsia="Arial" w:hAnsi="Arial"/>
                <w:sz w:val="18"/>
                <w:szCs w:val="18"/>
                <w:color w:val="0000EE"/>
                <w:w w:val="97"/>
              </w:rPr>
              <w:t>ACCOUNTING FIRM</w:t>
            </w:r>
          </w:p>
        </w:tc>
        <w:tc>
          <w:tcPr>
            <w:tcW w:w="1500" w:type="dxa"/>
            <w:vAlign w:val="bottom"/>
            <w:tcBorders>
              <w:top w:val="single" w:sz="8" w:color="0000EE"/>
              <w:bottom w:val="single" w:sz="8" w:color="0000EE"/>
            </w:tcBorders>
            <w:gridSpan w:val="2"/>
            <w:vMerge w:val="restart"/>
            <w:shd w:val="clear" w:color="auto" w:fill="CCEEFF"/>
          </w:tcPr>
          <w:p>
            <w:pPr>
              <w:spacing w:after="0"/>
              <w:rPr>
                <w:sz w:val="17"/>
                <w:szCs w:val="17"/>
                <w:color w:val="auto"/>
              </w:rPr>
            </w:pPr>
          </w:p>
        </w:tc>
        <w:tc>
          <w:tcPr>
            <w:tcW w:w="460" w:type="dxa"/>
            <w:vAlign w:val="bottom"/>
            <w:tcBorders>
              <w:top w:val="single" w:sz="8" w:color="0000EE"/>
              <w:bottom w:val="single" w:sz="8" w:color="0000EE"/>
            </w:tcBorders>
            <w:vMerge w:val="restart"/>
            <w:shd w:val="clear" w:color="auto" w:fill="CCEEFF"/>
          </w:tcPr>
          <w:p>
            <w:pPr>
              <w:spacing w:after="0"/>
              <w:rPr>
                <w:sz w:val="17"/>
                <w:szCs w:val="17"/>
                <w:color w:val="auto"/>
              </w:rPr>
            </w:pPr>
          </w:p>
        </w:tc>
        <w:tc>
          <w:tcPr>
            <w:tcW w:w="1800" w:type="dxa"/>
            <w:vAlign w:val="bottom"/>
            <w:tcBorders>
              <w:top w:val="single" w:sz="8" w:color="0000EE"/>
              <w:bottom w:val="single" w:sz="8" w:color="0000EE"/>
            </w:tcBorders>
            <w:gridSpan w:val="4"/>
            <w:vMerge w:val="restart"/>
            <w:shd w:val="clear" w:color="auto" w:fill="CCEEFF"/>
          </w:tcPr>
          <w:p>
            <w:pPr>
              <w:spacing w:after="0"/>
              <w:rPr>
                <w:sz w:val="17"/>
                <w:szCs w:val="17"/>
                <w:color w:val="auto"/>
              </w:rPr>
            </w:pPr>
          </w:p>
        </w:tc>
        <w:tc>
          <w:tcPr>
            <w:tcW w:w="100" w:type="dxa"/>
            <w:vAlign w:val="bottom"/>
            <w:tcBorders>
              <w:top w:val="single" w:sz="8" w:color="0000EE"/>
              <w:bottom w:val="single" w:sz="8" w:color="0000EE"/>
            </w:tcBorders>
            <w:vMerge w:val="restart"/>
            <w:shd w:val="clear" w:color="auto" w:fill="CCEEFF"/>
          </w:tcPr>
          <w:p>
            <w:pPr>
              <w:spacing w:after="0"/>
              <w:rPr>
                <w:sz w:val="17"/>
                <w:szCs w:val="17"/>
                <w:color w:val="auto"/>
              </w:rPr>
            </w:pPr>
          </w:p>
        </w:tc>
        <w:tc>
          <w:tcPr>
            <w:tcW w:w="1220" w:type="dxa"/>
            <w:vAlign w:val="bottom"/>
            <w:tcBorders>
              <w:top w:val="single" w:sz="8" w:color="0000EE"/>
              <w:bottom w:val="single" w:sz="8" w:color="0000EE"/>
            </w:tcBorders>
            <w:gridSpan w:val="4"/>
            <w:vMerge w:val="restart"/>
            <w:shd w:val="clear" w:color="auto" w:fill="CCEEFF"/>
          </w:tcPr>
          <w:p>
            <w:pPr>
              <w:spacing w:after="0"/>
              <w:rPr>
                <w:sz w:val="17"/>
                <w:szCs w:val="17"/>
                <w:color w:val="auto"/>
              </w:rPr>
            </w:pPr>
          </w:p>
        </w:tc>
        <w:tc>
          <w:tcPr>
            <w:tcW w:w="30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460" w:type="dxa"/>
            <w:vAlign w:val="bottom"/>
            <w:tcBorders>
              <w:top w:val="single" w:sz="8" w:color="CCEEFF"/>
              <w:bottom w:val="single" w:sz="8" w:color="CCEEFF"/>
            </w:tcBorders>
            <w:vMerge w:val="restart"/>
            <w:shd w:val="clear" w:color="auto" w:fill="CCEEFF"/>
          </w:tcPr>
          <w:p>
            <w:pPr>
              <w:jc w:val="center"/>
              <w:ind w:left="257"/>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45</w:t>
            </w:r>
          </w:p>
        </w:tc>
        <w:tc>
          <w:tcPr>
            <w:tcW w:w="10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1340" w:type="dxa"/>
            <w:vAlign w:val="bottom"/>
            <w:gridSpan w:val="2"/>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800" w:type="dxa"/>
            <w:vAlign w:val="bottom"/>
            <w:gridSpan w:val="4"/>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220" w:type="dxa"/>
            <w:vAlign w:val="bottom"/>
            <w:gridSpan w:val="4"/>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240" w:type="dxa"/>
            <w:vAlign w:val="bottom"/>
            <w:gridSpan w:val="17"/>
          </w:tcPr>
          <w:p>
            <w:pPr>
              <w:spacing w:after="0"/>
              <w:rPr>
                <w:sz w:val="20"/>
                <w:szCs w:val="20"/>
                <w:color w:val="auto"/>
              </w:rPr>
            </w:pPr>
            <w:r>
              <w:rPr>
                <w:rFonts w:ascii="Arial" w:cs="Arial" w:eastAsia="Arial" w:hAnsi="Arial"/>
                <w:sz w:val="18"/>
                <w:szCs w:val="18"/>
                <w:color w:val="0000EE"/>
              </w:rPr>
              <w:t>PROPOSAL NO. 4 — AMENDMENT TO ARTICLES OF THE COMPANY</w:t>
            </w: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CODE OF BUSINESS CONDUCT AND ETHICS</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5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DELINQUENT SECTION 16(a) REPORTS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OTHER MATTERS</w:t>
            </w: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680" w:type="dxa"/>
            <w:vAlign w:val="bottom"/>
            <w:tcBorders>
              <w:top w:val="single" w:sz="8" w:color="0000EE"/>
              <w:bottom w:val="single" w:sz="8" w:color="CCEEFF"/>
            </w:tcBorders>
            <w:shd w:val="clear" w:color="auto" w:fill="CCEEFF"/>
          </w:tcPr>
          <w:p>
            <w:pPr>
              <w:spacing w:after="0"/>
              <w:rPr>
                <w:sz w:val="4"/>
                <w:szCs w:val="4"/>
                <w:color w:val="auto"/>
              </w:rPr>
            </w:pPr>
          </w:p>
        </w:tc>
        <w:tc>
          <w:tcPr>
            <w:tcW w:w="66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CCEEFF"/>
              <w:bottom w:val="single" w:sz="8" w:color="CCEEFF"/>
            </w:tcBorders>
            <w:shd w:val="clear" w:color="auto" w:fill="CCEEFF"/>
          </w:tcPr>
          <w:p>
            <w:pPr>
              <w:spacing w:after="0"/>
              <w:rPr>
                <w:sz w:val="4"/>
                <w:szCs w:val="4"/>
                <w:color w:val="auto"/>
              </w:rPr>
            </w:pPr>
          </w:p>
        </w:tc>
        <w:tc>
          <w:tcPr>
            <w:tcW w:w="880" w:type="dxa"/>
            <w:vAlign w:val="bottom"/>
            <w:tcBorders>
              <w:top w:val="single" w:sz="8" w:color="CCEEFF"/>
              <w:bottom w:val="single" w:sz="8" w:color="CCEEFF"/>
            </w:tcBorders>
            <w:shd w:val="clear" w:color="auto" w:fill="CCEEFF"/>
          </w:tcPr>
          <w:p>
            <w:pPr>
              <w:spacing w:after="0"/>
              <w:rPr>
                <w:sz w:val="4"/>
                <w:szCs w:val="4"/>
                <w:color w:val="auto"/>
              </w:rPr>
            </w:pPr>
          </w:p>
        </w:tc>
        <w:tc>
          <w:tcPr>
            <w:tcW w:w="62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5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Borders>
              <w:top w:val="single" w:sz="8" w:color="CCEEFF"/>
              <w:bottom w:val="single" w:sz="8" w:color="CCEEFF"/>
            </w:tcBorders>
            <w:shd w:val="clear" w:color="auto" w:fill="CCEEFF"/>
          </w:tcPr>
          <w:p>
            <w:pPr>
              <w:spacing w:after="0"/>
              <w:rPr>
                <w:sz w:val="4"/>
                <w:szCs w:val="4"/>
                <w:color w:val="auto"/>
              </w:rPr>
            </w:pPr>
          </w:p>
        </w:tc>
        <w:tc>
          <w:tcPr>
            <w:tcW w:w="9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jc w:val="center"/>
              <w:ind w:left="257"/>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40" w:type="dxa"/>
            <w:vAlign w:val="bottom"/>
            <w:gridSpan w:val="17"/>
          </w:tcPr>
          <w:p>
            <w:pPr>
              <w:spacing w:after="0"/>
              <w:rPr>
                <w:sz w:val="20"/>
                <w:szCs w:val="20"/>
                <w:color w:val="auto"/>
              </w:rPr>
            </w:pPr>
            <w:r>
              <w:rPr>
                <w:rFonts w:ascii="Arial" w:cs="Arial" w:eastAsia="Arial" w:hAnsi="Arial"/>
                <w:sz w:val="18"/>
                <w:szCs w:val="18"/>
                <w:color w:val="0000EE"/>
              </w:rPr>
              <w:t>SHAREHOLDER PROPOSALS AND NOMINATIONS FOR DIRECTOR</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center"/>
              <w:ind w:left="25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-3365500</wp:posOffset>
            </wp:positionV>
            <wp:extent cx="4920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PRELIMINARY COPY FILED PURSUANT TO RULE 14a-6(a)</w:t>
      </w:r>
    </w:p>
    <w:p>
      <w:pPr>
        <w:spacing w:after="0" w:line="14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TMC the metals company Inc.</w:t>
      </w:r>
    </w:p>
    <w:p>
      <w:pPr>
        <w:ind w:left="3760"/>
        <w:spacing w:after="0" w:line="216" w:lineRule="auto"/>
        <w:rPr>
          <w:sz w:val="20"/>
          <w:szCs w:val="20"/>
          <w:color w:val="auto"/>
        </w:rPr>
      </w:pPr>
      <w:r>
        <w:rPr>
          <w:rFonts w:ascii="Arial" w:cs="Arial" w:eastAsia="Arial" w:hAnsi="Arial"/>
          <w:sz w:val="18"/>
          <w:szCs w:val="18"/>
          <w:b w:val="1"/>
          <w:bCs w:val="1"/>
          <w:color w:val="auto"/>
        </w:rPr>
        <w:t>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Vancouver, British Columbia V6E 2J3</w:t>
      </w:r>
    </w:p>
    <w:p>
      <w:pPr>
        <w:spacing w:after="0" w:line="12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PROXY STATEMENT FOR THE TMC THE METALS COMPANY INC.</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AND SPECIAL MEETING OF SHAREHOLDERS TO BE HELD ON MAY 29, 2025</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proxy statement, along with the accompanying notice of the 2025 annual and special meeting of shareholders, contains information about the 2025 annual and special meeting of shareholders of TMC the metals company Inc. (the “Annual Meeting”), including any adjournments or postponements of the Annual Meeting. We are holding the Annual Meeting at 10:00 a.m. EDT, on Thursday, May 29, 2025. You will not be able to physically attend the Annual Meeting.</w:t>
      </w:r>
    </w:p>
    <w:p>
      <w:pPr>
        <w:spacing w:after="0" w:line="11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Annual Meeting will be a virtual meeting via live audio webcast on the Internet. You will be able to attend the Annual Meeting, vote, and submit your questions during the meeting by visiting https://www.cstproxy.com/metals/2025 and entering the 12-digit control number included in the Notice of Internet Availability that you receive. For further information about the virtual Annual Meeting, please see the questions and answers about the Meeting under the heading “Important Information About the Annual and Special Meeting and Voting” beginning on page 3</w:t>
      </w:r>
    </w:p>
    <w:p>
      <w:pPr>
        <w:spacing w:after="0" w:line="101"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In this proxy statement, we refer to TMC the metals company Inc. as “TMC,” the “Company,” “we” and “us.”</w:t>
      </w:r>
    </w:p>
    <w:p>
      <w:pPr>
        <w:spacing w:after="0" w:line="8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or about April 18, 2025, we intend to begin sending to our shareholders the Important Notice Regarding the Availability of Proxy Materials containing instructions on how to access our proxy statement for the Annual Meeting and our annual report to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AND SPECIAL MEETING TO BE HELD ON MAY 29, 2025</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b w:val="1"/>
          <w:bCs w:val="1"/>
          <w:color w:val="auto"/>
        </w:rPr>
        <w:t>This proxy statement, the Notice of Annual and Special Meeting of Shareholders, our form of proxy card and our 2025 annual report to shareholders are available for viewing, printing and downloading at https://www.cstproxy.com/metals/2025</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To view these materials please have your 12-digit control number(s) available that appears on your Internet Availability Notice or proxy card. On this website, you can also elect to receive future distributions of our proxy statements and annual reports to shareholders by electronic delivery.</w:t>
      </w:r>
    </w:p>
    <w:p>
      <w:pPr>
        <w:spacing w:after="0" w:line="91"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color w:val="auto"/>
        </w:rPr>
        <w:t>Additionally, you can find a copy of our Annual Report on Form 10-K, which includes our financial statements for the year ended December 31, 2024, on the website of the Securities and Exchange Commission (the “SEC”), at www.sec.gov</w:t>
      </w:r>
      <w:r>
        <w:rPr>
          <w:rFonts w:ascii="Arial" w:cs="Arial" w:eastAsia="Arial" w:hAnsi="Arial"/>
          <w:sz w:val="18"/>
          <w:szCs w:val="18"/>
          <w:color w:val="auto"/>
        </w:rPr>
        <w:t>,</w:t>
      </w:r>
      <w:r>
        <w:rPr>
          <w:rFonts w:ascii="Arial" w:cs="Arial" w:eastAsia="Arial" w:hAnsi="Arial"/>
          <w:sz w:val="18"/>
          <w:szCs w:val="18"/>
          <w:b w:val="1"/>
          <w:bCs w:val="1"/>
          <w:color w:val="auto"/>
        </w:rPr>
        <w:t xml:space="preserve"> or in the “Investors — SEC Filings” section of our website at https://metals.co</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You may also obtain a printed copy of our Annual Report on Form 10-K, including our financial statements, free of charge, from us by sending a written request to: 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Vancouver, British Columbia V6E 2J3. Exhibits will be provided upon written request and payment of an appropriate processing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799" w:firstLine="387"/>
        <w:spacing w:after="0" w:line="414" w:lineRule="auto"/>
        <w:rPr>
          <w:sz w:val="20"/>
          <w:szCs w:val="20"/>
          <w:color w:val="auto"/>
        </w:rPr>
      </w:pPr>
      <w:r>
        <w:rPr>
          <w:rFonts w:ascii="Arial" w:cs="Arial" w:eastAsia="Arial" w:hAnsi="Arial"/>
          <w:sz w:val="18"/>
          <w:szCs w:val="18"/>
          <w:b w:val="1"/>
          <w:bCs w:val="1"/>
          <w:color w:val="auto"/>
        </w:rPr>
        <w:t>IMPORTANT INFORMATION ABOUT THE ANNUAL AND SPECIAL MEETING AND VOTING Why is the Company soliciting my proxy?</w:t>
      </w:r>
    </w:p>
    <w:p>
      <w:pPr>
        <w:spacing w:after="0" w:line="1"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Our board of directors is soliciting your proxy to vote at the Annual Meeting to be held virtually on Thursday, May 29, 2025, at 10:00 a.m. EDT and any adjournments or postponements of the meeting. This proxy statement, along with the accompanying Notice of Annual and Special Meeting of Shareholders, summarizes the purposes of the meeting and the information you need to know to vote at the Annual Meeting.</w:t>
      </w:r>
    </w:p>
    <w:p>
      <w:pPr>
        <w:spacing w:after="0" w:line="10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and Special Meeting of Shareholders, the proxy card and a copy of our Annual Report on Form 10-K for the year ended December 31, 2024 because you owned our common shares on the record date. We intend to commence distribution of the Important Notice Regarding the Availability of Proxy Materials, which we refer to throughout this proxy statement as the Internet Availability Notice (the “Notice”), and, if applicable, proxy materials to shareholders on or about April 18, 2025.</w:t>
      </w:r>
    </w:p>
    <w:p>
      <w:pPr>
        <w:spacing w:after="0" w:line="190" w:lineRule="exact"/>
        <w:rPr>
          <w:sz w:val="20"/>
          <w:szCs w:val="20"/>
          <w:color w:val="auto"/>
        </w:rPr>
      </w:pPr>
    </w:p>
    <w:p>
      <w:pPr>
        <w:jc w:val="both"/>
        <w:ind w:left="1240" w:right="439"/>
        <w:spacing w:after="0" w:line="281"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69"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permitted by the rules of the SEC, we may furnish our proxy materials to our shareholders by providing access to such documents on the Internet, rather than mailing printed copies of these materials to each shareholder. Most shareholders will not receive printed copies of the proxy materials unless they request them. We believe that this process should expedite shareholders’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This year’s Annual Meeting will be held in a virtual meeting format only. We have designed our virtual format to enhance, rather than constrain, shareholder access, participation and communication. For example, the virtual format allows shareholders to communicate with us in advance of, and during, the Annual Meeting so they can ask questions of our board of directors or management, as time permits.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access the virtual Annual Meeting?</w:t>
      </w:r>
    </w:p>
    <w:p>
      <w:pPr>
        <w:spacing w:after="0" w:line="158"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The live audio webcast of the Annual Meeting will begin promptly at 10:00 a.m. EDT.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107" w:lineRule="exact"/>
        <w:rPr>
          <w:sz w:val="20"/>
          <w:szCs w:val="20"/>
          <w:color w:val="auto"/>
        </w:rPr>
      </w:pPr>
    </w:p>
    <w:p>
      <w:pPr>
        <w:jc w:val="both"/>
        <w:ind w:left="1240" w:right="379" w:firstLine="360"/>
        <w:spacing w:after="0" w:line="253" w:lineRule="auto"/>
        <w:rPr>
          <w:sz w:val="20"/>
          <w:szCs w:val="20"/>
          <w:color w:val="auto"/>
        </w:rPr>
      </w:pPr>
      <w:r>
        <w:rPr>
          <w:rFonts w:ascii="Arial" w:cs="Arial" w:eastAsia="Arial" w:hAnsi="Arial"/>
          <w:sz w:val="18"/>
          <w:szCs w:val="18"/>
          <w:color w:val="auto"/>
        </w:rPr>
        <w:t>To be admitted to the virtual Annual Meeting, you will need to log-in at https://www.cstproxy.com/​ metals/2025 using the 12-digit control number found on the proxy card or voting instruction card previously mailed or made available to shareholders entitled to vote at the Annual Meeting.</w:t>
      </w:r>
    </w:p>
    <w:p>
      <w:pPr>
        <w:spacing w:after="0" w:line="182" w:lineRule="exact"/>
        <w:rPr>
          <w:sz w:val="20"/>
          <w:szCs w:val="20"/>
          <w:color w:val="auto"/>
        </w:rPr>
      </w:pPr>
    </w:p>
    <w:p>
      <w:pPr>
        <w:ind w:left="1240" w:right="439"/>
        <w:spacing w:after="0" w:line="281" w:lineRule="auto"/>
        <w:rPr>
          <w:sz w:val="20"/>
          <w:szCs w:val="20"/>
          <w:color w:val="auto"/>
        </w:rPr>
      </w:pPr>
      <w:r>
        <w:rPr>
          <w:rFonts w:ascii="Arial" w:cs="Arial" w:eastAsia="Arial" w:hAnsi="Arial"/>
          <w:sz w:val="18"/>
          <w:szCs w:val="18"/>
          <w:b w:val="1"/>
          <w:bCs w:val="1"/>
          <w:color w:val="auto"/>
        </w:rPr>
        <w:t>Will I be able to ask questions and have these questions answered during the virtual Annual Meeting?</w:t>
      </w:r>
    </w:p>
    <w:p>
      <w:pPr>
        <w:spacing w:after="0" w:line="69" w:lineRule="exact"/>
        <w:rPr>
          <w:sz w:val="20"/>
          <w:szCs w:val="20"/>
          <w:color w:val="auto"/>
        </w:rPr>
      </w:pPr>
    </w:p>
    <w:p>
      <w:pPr>
        <w:jc w:val="both"/>
        <w:ind w:left="1240" w:right="379" w:firstLine="360"/>
        <w:spacing w:after="0" w:line="252" w:lineRule="auto"/>
        <w:rPr>
          <w:sz w:val="20"/>
          <w:szCs w:val="20"/>
          <w:color w:val="auto"/>
        </w:rPr>
      </w:pPr>
      <w:r>
        <w:rPr>
          <w:rFonts w:ascii="Arial" w:cs="Arial" w:eastAsia="Arial" w:hAnsi="Arial"/>
          <w:sz w:val="18"/>
          <w:szCs w:val="18"/>
          <w:color w:val="auto"/>
        </w:rPr>
        <w:t>Shareholders may submit questions for the Annual Meeting after logging in. If you wish to submit a question, you may do so by logging into the virtual meeting platform at https://www.cstproxy.com/metals/​ 2025, typing your question into the “Ask a Question” field, and clicking “Submit.” Please submit any questions before the start time of the meeting.</w:t>
      </w:r>
    </w:p>
    <w:p>
      <w:pPr>
        <w:spacing w:after="0" w:line="38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Appropriate questions related to the business of the Annual Meeting (the proposals being voted on) will be answered during the Annual Meeting, subject to time constraints. Any such questions that cannot be answered during the Annual Meeting due to time constraints will be answered directly with the shareholder as soon as practical after the Annual Meeting. Additional information regarding the ability of shareholders to ask questions during the Annual Meeting, related to rules of conduct and other materials for the Annual Meeting will be available on the virtual meeting platform available at the web address above.</w:t>
      </w:r>
    </w:p>
    <w:p>
      <w:pPr>
        <w:spacing w:after="0" w:line="108"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addition, we have made available a separate conference line to allow attendees to communicate with each other during the Annual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5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(917) 262-2373.</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may vote?</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Only shareholders of record at the close of business on April 3, 2025 (the “Record Date”) will be entitled to vote at the Annual Meeting. On this Record Date, there were 358,705,212 common shares outstanding and entitled to vote. Our common shares are our only class of voting stock.</w:t>
      </w:r>
    </w:p>
    <w:p>
      <w:pPr>
        <w:spacing w:after="0" w:line="101"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If on the Record Date your common shares were registered directly in your name with our transfer agent, Continental Stock Transfer and Trust Company, then you are a shareholder of record.</w:t>
      </w:r>
    </w:p>
    <w:p>
      <w:pPr>
        <w:spacing w:after="0" w:line="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If on the Record Date you did not hold your shares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at the Annual Meeting unless you request and obtain a valid proxy from your broker or other agent.</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“May I change or revoke my proxy?” below.</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many votes do I have?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Holders of common shares are entitled to one vote per share.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w:t>
      </w:r>
    </w:p>
    <w:p>
      <w:pPr>
        <w:spacing w:after="0" w:line="14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or WITHHELD for each nominee for director, as well as for Proposal No. 3, and whether your shares should be voted FOR, AGAINST or ABSTAIN with respect to Proposal Nos. 1 and 4.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3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and Trust Company, or you have stock certificates registered in your name, you may vote:</w:t>
      </w:r>
    </w:p>
    <w:p>
      <w:pPr>
        <w:spacing w:after="0" w:line="54" w:lineRule="exact"/>
        <w:rPr>
          <w:sz w:val="20"/>
          <w:szCs w:val="20"/>
          <w:color w:val="auto"/>
        </w:rPr>
      </w:pPr>
    </w:p>
    <w:p>
      <w:pPr>
        <w:ind w:left="1780" w:right="41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Follow the instructions included in the Notice or, if you received printed materials,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to vote over the Internet.</w:t>
      </w:r>
    </w:p>
    <w:p>
      <w:pPr>
        <w:spacing w:after="0" w:line="31"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as instructed on the card. If you sign the proxy card but do not specify how you want your shares voted, they will be voted in accordance with our board of directors’ recommendations as noted below.</w:t>
      </w:r>
    </w:p>
    <w:p>
      <w:pPr>
        <w:spacing w:after="0" w:line="68"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If you attend the virtual Annual Meeting,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53" w:lineRule="exact"/>
        <w:rPr>
          <w:sz w:val="20"/>
          <w:szCs w:val="20"/>
          <w:color w:val="auto"/>
        </w:rPr>
      </w:pPr>
    </w:p>
    <w:p>
      <w:pPr>
        <w:jc w:val="both"/>
        <w:ind w:left="1240" w:right="439"/>
        <w:spacing w:after="0" w:line="281" w:lineRule="auto"/>
        <w:rPr>
          <w:sz w:val="20"/>
          <w:szCs w:val="20"/>
          <w:color w:val="auto"/>
        </w:rPr>
      </w:pPr>
      <w:r>
        <w:rPr>
          <w:rFonts w:ascii="Arial" w:cs="Arial" w:eastAsia="Arial" w:hAnsi="Arial"/>
          <w:sz w:val="18"/>
          <w:szCs w:val="18"/>
          <w:b w:val="1"/>
          <w:bCs w:val="1"/>
          <w:color w:val="auto"/>
        </w:rPr>
        <w:t>Internet voting facilities for shareholders of record will be available 24 hours a day and will close at 11:59 p.m. Eastern Daylight Time on May 28, 2025.</w:t>
      </w:r>
    </w:p>
    <w:p>
      <w:pPr>
        <w:spacing w:after="0" w:line="69"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in virtually at the Annual Meeting, you should contact your broker or agent to obtain a legal proxy or broker’s proxy card and bring it to the Annual Meeting in order to vote.</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17" w:lineRule="exact"/>
        <w:rPr>
          <w:sz w:val="20"/>
          <w:szCs w:val="20"/>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setting the number of directors at eight</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appointment of Ernst &amp; Young LLP as our independent registered public accounting firm for our fiscal year ending December 31, 2025; and</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adoption of an amendment to the Company’s Articles (“Articles”) to update the advance notice provisions with respect to the address of the Company’s registered and records office (the “Amendment”).</w:t>
      </w:r>
    </w:p>
    <w:p>
      <w:pPr>
        <w:spacing w:after="0" w:line="90"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the proxy holder’s judgment. At the time this proxy statement was first made available, we knew of no matters that needed to be acted on at the Annual Meeting, other than those discussed in this proxy statement.</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May I change or revoke my proxy?</w:t>
      </w:r>
    </w:p>
    <w:p>
      <w:pPr>
        <w:spacing w:after="0" w:line="158"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If you give us your proxy, you may change or revoke it at any time before the Annual Meeting. In addition to any method permitted under applicable law, you may change or revoke your proxy in any one of the following ways:</w:t>
      </w:r>
    </w:p>
    <w:p>
      <w:pPr>
        <w:spacing w:after="0" w:line="54" w:lineRule="exact"/>
        <w:rPr>
          <w:sz w:val="20"/>
          <w:szCs w:val="20"/>
          <w:color w:val="auto"/>
        </w:rPr>
      </w:pPr>
    </w:p>
    <w:p>
      <w:pPr>
        <w:ind w:left="1780" w:right="41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re-voting by Internet as instructed above;</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notifying the Company’s Secretary in writing before the Annual Meeting that you have revoked your proxy; or</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attending the Annual Meeting virtually and voting at the meeting. Attending the Annual Meeting will not in and of itself revoke a previously submitted proxy. You must specifically request at the Annual Meeting that it be revoked.</w:t>
      </w:r>
    </w:p>
    <w:p>
      <w:pPr>
        <w:spacing w:after="0" w:line="9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Your most current vote, whether by Internet or proxy card is the one that will be counted.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appoint some other person to be my proxyholder?</w:t>
      </w:r>
    </w:p>
    <w:p>
      <w:pPr>
        <w:spacing w:after="0" w:line="158"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color w:val="auto"/>
        </w:rPr>
        <w:t>Every holder of common shares has the right to appoint some other person or company of their choice, who need not be a security holder, to attend and act on their behalf at the Annual Meeting or any adjournment or postponement thereof. If you wish to appoint a person or company other than Gerard Barron and Craig Shesky or their substitute, please deliver a proxy in the form contemplated in the Articles, a copy of which is available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or on the website of the SEC — www.sec.gov, naming your chosen proxyholder and deposit such proxy at the registered and records office of the Company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may receive more than one Notice or proxy card if you hold our common shares in more than one account, which may be in registered form or held in street name. Please vote in the manner described above under “How do I vote?” for each account to ensure that all of your shares are voted.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to set the number of directors at eight (Proposal No. 1 of this proxy statement), on the appointment of our independent registered public accounting firm (Proposal No. 3 of this proxy statement) and on the approval of the Amendment to our Articles (Proposal No. 4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1240" w:right="40"/>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1: Set Number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at 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40"/>
        <w:spacing w:after="0"/>
        <w:tabs>
          <w:tab w:leader="none" w:pos="2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2:</w:t>
      </w:r>
      <w:r>
        <w:rPr>
          <w:sz w:val="20"/>
          <w:szCs w:val="20"/>
          <w:color w:val="auto"/>
        </w:rPr>
        <w:tab/>
      </w:r>
      <w:r>
        <w:rPr>
          <w:rFonts w:ascii="Arial" w:cs="Arial" w:eastAsia="Arial" w:hAnsi="Arial"/>
          <w:sz w:val="17"/>
          <w:szCs w:val="17"/>
          <w:b w:val="1"/>
          <w:bCs w:val="1"/>
          <w:color w:val="auto"/>
        </w:rPr>
        <w:t>Elect Directors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24" w:right="379" w:hanging="224"/>
        <w:spacing w:after="0" w:line="253" w:lineRule="auto"/>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affirmative vote of a majority of the shares cast for this​ proposal is required to set the number of directors at eight</w:t>
      </w:r>
      <w:r>
        <w:rPr>
          <w:rFonts w:ascii="Arial" w:cs="Arial" w:eastAsia="Arial" w:hAnsi="Arial"/>
          <w:sz w:val="18"/>
          <w:szCs w:val="18"/>
          <w:b w:val="1"/>
          <w:bCs w:val="1"/>
          <w:color w:val="auto"/>
        </w:rPr>
        <w:t>.</w:t>
      </w:r>
      <w:r>
        <w:rPr>
          <w:rFonts w:ascii="Arial" w:cs="Arial" w:eastAsia="Arial" w:hAnsi="Arial"/>
          <w:sz w:val="18"/>
          <w:szCs w:val="18"/>
          <w:color w:val="auto"/>
        </w:rPr>
        <w:t xml:space="preserve"> You may either vote FOR, AGAINST or ABSTAIN on this proposal. Abstentions, if any, will have no effect on the results of this vote. Brokerage firms have authority to vote customers’ unvoted shares held by the firms in street name on this proposal. If a broker does not exercise this authority, such broker non-votes will have no effect on the results of this vote.</w:t>
      </w:r>
    </w:p>
    <w:p>
      <w:pPr>
        <w:spacing w:after="0" w:line="5" w:lineRule="exact"/>
        <w:rPr>
          <w:rFonts w:ascii="Arial" w:cs="Arial" w:eastAsia="Arial" w:hAnsi="Arial"/>
          <w:sz w:val="18"/>
          <w:szCs w:val="18"/>
          <w:color w:val="auto"/>
        </w:rPr>
      </w:pPr>
    </w:p>
    <w:p>
      <w:pPr>
        <w:ind w:left="224" w:right="379" w:hanging="224"/>
        <w:spacing w:after="0" w:line="254" w:lineRule="auto"/>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 vote. Such broker non-votes will have no effect on the results of this vote.</w:t>
      </w:r>
    </w:p>
    <w:p>
      <w:pPr>
        <w:spacing w:after="0" w:line="200" w:lineRule="exact"/>
        <w:rPr>
          <w:sz w:val="20"/>
          <w:szCs w:val="20"/>
          <w:color w:val="auto"/>
        </w:rPr>
      </w:pPr>
    </w:p>
    <w:p>
      <w:pPr>
        <w:sectPr>
          <w:pgSz w:w="11900" w:h="16838" w:orient="portrait"/>
          <w:cols w:equalWidth="0" w:num="2">
            <w:col w:w="3980" w:space="76"/>
            <w:col w:w="5823"/>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Proposal</w:t>
            </w:r>
            <w:r>
              <w:rPr>
                <w:rFonts w:ascii="Arial" w:cs="Arial" w:eastAsia="Arial" w:hAnsi="Arial"/>
                <w:sz w:val="18"/>
                <w:szCs w:val="18"/>
                <w:color w:val="auto"/>
              </w:rPr>
              <w:t>​</w:t>
            </w:r>
          </w:p>
        </w:tc>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No. 3:  Appoint the</w:t>
            </w: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 ​ The “plurality” of the votes cast for this proposal is required to​</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Independent Registered Public</w:t>
            </w: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appoint our independent registered public accounting firm. You</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Accounting Firm</w:t>
            </w: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may  vote  FOR  the  appointment  of  Ernst  &amp;  Young  LLP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w w:val="98"/>
              </w:rPr>
              <w:t>WITHHOLD your vote. Votes that are withheld will not be included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in the vote tally for this proposal. Brokerage firms have authority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to vote customers’ unvoted shares held by the firms in street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w w:val="98"/>
              </w:rPr>
              <w:t>name on this proposal. If a broker does not exercise this authority,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such broker non-votes will have no effect on the results of this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0" w:type="dxa"/>
            <w:vAlign w:val="bottom"/>
            <w:vMerge w:val="restart"/>
          </w:tcPr>
          <w:p>
            <w:pPr>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0"/>
                <w:szCs w:val="20"/>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5220" w:type="dxa"/>
            <w:vAlign w:val="bottom"/>
          </w:tcPr>
          <w:p>
            <w:pPr>
              <w:ind w:left="40"/>
              <w:spacing w:after="0"/>
              <w:rPr>
                <w:sz w:val="20"/>
                <w:szCs w:val="20"/>
                <w:color w:val="auto"/>
              </w:rPr>
            </w:pPr>
            <w:r>
              <w:rPr>
                <w:rFonts w:ascii="Arial" w:cs="Arial" w:eastAsia="Arial" w:hAnsi="Arial"/>
                <w:sz w:val="18"/>
                <w:szCs w:val="18"/>
                <w:color w:val="auto"/>
              </w:rPr>
              <w:t>vote.</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8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5220" w:type="dxa"/>
            <w:vAlign w:val="bottom"/>
            <w:vMerge w:val="restart"/>
          </w:tcPr>
          <w:p>
            <w:pPr>
              <w:ind w:left="40"/>
              <w:spacing w:after="0"/>
              <w:rPr>
                <w:sz w:val="20"/>
                <w:szCs w:val="20"/>
                <w:color w:val="auto"/>
              </w:rPr>
            </w:pPr>
            <w:r>
              <w:rPr>
                <w:rFonts w:ascii="Arial" w:cs="Arial" w:eastAsia="Arial" w:hAnsi="Arial"/>
                <w:sz w:val="18"/>
                <w:szCs w:val="18"/>
                <w:color w:val="auto"/>
              </w:rPr>
              <w:t>The affirmative vote of a majority of the shares cast for this</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760" w:type="dxa"/>
            <w:vAlign w:val="bottom"/>
            <w:gridSpan w:val="2"/>
          </w:tcPr>
          <w:p>
            <w:pPr>
              <w:spacing w:after="0" w:line="63" w:lineRule="exact"/>
              <w:rPr>
                <w:sz w:val="20"/>
                <w:szCs w:val="20"/>
                <w:color w:val="auto"/>
              </w:rPr>
            </w:pPr>
            <w:r>
              <w:rPr>
                <w:rFonts w:ascii="Arial" w:cs="Arial" w:eastAsia="Arial" w:hAnsi="Arial"/>
                <w:sz w:val="7"/>
                <w:szCs w:val="7"/>
                <w:b w:val="1"/>
                <w:bCs w:val="1"/>
                <w:color w:val="auto"/>
              </w:rPr>
              <w:t>Proposal No. 4:  Amendment to</w:t>
            </w:r>
          </w:p>
        </w:tc>
        <w:tc>
          <w:tcPr>
            <w:tcW w:w="240" w:type="dxa"/>
            <w:vAlign w:val="bottom"/>
          </w:tcPr>
          <w:p>
            <w:pPr>
              <w:spacing w:after="0"/>
              <w:rPr>
                <w:sz w:val="5"/>
                <w:szCs w:val="5"/>
                <w:color w:val="auto"/>
              </w:rPr>
            </w:pPr>
          </w:p>
        </w:tc>
        <w:tc>
          <w:tcPr>
            <w:tcW w:w="52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Articles of the Company</w:t>
            </w: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proposal is required to amend the Articles of the Company 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more particularly set out below. You may either vote FOR,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AGAINST or ABSTAIN on this proposal. Abstentions, if any, will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have no effect on the results of this vote. Brokerage firms have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authority to vote customers’ unvoted shares held by the firms 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4280" w:right="419"/>
        <w:spacing w:after="0" w:line="258" w:lineRule="auto"/>
        <w:rPr>
          <w:sz w:val="20"/>
          <w:szCs w:val="20"/>
          <w:color w:val="auto"/>
        </w:rPr>
      </w:pPr>
      <w:r>
        <w:rPr>
          <w:rFonts w:ascii="Arial" w:cs="Arial" w:eastAsia="Arial" w:hAnsi="Arial"/>
          <w:sz w:val="18"/>
          <w:szCs w:val="18"/>
          <w:color w:val="auto"/>
        </w:rPr>
        <w:t>street name on this proposal. If a broker does not exercise this authority, such broker non-votes will have no effect on the results of this vote.</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44" w:lineRule="exact"/>
        <w:rPr>
          <w:sz w:val="20"/>
          <w:szCs w:val="20"/>
          <w:color w:val="auto"/>
        </w:rPr>
      </w:pPr>
    </w:p>
    <w:p>
      <w:pPr>
        <w:jc w:val="both"/>
        <w:ind w:left="1240" w:right="439" w:firstLine="360"/>
        <w:spacing w:after="0" w:line="251"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presence, in person or by proxy, of two persons who are, or who represent by proxy, shareholders who, in the aggregate, hold at least 5% of the issued shares entitled to be voted at the meeting is necessary to constitute a quorum at the Annual Meeting. Votes of shareholders of record who are present at the Annual Meeting in person or by proxy, abstentions, and broker non-votes are counted for purposes of determining whether a quorum exists.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Attending the Annual Meeting</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Annual Meeting will be held in a virtual meeting format only. You can attend the Annual Meeting and view the live audio webcast by visiting https://www.cstproxy.com/metals/2025. The Annual Meeting will be held at 10:00 a.m. EDT on Thursday, May 29, 2025. To attend the virtual Annual Meeting, go to https://www.cstproxy.com/metals/2025 shortly before the meeting time, enter your name, email address and control number to enter the meeting portal. If you miss the Annual Meeting, you can view a replay of the Webcast at https://www.cstproxy.com/metals/2025 until June 29, 2025. You need not attend the Annual Meeting in order to vote.</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Some brokers or other nominee record holders may be sending you, a single set of our proxy materials if multiple of the Company’s shareholders live in your household. This practice, which has been approved by the SEC, is called “householding.” Once you receive notice from your broker or other nominee record holder that it will be “householding” our proxy materials, the practice will continue until you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otherwise notified or until you notify them that you no longer want to participate in the practice. Shareholders who participate in householding will continue to have access to and utilize separate proxy voting instructions.</w:t>
      </w:r>
    </w:p>
    <w:p>
      <w:pPr>
        <w:spacing w:after="0" w:line="103" w:lineRule="exact"/>
        <w:rPr>
          <w:sz w:val="20"/>
          <w:szCs w:val="20"/>
          <w:color w:val="auto"/>
        </w:rPr>
      </w:pPr>
    </w:p>
    <w:p>
      <w:pPr>
        <w:jc w:val="both"/>
        <w:ind w:left="1240" w:right="419" w:firstLine="360"/>
        <w:spacing w:after="0" w:line="239"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to our corporate secretary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Electronic Delivery of Company Shareholder Communications</w:t>
      </w:r>
    </w:p>
    <w:p>
      <w:pPr>
        <w:spacing w:after="0" w:line="14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Most shareholders can elect to view or receive copies of future proxy materials over the Internet instead of receiving paper copies in the mail.</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 to https://www.cstproxy.com/metals/2025 and following the instructions provided.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Common shares as of April 3, 2025 by:</w:t>
      </w:r>
    </w:p>
    <w:p>
      <w:pPr>
        <w:spacing w:after="0" w:line="45" w:lineRule="exact"/>
        <w:rPr>
          <w:sz w:val="20"/>
          <w:szCs w:val="20"/>
          <w:color w:val="auto"/>
        </w:rPr>
      </w:pPr>
    </w:p>
    <w:p>
      <w:pPr>
        <w:ind w:left="1780" w:right="419" w:hanging="172"/>
        <w:spacing w:after="0" w:line="287"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4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 each director nominee that is not a current director; and</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 Company’s executive officers and current directors as a group.</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beneficial ownership of common shares is based on 358,705,212 common shares issued and outstanding as of April 3, 2025.</w:t>
      </w:r>
    </w:p>
    <w:p>
      <w:pPr>
        <w:spacing w:after="0" w:line="85"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Unless otherwise indicated, the Company believes that each person named in the table below has sole voting and investment power with respect to all common shares beneficially owned by them. Unless otherwise indicated, the business address of each of the following entities or individuals is c/o TMC the metals company Inc., 1111 West Hastings Street,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Vancouver, British Columbia V6E 2J3.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23495</wp:posOffset>
            </wp:positionV>
            <wp:extent cx="52120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Current Directors, Director Nominees and Named Executive Officers:</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w:t>
      </w:r>
      <w:r>
        <w:rPr>
          <w:rFonts w:ascii="Arial" w:cs="Arial" w:eastAsia="Arial" w:hAnsi="Arial"/>
          <w:sz w:val="23"/>
          <w:szCs w:val="23"/>
          <w:color w:val="auto"/>
          <w:vertAlign w:val="superscript"/>
        </w:rPr>
        <w:t>(3)</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Andrew C. Greig</w:t>
      </w:r>
      <w:r>
        <w:rPr>
          <w:rFonts w:ascii="Arial" w:cs="Arial" w:eastAsia="Arial" w:hAnsi="Arial"/>
          <w:sz w:val="23"/>
          <w:szCs w:val="23"/>
          <w:color w:val="auto"/>
          <w:vertAlign w:val="superscript"/>
        </w:rPr>
        <w:t>(5)</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Hall</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Sheila Khama</w:t>
      </w:r>
      <w:r>
        <w:rPr>
          <w:rFonts w:ascii="Arial" w:cs="Arial" w:eastAsia="Arial" w:hAnsi="Arial"/>
          <w:sz w:val="23"/>
          <w:szCs w:val="23"/>
          <w:color w:val="auto"/>
          <w:vertAlign w:val="superscript"/>
        </w:rPr>
        <w:t>(7)</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Andrei Karkar</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Amelia Kinahoi Siamomua</w:t>
      </w:r>
      <w:r>
        <w:rPr>
          <w:rFonts w:ascii="Arial" w:cs="Arial" w:eastAsia="Arial" w:hAnsi="Arial"/>
          <w:sz w:val="23"/>
          <w:szCs w:val="23"/>
          <w:color w:val="auto"/>
          <w:vertAlign w:val="superscript"/>
        </w:rPr>
        <w:t>(9)</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Erika Ilves</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Stephen Jurvetson</w:t>
      </w:r>
      <w:r>
        <w:rPr>
          <w:rFonts w:ascii="Arial" w:cs="Arial" w:eastAsia="Arial" w:hAnsi="Arial"/>
          <w:sz w:val="23"/>
          <w:szCs w:val="23"/>
          <w:color w:val="auto"/>
          <w:vertAlign w:val="superscript"/>
        </w:rPr>
        <w:t>(11)</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Brendan May</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9" w:lineRule="exact"/>
        <w:rPr>
          <w:sz w:val="20"/>
          <w:szCs w:val="20"/>
          <w:color w:val="auto"/>
        </w:rPr>
      </w:pPr>
    </w:p>
    <w:p>
      <w:pPr>
        <w:ind w:left="1420" w:right="340" w:hanging="179"/>
        <w:spacing w:after="0" w:line="253" w:lineRule="auto"/>
        <w:rPr>
          <w:sz w:val="20"/>
          <w:szCs w:val="20"/>
          <w:color w:val="auto"/>
        </w:rPr>
      </w:pPr>
      <w:r>
        <w:rPr>
          <w:rFonts w:ascii="Arial" w:cs="Arial" w:eastAsia="Arial" w:hAnsi="Arial"/>
          <w:sz w:val="18"/>
          <w:szCs w:val="18"/>
          <w:b w:val="1"/>
          <w:bCs w:val="1"/>
          <w:color w:val="auto"/>
        </w:rPr>
        <w:t>All Current Directors and Executive Officers of the Company as a Group (11 Individuals)</w:t>
      </w:r>
      <w:r>
        <w:rPr>
          <w:rFonts w:ascii="Arial" w:cs="Arial" w:eastAsia="Arial" w:hAnsi="Arial"/>
          <w:sz w:val="23"/>
          <w:szCs w:val="23"/>
          <w:b w:val="1"/>
          <w:bCs w:val="1"/>
          <w:color w:val="auto"/>
          <w:vertAlign w:val="superscript"/>
        </w:rPr>
        <w:t>(13)</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6985</wp:posOffset>
            </wp:positionV>
            <wp:extent cx="52120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ERAS Capital LLC</w:t>
      </w:r>
      <w:r>
        <w:rPr>
          <w:rFonts w:ascii="Arial" w:cs="Arial" w:eastAsia="Arial" w:hAnsi="Arial"/>
          <w:sz w:val="23"/>
          <w:szCs w:val="23"/>
          <w:color w:val="auto"/>
          <w:vertAlign w:val="superscript"/>
        </w:rPr>
        <w:t>(14)</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Allseas Group S.A</w:t>
      </w:r>
      <w:r>
        <w:rPr>
          <w:rFonts w:ascii="Arial" w:cs="Arial" w:eastAsia="Arial" w:hAnsi="Arial"/>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685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5" w:lineRule="exact"/>
        <w:rPr>
          <w:sz w:val="20"/>
          <w:szCs w:val="20"/>
          <w:color w:val="auto"/>
        </w:rPr>
      </w:pPr>
    </w:p>
    <w:p>
      <w:pPr>
        <w:ind w:left="1600" w:hanging="352"/>
        <w:spacing w:after="0"/>
        <w:tabs>
          <w:tab w:leader="none" w:pos="1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96" w:lineRule="exact"/>
        <w:rPr>
          <w:sz w:val="20"/>
          <w:szCs w:val="20"/>
          <w:color w:val="auto"/>
        </w:rPr>
      </w:pPr>
    </w:p>
    <w:p>
      <w:pPr>
        <w:ind w:left="1600" w:hanging="352"/>
        <w:spacing w:after="0"/>
        <w:tabs>
          <w:tab w:leader="none" w:pos="1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Special Shares.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w:t>
            </w:r>
          </w:p>
        </w:tc>
        <w:tc>
          <w:tcPr>
            <w:tcW w:w="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Number of</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w:t>
            </w:r>
          </w:p>
        </w:tc>
        <w:tc>
          <w:tcPr>
            <w:tcW w:w="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Beneficially</w:t>
            </w:r>
          </w:p>
        </w:tc>
        <w:tc>
          <w:tcPr>
            <w:tcW w:w="40" w:type="dxa"/>
            <w:vAlign w:val="bottom"/>
          </w:tcPr>
          <w:p>
            <w:pPr>
              <w:spacing w:after="0"/>
              <w:rPr>
                <w:sz w:val="14"/>
                <w:szCs w:val="14"/>
                <w:color w:val="auto"/>
              </w:rPr>
            </w:pPr>
          </w:p>
        </w:tc>
      </w:tr>
      <w:tr>
        <w:trPr>
          <w:trHeight w:val="198"/>
        </w:trPr>
        <w:tc>
          <w:tcPr>
            <w:tcW w:w="26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2000" w:type="dxa"/>
            <w:vAlign w:val="bottom"/>
            <w:gridSpan w:val="5"/>
          </w:tcPr>
          <w:p>
            <w:pPr>
              <w:jc w:val="right"/>
              <w:spacing w:after="0" w:line="199"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4"/>
                <w:szCs w:val="14"/>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Owned (%) </w:t>
            </w:r>
            <w:r>
              <w:rPr>
                <w:rFonts w:ascii="Arial" w:cs="Arial" w:eastAsia="Arial" w:hAnsi="Arial"/>
                <w:sz w:val="22"/>
                <w:szCs w:val="22"/>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9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3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6"/>
        </w:trPr>
        <w:tc>
          <w:tcPr>
            <w:tcW w:w="1380" w:type="dxa"/>
            <w:vAlign w:val="bottom"/>
            <w:gridSpan w:val="4"/>
          </w:tcPr>
          <w:p>
            <w:pPr>
              <w:spacing w:after="0"/>
              <w:rPr>
                <w:sz w:val="20"/>
                <w:szCs w:val="20"/>
                <w:color w:val="auto"/>
              </w:rPr>
            </w:pPr>
            <w:r>
              <w:rPr>
                <w:rFonts w:ascii="Arial" w:cs="Arial" w:eastAsia="Arial" w:hAnsi="Arial"/>
                <w:sz w:val="18"/>
                <w:szCs w:val="18"/>
                <w:color w:val="auto"/>
              </w:rPr>
              <w:t>​ ​​ 22,225,455​​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1,918,420​​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879,502​​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4,962,762​​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250,993​​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292,743​​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1380" w:type="dxa"/>
            <w:vAlign w:val="bottom"/>
            <w:gridSpan w:val="4"/>
          </w:tcPr>
          <w:p>
            <w:pPr>
              <w:spacing w:after="0"/>
              <w:rPr>
                <w:sz w:val="20"/>
                <w:szCs w:val="20"/>
                <w:color w:val="auto"/>
              </w:rPr>
            </w:pPr>
            <w:r>
              <w:rPr>
                <w:rFonts w:ascii="Arial" w:cs="Arial" w:eastAsia="Arial" w:hAnsi="Arial"/>
                <w:sz w:val="18"/>
                <w:szCs w:val="18"/>
                <w:color w:val="auto"/>
              </w:rPr>
              <w:t>​ ​​ 65,799,817​​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18.1%</w:t>
            </w:r>
            <w:r>
              <w:rPr>
                <w:rFonts w:ascii="Arial" w:cs="Arial" w:eastAsia="Arial" w:hAnsi="Arial"/>
                <w:sz w:val="18"/>
                <w:szCs w:val="18"/>
                <w:b w:val="1"/>
                <w:bCs w:val="1"/>
                <w:color w:val="auto"/>
              </w:rPr>
              <w:t xml:space="preserve"> ​</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288,993​​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2,984,246​​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1,846,667​​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267,095​​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59"/>
        </w:trPr>
        <w:tc>
          <w:tcPr>
            <w:tcW w:w="1380" w:type="dxa"/>
            <w:vAlign w:val="bottom"/>
            <w:gridSpan w:val="4"/>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103,379,029​​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28.5%</w:t>
            </w:r>
            <w:r>
              <w:rPr>
                <w:rFonts w:ascii="Arial" w:cs="Arial" w:eastAsia="Arial" w:hAnsi="Arial"/>
                <w:sz w:val="18"/>
                <w:szCs w:val="18"/>
                <w:b w:val="1"/>
                <w:bCs w:val="1"/>
                <w:color w:val="auto"/>
              </w:rPr>
              <w:t xml:space="preserve"> ​</w:t>
            </w:r>
          </w:p>
        </w:tc>
      </w:tr>
      <w:tr>
        <w:trPr>
          <w:trHeight w:val="291"/>
        </w:trPr>
        <w:tc>
          <w:tcPr>
            <w:tcW w:w="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9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3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64,868,211​​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17.9%</w:t>
            </w:r>
            <w:r>
              <w:rPr>
                <w:rFonts w:ascii="Arial" w:cs="Arial" w:eastAsia="Arial" w:hAnsi="Arial"/>
                <w:sz w:val="18"/>
                <w:szCs w:val="18"/>
                <w:b w:val="1"/>
                <w:bCs w:val="1"/>
                <w:color w:val="auto"/>
              </w:rPr>
              <w:t xml:space="preserve"> ​</w:t>
            </w:r>
          </w:p>
        </w:tc>
      </w:tr>
      <w:tr>
        <w:trPr>
          <w:trHeight w:val="284"/>
        </w:trPr>
        <w:tc>
          <w:tcPr>
            <w:tcW w:w="1380" w:type="dxa"/>
            <w:vAlign w:val="bottom"/>
            <w:gridSpan w:val="4"/>
          </w:tcPr>
          <w:p>
            <w:pPr>
              <w:spacing w:after="0"/>
              <w:rPr>
                <w:sz w:val="20"/>
                <w:szCs w:val="20"/>
                <w:color w:val="auto"/>
              </w:rPr>
            </w:pPr>
            <w:r>
              <w:rPr>
                <w:rFonts w:ascii="Arial" w:cs="Arial" w:eastAsia="Arial" w:hAnsi="Arial"/>
                <w:sz w:val="18"/>
                <w:szCs w:val="18"/>
                <w:color w:val="auto"/>
              </w:rPr>
              <w:t>​ ​​ 54,530,268​​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15.1%</w:t>
            </w:r>
            <w:r>
              <w:rPr>
                <w:rFonts w:ascii="Arial" w:cs="Arial" w:eastAsia="Arial" w:hAnsi="Arial"/>
                <w:sz w:val="18"/>
                <w:szCs w:val="18"/>
                <w:b w:val="1"/>
                <w:bCs w:val="1"/>
                <w:color w:val="auto"/>
              </w:rPr>
              <w:t xml:space="preserve"> ​</w:t>
            </w:r>
          </w:p>
        </w:tc>
      </w:tr>
    </w:tbl>
    <w:p>
      <w:pPr>
        <w:spacing w:after="0" w:line="928" w:lineRule="exact"/>
        <w:rPr>
          <w:sz w:val="20"/>
          <w:szCs w:val="20"/>
          <w:color w:val="auto"/>
        </w:rPr>
      </w:pPr>
    </w:p>
    <w:p>
      <w:pPr>
        <w:sectPr>
          <w:pgSz w:w="11900" w:h="16838" w:orient="portrait"/>
          <w:cols w:equalWidth="0" w:num="2">
            <w:col w:w="7140" w:space="100"/>
            <w:col w:w="2639"/>
          </w:cols>
          <w:pgMar w:left="580" w:top="97" w:right="1440"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hanging="352"/>
        <w:spacing w:after="0" w:line="272"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18,058,017 common shares, (ii) 4,078,044 common shares underlying options that are exercisable within 60 days of April 3, 2025 and (iii) 89,394 common shares underlying warrants held by Mr. Barron. Does not include</w:t>
      </w:r>
    </w:p>
    <w:p>
      <w:pPr>
        <w:ind w:left="1780" w:hanging="172"/>
        <w:spacing w:after="0"/>
        <w:tabs>
          <w:tab w:leader="none" w:pos="17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2,275,334 common shares underlying options that are not exercisable within 60 days of April 3, 2025 held by Mr. Barron,</w:t>
      </w:r>
    </w:p>
    <w:p>
      <w:pPr>
        <w:spacing w:after="0" w:line="27" w:lineRule="exact"/>
        <w:rPr>
          <w:rFonts w:ascii="Arial" w:cs="Arial" w:eastAsia="Arial" w:hAnsi="Arial"/>
          <w:sz w:val="14"/>
          <w:szCs w:val="14"/>
          <w:color w:val="auto"/>
        </w:rPr>
      </w:pPr>
    </w:p>
    <w:p>
      <w:pPr>
        <w:jc w:val="both"/>
        <w:ind w:left="1600" w:right="419" w:firstLine="8"/>
        <w:spacing w:after="0" w:line="270" w:lineRule="auto"/>
        <w:tabs>
          <w:tab w:leader="none" w:pos="1819" w:val="left"/>
        </w:tabs>
        <w:numPr>
          <w:ilvl w:val="1"/>
          <w:numId w:val="10"/>
        </w:numPr>
        <w:rPr>
          <w:rFonts w:ascii="Arial" w:cs="Arial" w:eastAsia="Arial" w:hAnsi="Arial"/>
          <w:sz w:val="14"/>
          <w:szCs w:val="14"/>
          <w:color w:val="auto"/>
        </w:rPr>
      </w:pPr>
      <w:r>
        <w:rPr>
          <w:rFonts w:ascii="Arial" w:cs="Arial" w:eastAsia="Arial" w:hAnsi="Arial"/>
          <w:sz w:val="14"/>
          <w:szCs w:val="14"/>
          <w:color w:val="auto"/>
        </w:rPr>
        <w:t>2,929,101 common shares underlying restricted share units that do not vest within 60 days of April 3, 2025 held by Mr. Barron, (iii) 50,000 common shares underlying Class A warrants held by Mr. Barron and (iv) 20,000,000 common shares underlying restricted share units that vest based on the trailing 30-day average price of the Issuer’s common shares (the “Closing Price”) reaching the following prices on or prior to April 16, 2029, subject to the reporting person’s continued service with the Issuer on the applicable vesting date: one-third shall vest on achievement of a Closing Price of $7.50; one-third shall vest on achievement of a Closing Price of $10.00; and one-third shall vest on achievement of a Closing Price of $12.50 (each subject to equitable adjustment for any share splits, combinations, reclassifications, share dividends and the like). The Class A Warrants held by Mr. Barron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w:t>
      </w:r>
    </w:p>
    <w:p>
      <w:pPr>
        <w:spacing w:after="0" w:line="37" w:lineRule="exact"/>
        <w:rPr>
          <w:rFonts w:ascii="Arial" w:cs="Arial" w:eastAsia="Arial" w:hAnsi="Arial"/>
          <w:sz w:val="14"/>
          <w:szCs w:val="14"/>
          <w:color w:val="auto"/>
        </w:rPr>
      </w:pPr>
    </w:p>
    <w:p>
      <w:pPr>
        <w:ind w:left="1600" w:hanging="352"/>
        <w:spacing w:after="0"/>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1,499,419 common shares (ii) 13,750 common shares underlying Class A Warrants held by Mr. Shesky and</w:t>
      </w:r>
    </w:p>
    <w:p>
      <w:pPr>
        <w:spacing w:after="0" w:line="29" w:lineRule="exact"/>
        <w:rPr>
          <w:rFonts w:ascii="Arial" w:cs="Arial" w:eastAsia="Arial" w:hAnsi="Arial"/>
          <w:sz w:val="14"/>
          <w:szCs w:val="14"/>
          <w:color w:val="auto"/>
        </w:rPr>
      </w:pPr>
    </w:p>
    <w:p>
      <w:pPr>
        <w:jc w:val="both"/>
        <w:ind w:left="1600" w:right="419" w:firstLine="8"/>
        <w:spacing w:after="0" w:line="282" w:lineRule="auto"/>
        <w:tabs>
          <w:tab w:leader="none" w:pos="1846" w:val="left"/>
        </w:tabs>
        <w:numPr>
          <w:ilvl w:val="1"/>
          <w:numId w:val="11"/>
        </w:numPr>
        <w:rPr>
          <w:rFonts w:ascii="Arial" w:cs="Arial" w:eastAsia="Arial" w:hAnsi="Arial"/>
          <w:sz w:val="14"/>
          <w:szCs w:val="14"/>
          <w:color w:val="auto"/>
        </w:rPr>
      </w:pPr>
      <w:r>
        <w:rPr>
          <w:rFonts w:ascii="Arial" w:cs="Arial" w:eastAsia="Arial" w:hAnsi="Arial"/>
          <w:sz w:val="14"/>
          <w:szCs w:val="14"/>
          <w:color w:val="auto"/>
        </w:rPr>
        <w:t>405,251 common shares issuable upon exercise of options. Does not include (i) 252,814 common shares underlying options that are not exercisable and (ii) 1,145,790 common shares underlying restricted share units that do not vest within 60 days of April 3, 2025 held by Mr. Shesky.</w:t>
      </w:r>
    </w:p>
    <w:p>
      <w:pPr>
        <w:spacing w:after="0" w:line="38" w:lineRule="exact"/>
        <w:rPr>
          <w:rFonts w:ascii="Arial" w:cs="Arial" w:eastAsia="Arial" w:hAnsi="Arial"/>
          <w:sz w:val="14"/>
          <w:szCs w:val="14"/>
          <w:color w:val="auto"/>
        </w:rPr>
      </w:pPr>
    </w:p>
    <w:p>
      <w:pPr>
        <w:jc w:val="both"/>
        <w:ind w:left="1600" w:right="439" w:hanging="352"/>
        <w:spacing w:after="0" w:line="282"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220,966 common shares held by Mr. Madsbjerg, (ii) 590,509 common shares underlying options that are exercisable within 60 days of April 3, 2025 held by Mr. Madsbjerg and (iii) 68,027 common shares underlying restricted share units that may vest within 60 days of April 3, 2025. Does not include 126,407 common shares underlying options that are not exercisable within 60 days of April 3, 2025 held by Mr. Madsbjerg.</w:t>
      </w:r>
    </w:p>
    <w:p>
      <w:pPr>
        <w:spacing w:after="0" w:line="26" w:lineRule="exact"/>
        <w:rPr>
          <w:rFonts w:ascii="Arial" w:cs="Arial" w:eastAsia="Arial" w:hAnsi="Arial"/>
          <w:sz w:val="14"/>
          <w:szCs w:val="14"/>
          <w:color w:val="auto"/>
        </w:rPr>
      </w:pPr>
    </w:p>
    <w:p>
      <w:pPr>
        <w:jc w:val="both"/>
        <w:ind w:left="1600" w:right="439" w:hanging="352"/>
        <w:spacing w:after="0" w:line="282"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4,304,226 common shares held by Mr. Greig, (ii) 590,509 common shares underlying options and (iii) 68,027 common shares underlying restricted share units that may vest within 60 days of April 3, 2025. Does not include (i) 126,407 common shares underlying options that are not exercisable within 60 days of April 3, 2025 and (ii) 31,746 common shares underlying restricted share units that do not vest within 60 days of April 3, 2025 held by Mr. Greig.</w:t>
      </w:r>
    </w:p>
    <w:p>
      <w:pPr>
        <w:spacing w:after="0" w:line="26" w:lineRule="exact"/>
        <w:rPr>
          <w:rFonts w:ascii="Arial" w:cs="Arial" w:eastAsia="Arial" w:hAnsi="Arial"/>
          <w:sz w:val="14"/>
          <w:szCs w:val="14"/>
          <w:color w:val="auto"/>
        </w:rPr>
      </w:pPr>
    </w:p>
    <w:p>
      <w:pPr>
        <w:ind w:left="1600" w:right="439" w:hanging="352"/>
        <w:spacing w:after="0" w:line="322"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182,966 common shares held by Mr. Hall and (ii) 68,027 common shares underlying restricted share units that may vest within 60 days of April 3, 2025.</w:t>
      </w:r>
    </w:p>
    <w:p>
      <w:pPr>
        <w:ind w:left="1600" w:right="439" w:hanging="352"/>
        <w:spacing w:after="0" w:line="305"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223,466 common shares, (ii) 68,027 common shares underlying restricted share units that may vest within 60 days of April 3, 2025 and (iii) 1,250 common shares underlying Class A Warrants held by Ms. Khama.</w:t>
      </w:r>
    </w:p>
    <w:p>
      <w:pPr>
        <w:spacing w:after="0" w:line="22" w:lineRule="exact"/>
        <w:rPr>
          <w:rFonts w:ascii="Arial" w:cs="Arial" w:eastAsia="Arial" w:hAnsi="Arial"/>
          <w:sz w:val="14"/>
          <w:szCs w:val="14"/>
          <w:color w:val="auto"/>
        </w:rPr>
      </w:pPr>
    </w:p>
    <w:p>
      <w:pPr>
        <w:jc w:val="both"/>
        <w:ind w:left="1600" w:right="419" w:hanging="352"/>
        <w:spacing w:after="0" w:line="275"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220,966 common shares held by Mr. Karkar, (ii) 642,613 common shares underlying options that are exercisable within 60 days of April 3, 2025 held by Mr. Karkar, (iii) 68,027 common shares underlying restricted share units that may vest within 60 days of April 3, 2025, (iv) 60,953,495 common shares held by ERAS Capital LLC (“ERAS”),</w:t>
      </w:r>
    </w:p>
    <w:p>
      <w:pPr>
        <w:jc w:val="both"/>
        <w:ind w:left="1600" w:right="419" w:firstLine="8"/>
        <w:spacing w:after="0" w:line="272" w:lineRule="auto"/>
        <w:tabs>
          <w:tab w:leader="none" w:pos="1824" w:val="left"/>
        </w:tabs>
        <w:numPr>
          <w:ilvl w:val="1"/>
          <w:numId w:val="12"/>
        </w:numPr>
        <w:rPr>
          <w:rFonts w:ascii="Arial" w:cs="Arial" w:eastAsia="Arial" w:hAnsi="Arial"/>
          <w:sz w:val="14"/>
          <w:szCs w:val="14"/>
          <w:color w:val="auto"/>
        </w:rPr>
      </w:pPr>
      <w:r>
        <w:rPr>
          <w:rFonts w:ascii="Arial" w:cs="Arial" w:eastAsia="Arial" w:hAnsi="Arial"/>
          <w:sz w:val="14"/>
          <w:szCs w:val="14"/>
          <w:color w:val="auto"/>
        </w:rPr>
        <w:t>1,414,716 common shares underlying warrants held by ERAS and (vi) 2,500,000 common shares underlying Class A Warrants held by ERAS. Does not include 126,407 common shares underlying options that are not exercisable. The Class A Warrants held by ERAS do not allow for an exercise that would result in the holder of such warrants (together with its affiliates, any “group” or any other persons whose beneficial ownership could be aggregated with the holder) would beneficially own more than 19.99% of the number of common shares outstanding immediately following exercise. Mr. Karkar has voting and dispositive control over the securities held by ERAS and therefore Mr. Karkar may be deemed to have beneficial ownership of the shares held by ERAS.</w:t>
      </w:r>
    </w:p>
    <w:p>
      <w:pPr>
        <w:spacing w:after="0" w:line="31" w:lineRule="exact"/>
        <w:rPr>
          <w:rFonts w:ascii="Arial" w:cs="Arial" w:eastAsia="Arial" w:hAnsi="Arial"/>
          <w:sz w:val="14"/>
          <w:szCs w:val="14"/>
          <w:color w:val="auto"/>
        </w:rPr>
      </w:pPr>
    </w:p>
    <w:p>
      <w:pPr>
        <w:ind w:left="1600" w:right="439" w:hanging="352"/>
        <w:spacing w:after="0" w:line="322"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220,966 common shares held by Ms. Siamomua and (ii) 68,027 common shares underlying restricted share units that may vest within 60 days of April 3, 2025.</w:t>
      </w:r>
    </w:p>
    <w:p>
      <w:pPr>
        <w:jc w:val="both"/>
        <w:ind w:left="1600" w:right="419" w:hanging="352"/>
        <w:spacing w:after="0" w:line="277"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1,591,487 common shares held by Ms. Ilves, (ii) 1,362,077 common shares underlying options that are exercisable within 60 days of April 3, 2025 held by Ms. Ilves, and (iii) 30,682 common shares held of record by Ms. Ilves’ children. Does not include (i) 1,011,259 common shares underlying options that are not exercisable within 60 days of April 3, 2025 and (ii) 1,145,790 common shares underlying restricted share units that do not vest within 60 days of April 3, 2025 held by Ms. Ilves.</w:t>
      </w:r>
    </w:p>
    <w:p>
      <w:pPr>
        <w:spacing w:after="0" w:line="42"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700,000 common shares held by Mr. Jurvetson and (ii) 1,146,667 common shares underlying options that are exercisable within 60 days of April 3, 2025. Does not include 2,293,333 common shares underlying unvested options granted to Mr. Jurvetson on April 9, 2025.</w:t>
      </w:r>
    </w:p>
    <w:p>
      <w:pPr>
        <w:spacing w:after="0" w:line="37"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176,392 common shares held by Mr. May and (ii) 90,703 common shares underlying restricted stock units that may vest within 60 days of April 3, 2025. Does not include 45,351 common shares underlying restricted share units that do not vest within 60 days of April 3, 2025 held by Mr. May.</w:t>
      </w:r>
    </w:p>
    <w:p>
      <w:pPr>
        <w:spacing w:after="0" w:line="37" w:lineRule="exact"/>
        <w:rPr>
          <w:rFonts w:ascii="Arial" w:cs="Arial" w:eastAsia="Arial" w:hAnsi="Arial"/>
          <w:sz w:val="14"/>
          <w:szCs w:val="14"/>
          <w:color w:val="auto"/>
        </w:rPr>
      </w:pPr>
    </w:p>
    <w:p>
      <w:pPr>
        <w:jc w:val="both"/>
        <w:ind w:left="1600" w:right="439" w:hanging="352"/>
        <w:spacing w:after="0" w:line="275" w:lineRule="auto"/>
        <w:tabs>
          <w:tab w:leader="none" w:pos="1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footnotes (2) through (12). Includes (i) 591,554 common shares held in the aggregate by executive officers other than the named executive officers and (ii) 685,672 common shares underlying options that are exercisable within 60 days of April 3, 2025 held in the aggregate by executive officers other than the named executive officers. Does not include</w:t>
      </w:r>
    </w:p>
    <w:p>
      <w:pPr>
        <w:jc w:val="both"/>
        <w:ind w:left="1600" w:right="419" w:firstLine="8"/>
        <w:spacing w:after="0" w:line="275" w:lineRule="auto"/>
        <w:tabs>
          <w:tab w:leader="none" w:pos="1765" w:val="left"/>
        </w:tabs>
        <w:numPr>
          <w:ilvl w:val="1"/>
          <w:numId w:val="13"/>
        </w:numPr>
        <w:rPr>
          <w:rFonts w:ascii="Arial" w:cs="Arial" w:eastAsia="Arial" w:hAnsi="Arial"/>
          <w:sz w:val="14"/>
          <w:szCs w:val="14"/>
          <w:color w:val="auto"/>
        </w:rPr>
      </w:pPr>
      <w:r>
        <w:rPr>
          <w:rFonts w:ascii="Arial" w:cs="Arial" w:eastAsia="Arial" w:hAnsi="Arial"/>
          <w:sz w:val="14"/>
          <w:szCs w:val="14"/>
          <w:color w:val="auto"/>
        </w:rPr>
        <w:t>1,011,259 common shares underlying options that are not exercisable within 60 days of April 3, 2025 held in the aggregate by executive officers other than the named executive officers and (ii) 698,430 common shares underlying restricted share units that do not vest within 60 days of April 3, 2025 held in the aggregate by executive officers other than the named executive officers.</w:t>
      </w:r>
    </w:p>
    <w:p>
      <w:pPr>
        <w:spacing w:after="0" w:line="31" w:lineRule="exact"/>
        <w:rPr>
          <w:rFonts w:ascii="Arial" w:cs="Arial" w:eastAsia="Arial" w:hAnsi="Arial"/>
          <w:sz w:val="14"/>
          <w:szCs w:val="14"/>
          <w:color w:val="auto"/>
        </w:rPr>
      </w:pPr>
    </w:p>
    <w:p>
      <w:pPr>
        <w:ind w:left="1600" w:hanging="352"/>
        <w:spacing w:after="0"/>
        <w:tabs>
          <w:tab w:leader="none" w:pos="1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address of ERAS is 323 Marina Boulevard, San Francisco, California 94123. Consists of (i) 60,953,495 common shares,</w:t>
      </w:r>
    </w:p>
    <w:p>
      <w:pPr>
        <w:spacing w:after="0" w:line="29" w:lineRule="exact"/>
        <w:rPr>
          <w:rFonts w:ascii="Arial" w:cs="Arial" w:eastAsia="Arial" w:hAnsi="Arial"/>
          <w:sz w:val="14"/>
          <w:szCs w:val="14"/>
          <w:color w:val="auto"/>
        </w:rPr>
      </w:pPr>
    </w:p>
    <w:p>
      <w:pPr>
        <w:jc w:val="both"/>
        <w:ind w:left="1600" w:right="419" w:firstLine="8"/>
        <w:spacing w:after="0" w:line="274" w:lineRule="auto"/>
        <w:tabs>
          <w:tab w:leader="none" w:pos="1823" w:val="left"/>
        </w:tabs>
        <w:numPr>
          <w:ilvl w:val="1"/>
          <w:numId w:val="14"/>
        </w:numPr>
        <w:rPr>
          <w:rFonts w:ascii="Arial" w:cs="Arial" w:eastAsia="Arial" w:hAnsi="Arial"/>
          <w:sz w:val="14"/>
          <w:szCs w:val="14"/>
          <w:color w:val="auto"/>
        </w:rPr>
      </w:pPr>
      <w:r>
        <w:rPr>
          <w:rFonts w:ascii="Arial" w:cs="Arial" w:eastAsia="Arial" w:hAnsi="Arial"/>
          <w:sz w:val="14"/>
          <w:szCs w:val="14"/>
          <w:color w:val="auto"/>
        </w:rPr>
        <w:t>1,414,716 common shares issuable upon exercise of warrants owned by ERAS and (iii) 2,500,000 common shares underlying Class A Warrants held by ERAS. The Class A Warrants do not allow for an exercise that would result in the holder of such warrants (together with its affiliates, any “group” or any other persons whose beneficial ownership could be aggregated with the holder) would beneficially own more than 19.99% of the number of common shares outstanding immediately following exercise. Andrei Karkar has voting and dispositive control over the securities held by ERAS and therefore Mr. Karkar may be deemed to have beneficial ownership of the shares held by ERAS.</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hanging="352"/>
        <w:spacing w:after="0" w:line="277"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address of Allseas Group S.A. is 18 Route de Pra de Plan, Case Postale, 411 1618 Chatel-Saint-Denis, Switzerland. Includes (i) 52,780,268 common shares owned by Allseas Group S.A. and (ii) 1,750,000 common shares issuable upon exercise of Class A Warrants owned by Allseas Group S.A. Excludes 1,000,000 common shares held by Argentum Cedit Virtuti GCV, which has an ownership interest in Allseas Group S. A., to which Allseas Group, S.A. does not have voting or investment power with respect thereto.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 Board of Directors</w:t>
      </w:r>
    </w:p>
    <w:p>
      <w:pPr>
        <w:spacing w:after="0" w:line="144" w:lineRule="exact"/>
        <w:rPr>
          <w:sz w:val="20"/>
          <w:szCs w:val="20"/>
          <w:color w:val="auto"/>
        </w:rPr>
      </w:pPr>
    </w:p>
    <w:p>
      <w:pPr>
        <w:jc w:val="both"/>
        <w:ind w:left="1240" w:right="439" w:firstLine="360"/>
        <w:spacing w:after="0" w:line="252" w:lineRule="auto"/>
        <w:rPr>
          <w:sz w:val="20"/>
          <w:szCs w:val="20"/>
          <w:color w:val="auto"/>
        </w:rPr>
      </w:pPr>
      <w:r>
        <w:rPr>
          <w:rFonts w:ascii="Arial" w:cs="Arial" w:eastAsia="Arial" w:hAnsi="Arial"/>
          <w:sz w:val="18"/>
          <w:szCs w:val="18"/>
          <w:color w:val="auto"/>
        </w:rPr>
        <w:t>Our board of directors accepted the recommendation of the nominating and corporate governance committee and voted to nominate eight directors for election at the Annual Meeting for a term of one year to serve until the 2026 annual meeting of shareholders, or until their respective successors have been elected and qualified.</w:t>
      </w:r>
    </w:p>
    <w:p>
      <w:pPr>
        <w:spacing w:after="0" w:line="103"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number of directors for the Company is set by ordinary resolution of the shareholders of the Company. Management of the Company is seeking shareholder approval of an ordinary resolution determining the number of directors of the Company at eight for the ensuing year.</w:t>
      </w:r>
    </w:p>
    <w:p>
      <w:pPr>
        <w:spacing w:after="0" w:line="9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April 18, 2025.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10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Amelia Kinahoi Siamomua is not up for re-election to our board of directors at the Annual Meeting and her term as director will end at the Annual Meeting.</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23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8"/>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Director Nominees:</w:t>
            </w:r>
          </w:p>
        </w:tc>
        <w:tc>
          <w:tcPr>
            <w:tcW w:w="4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 ​</w:t>
            </w: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Gerard Barron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5040" w:type="dxa"/>
            <w:vAlign w:val="bottom"/>
            <w:gridSpan w:val="3"/>
          </w:tcPr>
          <w:p>
            <w:pPr>
              <w:spacing w:after="0"/>
              <w:rPr>
                <w:sz w:val="20"/>
                <w:szCs w:val="20"/>
                <w:color w:val="auto"/>
              </w:rPr>
            </w:pPr>
            <w:r>
              <w:rPr>
                <w:rFonts w:ascii="Arial" w:cs="Arial" w:eastAsia="Arial" w:hAnsi="Arial"/>
                <w:sz w:val="18"/>
                <w:szCs w:val="18"/>
                <w:color w:val="auto"/>
              </w:rPr>
              <w:t>​ ​ Chief Executive Officer and Chairman of the board of</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directors</w:t>
            </w: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2020" w:type="dxa"/>
            <w:vAlign w:val="bottom"/>
          </w:tcPr>
          <w:p>
            <w:pPr>
              <w:spacing w:after="0"/>
              <w:rPr>
                <w:sz w:val="20"/>
                <w:szCs w:val="20"/>
                <w:color w:val="auto"/>
              </w:rPr>
            </w:pPr>
            <w:r>
              <w:rPr>
                <w:rFonts w:ascii="Arial" w:cs="Arial" w:eastAsia="Arial" w:hAnsi="Arial"/>
                <w:sz w:val="18"/>
                <w:szCs w:val="18"/>
                <w:color w:val="auto"/>
              </w:rPr>
              <w:t>Andrew Hall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232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Director</w:t>
            </w:r>
          </w:p>
        </w:tc>
        <w:tc>
          <w:tcPr>
            <w:tcW w:w="27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Andrew Greig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23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Lead Independent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Andrei Karkar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23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Sheila Khama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23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Christian Madsbjerg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2320" w:type="dxa"/>
            <w:vAlign w:val="bottom"/>
            <w:gridSpan w:val="2"/>
          </w:tcPr>
          <w:p>
            <w:pPr>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Stephen Jurvetson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5040" w:type="dxa"/>
            <w:vAlign w:val="bottom"/>
            <w:gridSpan w:val="3"/>
          </w:tcPr>
          <w:p>
            <w:pPr>
              <w:spacing w:after="0"/>
              <w:rPr>
                <w:sz w:val="20"/>
                <w:szCs w:val="20"/>
                <w:color w:val="auto"/>
              </w:rPr>
            </w:pPr>
            <w:r>
              <w:rPr>
                <w:rFonts w:ascii="Arial" w:cs="Arial" w:eastAsia="Arial" w:hAnsi="Arial"/>
                <w:sz w:val="18"/>
                <w:szCs w:val="18"/>
                <w:color w:val="auto"/>
              </w:rPr>
              <w:t>​ ​ Vice Chairman of the board of directors and Special Advisor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to the Chief Executive Officer</w:t>
            </w:r>
          </w:p>
        </w:tc>
        <w:tc>
          <w:tcPr>
            <w:tcW w:w="60" w:type="dxa"/>
            <w:vAlign w:val="bottom"/>
          </w:tcPr>
          <w:p>
            <w:pPr>
              <w:spacing w:after="0"/>
              <w:rPr>
                <w:sz w:val="19"/>
                <w:szCs w:val="19"/>
                <w:color w:val="auto"/>
              </w:rPr>
            </w:pPr>
          </w:p>
        </w:tc>
      </w:tr>
      <w:tr>
        <w:trPr>
          <w:trHeight w:val="483"/>
        </w:trPr>
        <w:tc>
          <w:tcPr>
            <w:tcW w:w="2020" w:type="dxa"/>
            <w:vAlign w:val="bottom"/>
          </w:tcPr>
          <w:p>
            <w:pPr>
              <w:spacing w:after="0"/>
              <w:rPr>
                <w:sz w:val="20"/>
                <w:szCs w:val="20"/>
                <w:color w:val="auto"/>
              </w:rPr>
            </w:pPr>
            <w:r>
              <w:rPr>
                <w:rFonts w:ascii="Arial" w:cs="Arial" w:eastAsia="Arial" w:hAnsi="Arial"/>
                <w:sz w:val="18"/>
                <w:szCs w:val="18"/>
                <w:color w:val="auto"/>
              </w:rPr>
              <w:t>Brendan May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32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Director</w:t>
            </w:r>
          </w:p>
        </w:tc>
        <w:tc>
          <w:tcPr>
            <w:tcW w:w="27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Director Nominees</w:t>
      </w:r>
    </w:p>
    <w:p>
      <w:pPr>
        <w:spacing w:after="0" w:line="14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has served as our Chief Executive Officer and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of the business combination (the “Business Combination”) on September 9, 2021 by and among Sustainable Opportunities Acquisition Corp. (“SOAC”), 1291924 B.C. Unlimited Liability Company and formerly DeepGreen Metals Inc. and DeepGreen Metals ULC after the Business Combination (“DeepGreen”).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b w:val="1"/>
          <w:bCs w:val="1"/>
          <w:i w:val="1"/>
          <w:iCs w:val="1"/>
          <w:color w:val="auto"/>
        </w:rPr>
        <w:t xml:space="preserve">Andrew Hall </w:t>
      </w:r>
      <w:r>
        <w:rPr>
          <w:rFonts w:ascii="Arial" w:cs="Arial" w:eastAsia="Arial" w:hAnsi="Arial"/>
          <w:sz w:val="17"/>
          <w:szCs w:val="17"/>
          <w:color w:val="auto"/>
        </w:rPr>
        <w:t>has served on our board of directors since the closing of the Business Combination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2021. Mr. Hall is an 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w:t>
      </w:r>
    </w:p>
    <w:p>
      <w:pPr>
        <w:spacing w:after="0" w:line="3" w:lineRule="exact"/>
        <w:rPr>
          <w:sz w:val="20"/>
          <w:szCs w:val="20"/>
          <w:color w:val="auto"/>
        </w:rPr>
      </w:pPr>
    </w:p>
    <w:p>
      <w:pPr>
        <w:jc w:val="both"/>
        <w:ind w:left="1240" w:right="419" w:firstLine="8"/>
        <w:spacing w:after="0" w:line="241" w:lineRule="auto"/>
        <w:tabs>
          <w:tab w:leader="none" w:pos="14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October 2018, Mr. Hall has been a non-executive director of Time to Act Limited, which specializes in metal coatings for the gas turbine and hydrogen industries. Additionally, Mr. Hall has served Senior Independent Director of Hero Future Energies Global Limited, a global renewable energy developer, since February 2019. Mr. Hall is an Investor Director at Arctic Green Energy Corporation, Singapore since 2022. Arctic Green Energy is a leading global geothermal energy company. Since October 2022, Mr. Hall has served as Advisory Board Member of Zwei Wealth, a wealth management company and since February 2022, Mr. Hall has served as Senior Advisor at Blackstone, an asset management company. Since August 2022, Mr. Hall has served as Advisor to Eneus Energy Ltd., a green ammonia developer. Previously, Mr. Hall served as a board member of A2Sea AS from 2015 to 2017, Voith Hydro GmbH &amp; Co KG from 2015 to 2017, Mimica Labs from 2014 to 2017, Star Windco Limited from September 2019 to April 2023, ComAP AS from July 2021 to March 2023, Windlogix Limited from September 2019 to April 2023 and as Group Chief Financial Officer of New Motion Labs Limited from June 2019 to January 2024.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113"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b w:val="1"/>
          <w:bCs w:val="1"/>
          <w:i w:val="1"/>
          <w:iCs w:val="1"/>
          <w:color w:val="auto"/>
        </w:rPr>
        <w:t xml:space="preserve">Andrew C. Greig </w:t>
      </w:r>
      <w:r>
        <w:rPr>
          <w:rFonts w:ascii="Arial" w:cs="Arial" w:eastAsia="Arial" w:hAnsi="Arial"/>
          <w:sz w:val="18"/>
          <w:szCs w:val="18"/>
          <w:color w:val="auto"/>
        </w:rPr>
        <w:t>has served on the board of directors since October 3, 2022, and is currently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 Independent Director. Mr. Greig is the founder of ACAC Innovation Pty Ltd and its Senior Director and previously worked for Bechtel Group, Inc. (“Bechtel”) for 34 years, leading its global mining business for 13 years. In addition, Mr. Greig was managing director for its Australian operations and was group Human Resources Manager in his last assignment. Mr. Greig was also Senior Vice President and Director of Bechtel. From 2001 to 2006, Mr. Greig served as President of Bechtel’s Mining &amp; Metals global business unit, prior to becoming Project Director for the Brass LNG Project in Nigeria. As President of Mining &amp; Metals, Mr. Greig was responsible for strategy, planning, execution and project delivery for the global business unit which peaked at 55,000 personnel across 14 countries and over $5 billion in annual revenue. Mr. Greig was elected as Principal Vice President in 1997 and as Senior Vice President in 2001. He was a member of Bechtel Group’s Board of Directors from 2011 until leaving Bechtel. Mr. Greig received a GDip in Business from Monash University Melbourne. Mr. Greig’s qualifications to be on the board include his long career in project development, overseeing major capital projects, his role leading the global HR team at Bechtel and his long tenure on Bechtel’s Board of Directors.</w:t>
      </w:r>
    </w:p>
    <w:p>
      <w:pPr>
        <w:spacing w:after="0" w:line="12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b w:val="1"/>
          <w:bCs w:val="1"/>
          <w:i w:val="1"/>
          <w:iCs w:val="1"/>
          <w:color w:val="auto"/>
        </w:rPr>
        <w:t xml:space="preserve">Andrei Karkar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and served as a director of DeepGreen since March 2019. Mr. Karkar currently serves as the chairperson of the compensation committee. Since 2014,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110" w:lineRule="exact"/>
        <w:rPr>
          <w:sz w:val="20"/>
          <w:szCs w:val="20"/>
          <w:color w:val="auto"/>
        </w:rPr>
      </w:pPr>
    </w:p>
    <w:p>
      <w:pPr>
        <w:jc w:val="both"/>
        <w:ind w:left="1240" w:right="439" w:firstLine="360"/>
        <w:spacing w:after="0" w:line="318" w:lineRule="auto"/>
        <w:rPr>
          <w:sz w:val="20"/>
          <w:szCs w:val="20"/>
          <w:color w:val="auto"/>
        </w:rPr>
      </w:pPr>
      <w:r>
        <w:rPr>
          <w:rFonts w:ascii="Arial" w:cs="Arial" w:eastAsia="Arial" w:hAnsi="Arial"/>
          <w:sz w:val="17"/>
          <w:szCs w:val="17"/>
          <w:b w:val="1"/>
          <w:bCs w:val="1"/>
          <w:i w:val="1"/>
          <w:iCs w:val="1"/>
          <w:color w:val="auto"/>
        </w:rPr>
        <w:t xml:space="preserve">Sheila Khama </w:t>
      </w:r>
      <w:r>
        <w:rPr>
          <w:rFonts w:ascii="Arial" w:cs="Arial" w:eastAsia="Arial" w:hAnsi="Arial"/>
          <w:sz w:val="17"/>
          <w:szCs w:val="17"/>
          <w:color w:val="auto"/>
        </w:rPr>
        <w:t>has served on our board of directors since the closing of the Business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September 2021. Ms. Khama is a consultant, policy advisor and former mining industry executive with</w:t>
      </w:r>
    </w:p>
    <w:p>
      <w:pPr>
        <w:spacing w:after="0" w:line="3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2" w:lineRule="auto"/>
        <w:rPr>
          <w:sz w:val="20"/>
          <w:szCs w:val="20"/>
          <w:color w:val="auto"/>
        </w:rPr>
      </w:pPr>
      <w:r>
        <w:rPr>
          <w:rFonts w:ascii="Arial" w:cs="Arial" w:eastAsia="Arial" w:hAnsi="Arial"/>
          <w:sz w:val="18"/>
          <w:szCs w:val="18"/>
          <w:color w:val="auto"/>
        </w:rPr>
        <w:t>expertise in corporate governance and sustainable development of minerals, oil and gas resources. Ms. Khama currently serves as the chairperson of the sustainability and innovation committee. Since April 2019, Ms. Khama has been an independent consultant on oil and gas governance and policy reforms for SK Consulting Pty, Ltd. From November 2016 to 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22" w:lineRule="exact"/>
        <w:rPr>
          <w:sz w:val="20"/>
          <w:szCs w:val="20"/>
          <w:color w:val="auto"/>
        </w:rPr>
      </w:pPr>
    </w:p>
    <w:p>
      <w:pPr>
        <w:jc w:val="both"/>
        <w:ind w:left="1240" w:right="419" w:firstLine="360"/>
        <w:spacing w:after="0" w:line="269" w:lineRule="auto"/>
        <w:rPr>
          <w:sz w:val="20"/>
          <w:szCs w:val="20"/>
          <w:color w:val="auto"/>
        </w:rPr>
      </w:pPr>
      <w:r>
        <w:rPr>
          <w:rFonts w:ascii="Arial" w:cs="Arial" w:eastAsia="Arial" w:hAnsi="Arial"/>
          <w:sz w:val="17"/>
          <w:szCs w:val="17"/>
          <w:b w:val="1"/>
          <w:bCs w:val="1"/>
          <w:i w:val="1"/>
          <w:iCs w:val="1"/>
          <w:color w:val="auto"/>
        </w:rPr>
        <w:t xml:space="preserve">Christian Madsbjerg </w:t>
      </w:r>
      <w:r>
        <w:rPr>
          <w:rFonts w:ascii="Arial" w:cs="Arial" w:eastAsia="Arial" w:hAnsi="Arial"/>
          <w:sz w:val="17"/>
          <w:szCs w:val="17"/>
          <w:color w:val="auto"/>
        </w:rPr>
        <w:t>has served on our board of directors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Combination in September 2021. Mr. Madsbjerg currently serves as the chairperson of the nominating and corporate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Arial" w:cs="Arial" w:eastAsia="Arial" w:hAnsi="Arial"/>
          <w:sz w:val="17"/>
          <w:szCs w:val="17"/>
          <w:i w:val="1"/>
          <w:iCs w:val="1"/>
          <w:color w:val="auto"/>
        </w:rPr>
        <w:t>The 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Financial Times, The Washington Post, Der Spiegel</w:t>
      </w:r>
      <w:r>
        <w:rPr>
          <w:rFonts w:ascii="Arial" w:cs="Arial" w:eastAsia="Arial" w:hAnsi="Arial"/>
          <w:sz w:val="17"/>
          <w:szCs w:val="17"/>
          <w:color w:val="auto"/>
        </w:rPr>
        <w:t>, and</w:t>
      </w:r>
      <w:r>
        <w:rPr>
          <w:rFonts w:ascii="Arial" w:cs="Arial" w:eastAsia="Arial" w:hAnsi="Arial"/>
          <w:sz w:val="17"/>
          <w:szCs w:val="17"/>
          <w:i w:val="1"/>
          <w:iCs w:val="1"/>
          <w:color w:val="auto"/>
        </w:rPr>
        <w:t xml:space="preserve"> Bloomberg Businessweek</w:t>
      </w:r>
      <w:r>
        <w:rPr>
          <w:rFonts w:ascii="Arial" w:cs="Arial" w:eastAsia="Arial" w:hAnsi="Arial"/>
          <w:sz w:val="17"/>
          <w:szCs w:val="17"/>
          <w:color w:val="auto"/>
        </w:rPr>
        <w:t>. His latest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book, </w:t>
      </w:r>
      <w:r>
        <w:rPr>
          <w:rFonts w:ascii="Arial" w:cs="Arial" w:eastAsia="Arial" w:hAnsi="Arial"/>
          <w:sz w:val="17"/>
          <w:szCs w:val="17"/>
          <w:i w:val="1"/>
          <w:iCs w:val="1"/>
          <w:color w:val="auto"/>
        </w:rPr>
        <w:t>Sensemaking: The Power of the Humanities in the Age of the Algorithm</w:t>
      </w:r>
      <w:r>
        <w:rPr>
          <w:rFonts w:ascii="Arial" w:cs="Arial" w:eastAsia="Arial" w:hAnsi="Arial"/>
          <w:sz w:val="17"/>
          <w:szCs w:val="17"/>
          <w:color w:val="auto"/>
        </w:rPr>
        <w:t xml:space="preserve">, was published in the spring of 2017 by Hachette Book Group. His book </w:t>
      </w:r>
      <w:r>
        <w:rPr>
          <w:rFonts w:ascii="Arial" w:cs="Arial" w:eastAsia="Arial" w:hAnsi="Arial"/>
          <w:sz w:val="17"/>
          <w:szCs w:val="17"/>
          <w:i w:val="1"/>
          <w:iCs w:val="1"/>
          <w:color w:val="auto"/>
        </w:rPr>
        <w:t>The Moment of Clarity</w:t>
      </w:r>
      <w:r>
        <w:rPr>
          <w:rFonts w:ascii="Arial" w:cs="Arial" w:eastAsia="Arial" w:hAnsi="Arial"/>
          <w:sz w:val="17"/>
          <w:szCs w:val="17"/>
          <w:color w:val="auto"/>
        </w:rPr>
        <w:t>, co-written with ReD partner Mikkel B. Rasmussen, was published by Harvard Business Press in 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9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b w:val="1"/>
          <w:bCs w:val="1"/>
          <w:i w:val="1"/>
          <w:iCs w:val="1"/>
          <w:color w:val="auto"/>
        </w:rPr>
        <w:t xml:space="preserve">Brendan May </w:t>
      </w:r>
      <w:r>
        <w:rPr>
          <w:rFonts w:ascii="Arial" w:cs="Arial" w:eastAsia="Arial" w:hAnsi="Arial"/>
          <w:sz w:val="18"/>
          <w:szCs w:val="18"/>
          <w:color w:val="auto"/>
        </w:rPr>
        <w:t>has served on our board of directors since May 2024. Prior to joining the board,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a consultant to us from February to May 2024. Mr. May is chairman and founder of Robertsbridge, a leading global sustainability consultancy he formed in 2010 with a number of prominent environmental thinkers, which has also been providing consulting services to the Company since April 2023. He was previously a managing director of Weber Shandwick’s global sustainability practice for five years. From 1999 to 2004, Mr. May worked in oceans sustainability as Chief Executive of the Marine Stewardship Council (MSC). Mr. May is a former contributing editor to Ethical Corporation and the former European chairman of the Rainforest Alliance. Mr. May holds an M.A. from the University of Oxford, where he read Philosophy, Politics &amp; Economics. Mr. May’s qualifications to serve on the board of directors include more than 25 years in the sustainability world, first as an NGO campaigner, then as a corporate advisor. He and his company have worked all over the world with many leading companies and brands including Nestle, Unilever, Cargill, Sainsbury’s, Tesco, Avantium, Everland, Alliance Boots, Ovo Energy, APRIL, Asia Pulp &amp; Paper (APP), Golden Agri Resources (GAR), IOI Group, Astra International, Sime Darby Plantation, Heathrow Airport Ltd, Drax Group Plc, Primark, Total Energies, Live Nation &amp; Warner Music Group. He recently stepped down after four years as Chairman of Cargill’s Forest &amp; Land Use Sustainability Advisory Panel. He is a regular commentator on corporate responsibility and sustainability issues. In 2019, his firm was acquired by Stonehaven, a London based strategy firm, where he is also Deputy Chairman. Mr. May’s qualifications to serve on the board of directors include his significant experience in advising on sustainability matters and his experience as an advisor to public and private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Stephen Jurvetson </w:t>
      </w:r>
      <w:r>
        <w:rPr>
          <w:rFonts w:ascii="Arial" w:cs="Arial" w:eastAsia="Arial" w:hAnsi="Arial"/>
          <w:sz w:val="18"/>
          <w:szCs w:val="18"/>
          <w:color w:val="auto"/>
        </w:rPr>
        <w:t>has served on our board of directors as Vice Chairman and as a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 to our Chief Executive Officer since April 9, 2024. Mr. Jurvetson is a co-founder of Future Ventures, a venture capital firm formed in 2018, and previously was a Managing Director of Draper Fisher Jurvetson, a venture capital firm, from 1995 to 2017. Mr. Jurvetson sits on the SpaceX Board of Directors and was a member of the Board of Director of Tesla from 2006 to 2020. Before co-founding Future Ventures and Draper Fisher Jurvetson, he was a Research and Development Engineer at Hewlett-Packard and he previously worked in product marketing at Apple and NeXT and management consulting with Bain &amp; Company. Mr. Jurvetson holds B.S. and M.S. degrees in electrical engineering from Stanford University and an M.B.A. from the Stanford Business School. Mr. Jurvetson’s qualifications to serve on the board of directors include his experience as an advisor, investor and board member in public and private companies. In addition, his experience as a venture capitalist with a focus on founder-led, mission-driven companies at the cutting edge of disruptive technology and new industry formation will provide us valuable guidance and experience.</w:t>
      </w:r>
    </w:p>
    <w:p>
      <w:pPr>
        <w:spacing w:after="0" w:line="111"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There are no family relationships, as such term is defined in Item 401(d) of Regulation S-K, between or among any of our directors or executive officers.</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4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the following director nominees are “independent” as that term is defined under the applicable rules and regulations of the SEC and the listing requirements and rules of the Nasdaq: Andrew Hall, Andrew Greig, Sheila Khama, Christian Madsbjerg and Andrei Karkar, representing five (5) of the Company’s eight (8) director nominees. Andrew Greig serves as the Lead Independent Director of the board of directors. Current director Amelia Kinahoi Siamomua was also determined to be “independent”. Ms. Kinahoi Siamomua is not up for re-election at the Annual Meeting.</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 of our Board of Directors and Meetings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142"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During the year ended December 31, 2024, there were eight meetings of our board of directors, and the various committees of our board of directors met a total of 21 times. No director attended fewer than 75% of the total number of meetings of our board of directors and of committees of our board of directors on which he or she served during fiscal 2024. Each member of our board of directors is strongly encouraged but is not required to attend each annual meeting of our shareholders. All directors attended our annual meeting of shareholders held in 2024.</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audit committee met five times during fiscal 2024 and acted by written consent outside of its meetings. Our audit committee consists of Andrew Hall, who serves as the chairperson, Christian Madsbjerg and Sheila Khama. Each member of the audit committee qualifies as an independent director under the Nasdaq Listing Rules and the independence requirements of Rule 10A-3 under the Securities Exchange Act of 1934, as amended.</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board of directors has determined that Mr. Hall qualifies as an “audit committee financial expert”, as such term is defined in Item 407(d)(5) of Regulation S-K and possesses financial sophistication, as defined under the rules of Nasdaq.</w:t>
      </w:r>
    </w:p>
    <w:p>
      <w:pPr>
        <w:spacing w:after="0" w:line="90"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of directors in overseeing and monitoring</w:t>
      </w:r>
    </w:p>
    <w:p>
      <w:pPr>
        <w:spacing w:after="0" w:line="2" w:lineRule="exact"/>
        <w:rPr>
          <w:sz w:val="20"/>
          <w:szCs w:val="20"/>
          <w:color w:val="auto"/>
        </w:rPr>
      </w:pPr>
    </w:p>
    <w:p>
      <w:pPr>
        <w:jc w:val="both"/>
        <w:ind w:left="1240" w:right="419" w:firstLine="8"/>
        <w:spacing w:after="0" w:line="250" w:lineRule="auto"/>
        <w:tabs>
          <w:tab w:leader="none" w:pos="15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and integrity of the financial statements, (2) compliance with legal and regulatory requirements, (3) our independent registered public accounting firm’s qualifications and independence,</w:t>
      </w:r>
    </w:p>
    <w:p>
      <w:pPr>
        <w:ind w:left="1240" w:right="439" w:firstLine="8"/>
        <w:spacing w:after="0" w:line="266" w:lineRule="auto"/>
        <w:tabs>
          <w:tab w:leader="none" w:pos="15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(5) the performance of our independent registered public accounting firm.</w:t>
      </w: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 xml:space="preserve">The board of directors has adopted a written charter for the audit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6" w:lineRule="exact"/>
        <w:rPr>
          <w:sz w:val="20"/>
          <w:szCs w:val="20"/>
          <w:color w:val="auto"/>
        </w:rPr>
      </w:pPr>
    </w:p>
    <w:p>
      <w:pPr>
        <w:jc w:val="both"/>
        <w:ind w:left="1240" w:right="439" w:firstLine="360"/>
        <w:spacing w:after="0" w:line="252" w:lineRule="auto"/>
        <w:rPr>
          <w:sz w:val="20"/>
          <w:szCs w:val="20"/>
          <w:color w:val="auto"/>
        </w:rPr>
      </w:pPr>
      <w:r>
        <w:rPr>
          <w:rFonts w:ascii="Arial" w:cs="Arial" w:eastAsia="Arial" w:hAnsi="Arial"/>
          <w:sz w:val="18"/>
          <w:szCs w:val="18"/>
          <w:color w:val="auto"/>
        </w:rPr>
        <w:t>Our compensation committee met two times during the year ended December 31, 2024 and acted by written consent outside of its meetings. Our compensation committee consists of Andrei Karkar, who serves as the chairperson, and Andrew Greig. All members of the compensation committee qualify as independent under the definition promulgated by Nasdaq.</w:t>
      </w:r>
    </w:p>
    <w:p>
      <w:pPr>
        <w:spacing w:after="0" w:line="103" w:lineRule="exact"/>
        <w:rPr>
          <w:sz w:val="20"/>
          <w:szCs w:val="20"/>
          <w:color w:val="auto"/>
        </w:rPr>
      </w:pPr>
    </w:p>
    <w:p>
      <w:pPr>
        <w:jc w:val="both"/>
        <w:ind w:left="1240" w:right="439" w:firstLine="360"/>
        <w:spacing w:after="0" w:line="246"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w:t>
      </w:r>
    </w:p>
    <w:p>
      <w:pPr>
        <w:spacing w:after="0" w:line="3" w:lineRule="exact"/>
        <w:rPr>
          <w:sz w:val="20"/>
          <w:szCs w:val="20"/>
          <w:color w:val="auto"/>
        </w:rPr>
      </w:pPr>
    </w:p>
    <w:p>
      <w:pPr>
        <w:ind w:left="1240" w:right="419" w:firstLine="8"/>
        <w:spacing w:after="0" w:line="250" w:lineRule="auto"/>
        <w:tabs>
          <w:tab w:leader="none" w:pos="15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the compensation committee report, if any, required to be included in our proxy statement under the rules and regulations of the SEC.</w:t>
      </w:r>
    </w:p>
    <w:p>
      <w:pPr>
        <w:spacing w:after="0" w:line="10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 xml:space="preserve">The board of directors has adopted a written charter for the compensation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94"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has adopted the following processes and procedures for the consideration and determination of executive and director compensation:</w:t>
      </w:r>
    </w:p>
    <w:p>
      <w:pPr>
        <w:spacing w:after="0" w:line="46" w:lineRule="exact"/>
        <w:rPr>
          <w:sz w:val="20"/>
          <w:szCs w:val="20"/>
          <w:color w:val="auto"/>
        </w:rPr>
      </w:pPr>
    </w:p>
    <w:p>
      <w:pPr>
        <w:jc w:val="both"/>
        <w:ind w:left="1780" w:right="419" w:hanging="172"/>
        <w:spacing w:after="0" w:line="254"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committee’s independent compensation consultant during the year ended December 31, 2024 was Frederic W. Cook &amp; Co. (“FW Cook”). FW Cook is engaged by, and reports directly to, the compensation committee, which has the sole authority to hire or fire FW Cook and to approve fee arrangements for work performed. FW Cook assists the compensation committee in fulfilling its responsibilities under its charter, including advising on proposed compensation packages for executive officers, compensation program design and market practices generally. The compensation committee has authorized FW Cook to interact with management on behalf of the compensation committee, as needed in connection with advising the compensation committee, and FW Cook is included in discussions with management and, when applicable, the compensation committee’s outside legal counsel on matters being brought to the compensation committee for consideration.</w:t>
      </w:r>
    </w:p>
    <w:p>
      <w:pPr>
        <w:spacing w:after="0" w:line="7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the compensation committee’s policy that the chair of the compensation committee or the full compensation committee pre-approve any additional services provided to management by our independent compensation consultant. In the year ended December 31, 2024, FW Cook only did work for the compensation committee. The compensation committee has assessed the independence of FW Cook pursuant to SEC rules and concluded that FW Cook’s work for the compensation committee does not raise any conflict of interest.</w:t>
      </w:r>
    </w:p>
    <w:p>
      <w:pPr>
        <w:spacing w:after="0" w:line="10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compensation committee also administers our clawback policy described below.</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Our nominating and corporate governance committee met two times during the year ended December 31, 2024 and acted by written consent outside of its meetings. 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w:t>
      </w:r>
    </w:p>
    <w:p>
      <w:pPr>
        <w:spacing w:after="0" w:line="4" w:lineRule="exact"/>
        <w:rPr>
          <w:sz w:val="20"/>
          <w:szCs w:val="20"/>
          <w:color w:val="auto"/>
        </w:rPr>
      </w:pPr>
    </w:p>
    <w:p>
      <w:pPr>
        <w:jc w:val="both"/>
        <w:ind w:left="1240" w:right="419" w:firstLine="8"/>
        <w:spacing w:after="0" w:line="261" w:lineRule="auto"/>
        <w:tabs>
          <w:tab w:leader="none" w:pos="1517"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w:t>
      </w:r>
    </w:p>
    <w:p>
      <w:pPr>
        <w:spacing w:after="0" w:line="3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evaluation of the board of directors and management and (6) handling such other matters that are specifically delegated to the committee by the board of directors from time to time.</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90"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Generally, our nominating and corporate governance committee considers candidates recommended by shareholders as well as from other sources such as other directors or officers, third party search firms or other appropriate sources. Once identified, the nominating and corporate governance committee will evaluate a candidate’s qualifications in accordance with our nominating and corporate governance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our board of directors, and concern for the long-term interests of our shareholders. The nominating and corporate governance committee has not adopted a formal diversity policy in connection with the consideration of director nominations or the selection of nominees. However,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118" w:lineRule="exact"/>
        <w:rPr>
          <w:sz w:val="20"/>
          <w:szCs w:val="20"/>
          <w:color w:val="auto"/>
        </w:rPr>
      </w:pPr>
    </w:p>
    <w:p>
      <w:pPr>
        <w:jc w:val="both"/>
        <w:ind w:left="1240" w:right="419" w:firstLine="360"/>
        <w:spacing w:after="0" w:line="280" w:lineRule="auto"/>
        <w:rPr>
          <w:sz w:val="20"/>
          <w:szCs w:val="20"/>
          <w:color w:val="auto"/>
        </w:rPr>
      </w:pPr>
      <w:r>
        <w:rPr>
          <w:rFonts w:ascii="Arial" w:cs="Arial" w:eastAsia="Arial" w:hAnsi="Arial"/>
          <w:sz w:val="17"/>
          <w:szCs w:val="17"/>
          <w:color w:val="auto"/>
        </w:rPr>
        <w:t>In general, persons recommended by shareholders will be considered in accordance with our nominating and corporate governance committee’s written charter. Any such recommendation should be made in writing to the nominating and corporate governance committee, care of our Corporate Secretary at our principal office and should be accompanied by the following information concerning each recommending shareholder and the beneficial owner</w:t>
      </w:r>
      <w:r>
        <w:rPr>
          <w:rFonts w:ascii="Arial" w:cs="Arial" w:eastAsia="Arial" w:hAnsi="Arial"/>
          <w:sz w:val="17"/>
          <w:szCs w:val="17"/>
          <w:b w:val="1"/>
          <w:bCs w:val="1"/>
          <w:color w:val="auto"/>
        </w:rPr>
        <w:t>,</w:t>
      </w:r>
      <w:r>
        <w:rPr>
          <w:rFonts w:ascii="Arial" w:cs="Arial" w:eastAsia="Arial" w:hAnsi="Arial"/>
          <w:sz w:val="17"/>
          <w:szCs w:val="17"/>
          <w:color w:val="auto"/>
        </w:rPr>
        <w:t xml:space="preserve"> if any, on whose behalf the nomination is made:</w:t>
      </w:r>
    </w:p>
    <w:p>
      <w:pPr>
        <w:spacing w:after="0" w:line="61" w:lineRule="exact"/>
        <w:rPr>
          <w:sz w:val="20"/>
          <w:szCs w:val="20"/>
          <w:color w:val="auto"/>
        </w:rPr>
      </w:pPr>
    </w:p>
    <w:p>
      <w:pPr>
        <w:ind w:left="1780" w:hanging="172"/>
        <w:spacing w:after="0"/>
        <w:tabs>
          <w:tab w:leader="none" w:pos="1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information relating to such person that would be required to be disclosed in a proxy statement;</w:t>
      </w:r>
    </w:p>
    <w:p>
      <w:pPr>
        <w:spacing w:after="0" w:line="142" w:lineRule="exact"/>
        <w:rPr>
          <w:rFonts w:ascii="Arial" w:cs="Arial" w:eastAsia="Arial" w:hAnsi="Arial"/>
          <w:sz w:val="17"/>
          <w:szCs w:val="17"/>
          <w:color w:val="auto"/>
        </w:rPr>
      </w:pPr>
    </w:p>
    <w:p>
      <w:pPr>
        <w:ind w:left="1780" w:right="41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shareholder and any other proponent, including a description of any derivative transactions in the Company’s securities;</w:t>
      </w:r>
    </w:p>
    <w:p>
      <w:pPr>
        <w:spacing w:after="0" w:line="71"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description of certain arrangements and understandings between the proposing shareholder and any beneficial owner and any other person in connection with such shareholder nomination; and</w:t>
      </w:r>
    </w:p>
    <w:p>
      <w:pPr>
        <w:spacing w:after="0" w:line="76"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statement whether or not either such shareholder or beneficial owner intends to deliver a proxy statement and form of proxy to holders of voting shares sufficient to carry the proposal.</w:t>
      </w:r>
    </w:p>
    <w:p>
      <w:pPr>
        <w:spacing w:after="0" w:line="85"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58" w:lineRule="exact"/>
        <w:rPr>
          <w:sz w:val="20"/>
          <w:szCs w:val="20"/>
          <w:color w:val="auto"/>
        </w:rPr>
      </w:pPr>
    </w:p>
    <w:p>
      <w:pPr>
        <w:ind w:left="1780" w:hanging="172"/>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30"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58"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information about any other security holder of the Company who supports the proposed nominee;</w:t>
      </w:r>
    </w:p>
    <w:p>
      <w:pPr>
        <w:spacing w:after="0" w:line="71"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all relationships between the proposed nominee and the recommending shareholder or any beneficial owner, including any agreements or understandings regarding the nomination; and</w:t>
      </w:r>
    </w:p>
    <w:p>
      <w:pPr>
        <w:spacing w:after="0" w:line="76"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disclosures relating to shareholder nominees for directors, including completed questionnaires and disclosures required by our Articles.</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a shareholder wishes to nominate a candidate for election to our board of directors at a future annual general meeting of our shareholders, it must follow the procedures described in the Articles and in “Shareholder Proposals and Nominations for Director” at the end of this proxy statement.</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156"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Our sustainability and innovation committee met four times during the year ended December 31, 2024. Our sustainability and innovation committee currently consists of Brendan May, who serves as the chairperson, Christian Madsbjerg and Amelia Kinahoi Siamomua. Ms. Kinahoi Siamomua is not up for re-election as director at the Annual Meeting. We expect Sheila Khama will join the sustainability and innovation committee upon election of directors at the Annual Meeting.</w:t>
      </w:r>
    </w:p>
    <w:p>
      <w:pPr>
        <w:spacing w:after="0" w:line="109"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Board Leadership Structure</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positions of chairman of the board of directors and chief executive officer of the Company have historically been combined, and Gerard Barron currently holds both positions. We believe this board leadership structure is appropriate because of the efficiencies and institutional history with the positions held by Mr. Barron as the former chief executive officer and chairman of DeepGreen and of the subsequent combined entity following the closing of the Business Combination. Mr. Barron possess the detailed knowledge of our day-to-day operations and this has both informed and supported the decision-making processes of the board of directors as a whole.</w:t>
      </w:r>
    </w:p>
    <w:p>
      <w:pPr>
        <w:spacing w:after="0" w:line="10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We believe we have a strong governance structure in place, including the appointment of a Lead Independent Director (currently Mr. Greig) as well as five (5) other independent director nominees, which seek to ensure the powers and duties of the dual role are handled responsibly. Furthermore, consistent with Nasdaq listing requirements, the independent directors regularly have the opportunity to meet in executive sessions without Messrs. Barron and Jurvetson in attendance.</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Mr. Jurvetson also serves as vice chairman of the board of directors and has a broad range of duties and responsibilities aimed at supporting the chairman of the board of directors and ensuring the effective functioning of our organization.</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Role in Risk Oversight</w:t>
      </w:r>
    </w:p>
    <w:p>
      <w:pPr>
        <w:spacing w:after="0" w:line="158"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(including cybersecurity) and the appropriate mitigating factors. In addition, the board of directors will receive periodic detailed operating performance reviews from management.</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Governance Guidelines</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w:t>
      </w: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2" w:lineRule="auto"/>
        <w:rPr>
          <w:sz w:val="20"/>
          <w:szCs w:val="20"/>
          <w:color w:val="auto"/>
        </w:rPr>
      </w:pPr>
      <w:r>
        <w:rPr>
          <w:rFonts w:ascii="Arial" w:cs="Arial" w:eastAsia="Arial" w:hAnsi="Arial"/>
          <w:sz w:val="18"/>
          <w:szCs w:val="18"/>
          <w:color w:val="auto"/>
        </w:rPr>
        <w:t>compensation, director orientation and continuing education, evaluation of our chief executive officer management succession planning. A copy of our corporate governance guidelines is posted on our website at www.metals.co under Investors — Governance — Corporate Governance Overview —  Governance Documents.</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Shareholder Communications to our Board of Directors</w:t>
      </w:r>
    </w:p>
    <w:p>
      <w:pPr>
        <w:spacing w:after="0" w:line="158" w:lineRule="exact"/>
        <w:rPr>
          <w:sz w:val="20"/>
          <w:szCs w:val="20"/>
          <w:color w:val="auto"/>
        </w:rPr>
      </w:pPr>
    </w:p>
    <w:p>
      <w:pPr>
        <w:jc w:val="both"/>
        <w:ind w:left="1240" w:right="419" w:firstLine="360"/>
        <w:spacing w:after="0" w:line="232" w:lineRule="auto"/>
        <w:rPr>
          <w:sz w:val="20"/>
          <w:szCs w:val="20"/>
          <w:color w:val="auto"/>
        </w:rPr>
      </w:pPr>
      <w:r>
        <w:rPr>
          <w:rFonts w:ascii="Arial" w:cs="Arial" w:eastAsia="Arial" w:hAnsi="Arial"/>
          <w:sz w:val="18"/>
          <w:szCs w:val="18"/>
          <w:color w:val="auto"/>
        </w:rPr>
        <w:t>Generally, shareholders who have questions or concerns should contact our Investor Relations department at investors@metals.co. However, any shareholders who wish to address questions regarding our business directly with our board of directors, or any individual director, should direct his or her questions in writing to the chairperson of our board of directors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w:t>
      </w:r>
    </w:p>
    <w:p>
      <w:pPr>
        <w:spacing w:after="0" w:line="79" w:lineRule="exact"/>
        <w:rPr>
          <w:sz w:val="20"/>
          <w:szCs w:val="20"/>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surveys;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In addition, any material that is unduly hostile, threatening, or illegal in nature may be excluded, in which case it will be made available to any outside director upon request.</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Insider Trading Policy and Prohibition on Hedging</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We have an insider trading policy that, among other things, governs the buying and selling of our securities by all of our personnel, including directors, officers, employees and consultants and certain other covered persons.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The policy includes quarterly and other trading blackouts and sets forth the procedures covered persons must follow before transacting in our securities, including pre-clearance of all transactions by certain persons, as well as members of their households.</w:t>
      </w:r>
    </w:p>
    <w:p>
      <w:pPr>
        <w:spacing w:after="0" w:line="110"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Although we have not adopted an insider trading policy governing our purchase, sale, and/or other disposition of our securities, as part of the oversight of risk, our board of directors, or one or more of its committees, approves any transaction, plan or arrangement by or with us with respect to our securities on a case-by-case basis, and as part of their procedures to review and approve any such transaction, plan or arrangement, our board of directors or committee consults with legal counsel as needed to help ensure our compliance with applicable insider trading laws, rules and regulations, and listing standards.</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addition, our insider trading policy explicitly prohibits the engagement of our employees, contracts, directors and officers to engage in short-term or speculative transactions involving our securities, which includes:</w:t>
      </w:r>
    </w:p>
    <w:p>
      <w:pPr>
        <w:spacing w:after="0" w:line="54" w:lineRule="exact"/>
        <w:rPr>
          <w:sz w:val="20"/>
          <w:szCs w:val="20"/>
          <w:color w:val="auto"/>
        </w:rPr>
      </w:pPr>
    </w:p>
    <w:p>
      <w:pPr>
        <w:ind w:left="1780" w:right="419" w:hanging="172"/>
        <w:spacing w:after="0" w:line="287" w:lineRule="auto"/>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trading in our securities on a short-term basis (any of our common shares purchased in the open market must be held for a minimum of six months and ideally longer);</w:t>
      </w:r>
    </w:p>
    <w:p>
      <w:pPr>
        <w:spacing w:after="0" w:line="44"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purchasing of financial instruments (including prepaid variable forward contracts, equity swaps, puts, calls, straddles, collars and exchange funds) that are designed to hedge or offset any decrease in the market value of our equity securities and entering into other transactions with the same economic effect, including short sales;</w:t>
      </w:r>
    </w:p>
    <w:p>
      <w:pPr>
        <w:spacing w:after="0" w:line="54"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borrowing or other arrangements involving pledge of securities; and</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a security future that establishes a position that increases in value as the value of the underlying equity security decreases.</w:t>
      </w: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A copy of our insider trading policy is filed as an exhibit to our Annual Report on Form 10-K for the year ended December 31, 2024 as filed with the SEC.</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Ownership Guidelines</w:t>
      </w:r>
    </w:p>
    <w:p>
      <w:pPr>
        <w:spacing w:after="0" w:line="144"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We have stock ownership guidelines for non-employee directors and our senior executive officers. Our stock ownership guidelines require that within five years of their hire date (or date of promotion to executive officer), non-employee directors and executive officers acquire and maintain ownership of our common shares at different multiples of their annual board retainer or annual base salary depending upon position. Common shares owned include shares owned directly, shares owned indirectly (e.g., by a spouse or trust), shares represented by amounts invested in a 401(k) plan or deferred compensation plan we maintain, time-vested restricted stock, restricted stock units or phantom stock, but exclude unexercised options and unearned performance shares. Each non-employee director has an ownership requirement of two (2) times their annual retainer. The Chief Executive Officer has an ownership requirement of three (3) times base salary. The Chief Financial Officer has an ownership requirement of one (1) time base salary. The remaining officers covered by the policy have ownership requirements of one half (1/2) times their base salary.</w:t>
      </w:r>
    </w:p>
    <w:p>
      <w:pPr>
        <w:spacing w:after="0" w:line="118"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As of December 31, 2024, all of our non-employee directors and each executive officer covered by the policy met their ownership thresholds or are within the initial five-year grace period to meet their ownership threshold.</w:t>
      </w:r>
    </w:p>
    <w:p>
      <w:pPr>
        <w:spacing w:after="0" w:line="9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may revoke or modify these guidelines at any time.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Clawback Policy</w:t>
      </w:r>
    </w:p>
    <w:p>
      <w:pPr>
        <w:spacing w:after="0" w:line="14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We believe that it is in our best interests and that of our shareholders to create and maintain a culture that emphasizes integrity and accountability and therefore, in compliance with SEC and Nasdaq rules, we adopted a clawback policy that is administered by the compensation committee and which provides for the recoupment of certain executive compensation in the event of an accounting restatement resulting from material noncompliance with financial reporting requirements under the federal securities laws. Our clawback policy provides for the mandatory reimbursement or recovery, from current and former officers, of excess incentive-based compensation that was erroneously awarded during the three years preceding the date that we are required to prepare certain accounting restatements of our financial statements.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The following table sets forth certain information as of April 3, 2025 regarding our executive officers.</w:t>
      </w:r>
    </w:p>
    <w:p>
      <w:pPr>
        <w:spacing w:after="0" w:line="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We have employment agreements with executive officers.</w:t>
      </w:r>
    </w:p>
    <w:p>
      <w:pPr>
        <w:sectPr>
          <w:pgSz w:w="11900" w:h="16838" w:orient="portrait"/>
          <w:cols w:equalWidth="0" w:num="1">
            <w:col w:w="9879"/>
          </w:cols>
          <w:pgMar w:left="580" w:top="97" w:right="1440" w:bottom="1440" w:gutter="0" w:footer="0" w:header="0"/>
        </w:sectPr>
      </w:pPr>
    </w:p>
    <w:p>
      <w:pPr>
        <w:spacing w:after="0" w:line="20" w:lineRule="exact"/>
        <w:rPr>
          <w:sz w:val="20"/>
          <w:szCs w:val="20"/>
          <w:color w:val="auto"/>
        </w:rPr>
      </w:pPr>
    </w:p>
    <w:tbl>
      <w:tblPr>
        <w:tblLayout w:type="fixed"/>
        <w:tblInd w:w="1240" w:type="dxa"/>
        <w:tblCellMar>
          <w:top w:w="0" w:type="dxa"/>
          <w:left w:w="0" w:type="dxa"/>
          <w:bottom w:w="0" w:type="dxa"/>
          <w:right w:w="0" w:type="dxa"/>
        </w:tblCellMar>
      </w:tblPr>
      <w:tr>
        <w:trPr>
          <w:trHeight w:val="334"/>
        </w:trPr>
        <w:tc>
          <w:tcPr>
            <w:tcW w:w="1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4"/>
          </w:tcPr>
          <w:p>
            <w:pPr>
              <w:jc w:val="center"/>
              <w:ind w:left="293"/>
              <w:spacing w:after="0"/>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Age</w:t>
            </w:r>
            <w:r>
              <w:rPr>
                <w:rFonts w:ascii="Arial" w:cs="Arial" w:eastAsia="Arial" w:hAnsi="Arial"/>
                <w:sz w:val="14"/>
                <w:szCs w:val="14"/>
                <w:b w:val="1"/>
                <w:bCs w:val="1"/>
                <w:color w:val="auto"/>
              </w:rPr>
              <w:t xml:space="preserve"> ​ ​</w:t>
            </w:r>
          </w:p>
        </w:tc>
        <w:tc>
          <w:tcPr>
            <w:tcW w:w="520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1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420" w:type="dxa"/>
            <w:vAlign w:val="bottom"/>
            <w:tcBorders>
              <w:top w:val="single" w:sz="8" w:color="auto"/>
            </w:tcBorders>
          </w:tcPr>
          <w:p>
            <w:pPr>
              <w:ind w:left="320"/>
              <w:spacing w:after="0" w:line="189" w:lineRule="exact"/>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line="189" w:lineRule="exact"/>
              <w:rPr>
                <w:sz w:val="20"/>
                <w:szCs w:val="20"/>
                <w:color w:val="auto"/>
              </w:rPr>
            </w:pPr>
            <w:r>
              <w:rPr>
                <w:rFonts w:ascii="Arial" w:cs="Arial" w:eastAsia="Arial" w:hAnsi="Arial"/>
                <w:sz w:val="18"/>
                <w:szCs w:val="18"/>
                <w:b w:val="1"/>
                <w:bCs w:val="1"/>
                <w:color w:val="auto"/>
              </w:rPr>
              <w:t>​ ​</w:t>
            </w:r>
          </w:p>
        </w:tc>
        <w:tc>
          <w:tcPr>
            <w:tcW w:w="5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w:t>
            </w:r>
          </w:p>
        </w:tc>
      </w:tr>
      <w:tr>
        <w:trPr>
          <w:trHeight w:val="224"/>
        </w:trPr>
        <w:tc>
          <w:tcPr>
            <w:tcW w:w="1960" w:type="dxa"/>
            <w:vAlign w:val="bottom"/>
          </w:tcPr>
          <w:p>
            <w:pPr>
              <w:spacing w:after="0"/>
              <w:rPr>
                <w:sz w:val="20"/>
                <w:szCs w:val="20"/>
                <w:color w:val="auto"/>
              </w:rPr>
            </w:pPr>
            <w:r>
              <w:rPr>
                <w:rFonts w:ascii="Arial" w:cs="Arial" w:eastAsia="Arial" w:hAnsi="Arial"/>
                <w:sz w:val="18"/>
                <w:szCs w:val="18"/>
                <w:color w:val="auto"/>
              </w:rPr>
              <w:t>Gerard Barron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Anthony O’Sullivan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Erika Ilves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79"/>
        </w:trPr>
        <w:tc>
          <w:tcPr>
            <w:tcW w:w="1960" w:type="dxa"/>
            <w:vAlign w:val="bottom"/>
          </w:tcPr>
          <w:p>
            <w:pPr>
              <w:spacing w:after="0"/>
              <w:rPr>
                <w:sz w:val="20"/>
                <w:szCs w:val="20"/>
                <w:color w:val="auto"/>
              </w:rPr>
            </w:pPr>
            <w:r>
              <w:rPr>
                <w:rFonts w:ascii="Arial" w:cs="Arial" w:eastAsia="Arial" w:hAnsi="Arial"/>
                <w:sz w:val="18"/>
                <w:szCs w:val="18"/>
                <w:color w:val="auto"/>
              </w:rPr>
              <w:t>Craig Shesky</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9"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See Mr. Barron’s biography above.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26" w:lineRule="exact"/>
        <w:rPr>
          <w:sz w:val="20"/>
          <w:szCs w:val="20"/>
          <w:color w:val="auto"/>
        </w:rPr>
      </w:pPr>
    </w:p>
    <w:p>
      <w:pPr>
        <w:sectPr>
          <w:pgSz w:w="11900" w:h="16838" w:orient="portrait"/>
          <w:cols w:equalWidth="0" w:num="2">
            <w:col w:w="9440" w:space="0"/>
            <w:col w:w="439"/>
          </w:cols>
          <w:pgMar w:left="580" w:top="97" w:right="1440" w:bottom="1440" w:gutter="0" w:footer="0" w:header="0"/>
          <w:type w:val="continuous"/>
        </w:sectPr>
      </w:pPr>
    </w:p>
    <w:p>
      <w:pPr>
        <w:jc w:val="both"/>
        <w:ind w:left="1240" w:right="419" w:firstLine="360"/>
        <w:spacing w:after="0" w:line="261" w:lineRule="auto"/>
        <w:rPr>
          <w:sz w:val="20"/>
          <w:szCs w:val="20"/>
          <w:color w:val="auto"/>
        </w:rPr>
      </w:pPr>
      <w:r>
        <w:rPr>
          <w:rFonts w:ascii="Arial" w:cs="Arial" w:eastAsia="Arial" w:hAnsi="Arial"/>
          <w:sz w:val="17"/>
          <w:szCs w:val="17"/>
          <w:b w:val="1"/>
          <w:bCs w:val="1"/>
          <w:i w:val="1"/>
          <w:iCs w:val="1"/>
          <w:color w:val="auto"/>
        </w:rPr>
        <w:t xml:space="preserve">Anthony O’Sullivan </w:t>
      </w:r>
      <w:r>
        <w:rPr>
          <w:rFonts w:ascii="Arial" w:cs="Arial" w:eastAsia="Arial" w:hAnsi="Arial"/>
          <w:sz w:val="17"/>
          <w:szCs w:val="17"/>
          <w:color w:val="auto"/>
        </w:rPr>
        <w:t>has served as our Chief Development Officer since the Closing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Combination and has served as DeepGreen’s Chief 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w:t>
      </w:r>
    </w:p>
    <w:p>
      <w:pPr>
        <w:sectPr>
          <w:pgSz w:w="11900" w:h="16838" w:orient="portrait"/>
          <w:cols w:equalWidth="0" w:num="1">
            <w:col w:w="9879"/>
          </w:cols>
          <w:pgMar w:left="580" w:top="97" w:right="1440" w:bottom="1440" w:gutter="0" w:footer="0" w:header="0"/>
          <w:type w:val="continuous"/>
        </w:sectPr>
      </w:pPr>
    </w:p>
    <w:p>
      <w:pPr>
        <w:spacing w:after="0" w:line="38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9" w:lineRule="auto"/>
        <w:rPr>
          <w:sz w:val="20"/>
          <w:szCs w:val="20"/>
          <w:color w:val="auto"/>
        </w:rPr>
      </w:pPr>
      <w:r>
        <w:rPr>
          <w:rFonts w:ascii="Arial" w:cs="Arial" w:eastAsia="Arial" w:hAnsi="Arial"/>
          <w:sz w:val="17"/>
          <w:szCs w:val="17"/>
          <w:color w:val="auto"/>
        </w:rPr>
        <w:t>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NI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 Mr. O’Sullivan earned a M.Sc. in Mineral Exploration from the University of Western Australia and a B.Sc. (Hons) in Geology from the University of Western Australia.</w:t>
      </w:r>
    </w:p>
    <w:p>
      <w:pPr>
        <w:spacing w:after="0" w:line="10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b w:val="1"/>
          <w:bCs w:val="1"/>
          <w:i w:val="1"/>
          <w:iCs w:val="1"/>
          <w:color w:val="auto"/>
        </w:rPr>
        <w:t xml:space="preserve">Erika Ilves </w:t>
      </w:r>
      <w:r>
        <w:rPr>
          <w:rFonts w:ascii="Arial" w:cs="Arial" w:eastAsia="Arial" w:hAnsi="Arial"/>
          <w:sz w:val="18"/>
          <w:szCs w:val="18"/>
          <w:color w:val="auto"/>
        </w:rPr>
        <w:t>has served as our Chief Strategy Officer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has served as DeepGreen’s 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07" w:lineRule="exact"/>
        <w:rPr>
          <w:sz w:val="20"/>
          <w:szCs w:val="20"/>
          <w:color w:val="auto"/>
        </w:rPr>
      </w:pPr>
    </w:p>
    <w:p>
      <w:pPr>
        <w:jc w:val="both"/>
        <w:ind w:left="1240" w:right="4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Craig Shesky </w:t>
      </w:r>
      <w:r>
        <w:rPr>
          <w:rFonts w:ascii="Arial" w:cs="Arial" w:eastAsia="Arial" w:hAnsi="Arial"/>
          <w:sz w:val="17"/>
          <w:szCs w:val="17"/>
          <w:color w:val="auto"/>
        </w:rPr>
        <w:t>has served as our Chief Financial Officer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and has served as DeepGreen’s 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9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​(“NEOs”), which are the individuals who served as principal executive officer and the next two most highly compensated executive officers for the year ended December 31, 2024. As of December 31, 2024, our NEOs were:</w:t>
      </w:r>
    </w:p>
    <w:p>
      <w:pPr>
        <w:spacing w:after="0" w:line="72" w:lineRule="exact"/>
        <w:rPr>
          <w:sz w:val="20"/>
          <w:szCs w:val="20"/>
          <w:color w:val="auto"/>
        </w:rPr>
      </w:pPr>
    </w:p>
    <w:p>
      <w:pPr>
        <w:ind w:left="1780" w:hanging="172"/>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Craig Shesky, Chief Financial Officer;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58"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In 2024, we entered into new compensation arrangements for Gerard Barron, our Chief Executive Officer and Chairman, which were approved by our shareholders on an advisory basis at our 2024 annual meeting of shareholders held on May 30, 2024.</w:t>
      </w:r>
    </w:p>
    <w:p>
      <w:pPr>
        <w:spacing w:after="0" w:line="101"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Our current executive compensation plan for our other NEOs has been in place since September 9, 2021 and is the ongoing compensation program for these NEOs post-Business Combination. Our executive compensation plan includes base salaries, Short-Term Incentive Program (paid in restricted share units for 2024), and a Long-Term Incentive Program (granted in the form of restricted share units grants for 2024).</w:t>
      </w:r>
    </w:p>
    <w:p>
      <w:pPr>
        <w:spacing w:after="0" w:line="10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discussed in more detail below, in 2024, our executive compensation program was designed to provide our NEOs with meaningful incentives and rewards, while effectively balancing the short-term and long-term interests of our shareholders with our ability to attract and retain talented executives. The compensation committee of our board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 based contingent payments, in the proportions that we believe achieve these four guiding principles:</w:t>
      </w:r>
    </w:p>
    <w:p>
      <w:pPr>
        <w:spacing w:after="0" w:line="85" w:lineRule="exact"/>
        <w:rPr>
          <w:sz w:val="20"/>
          <w:szCs w:val="20"/>
          <w:color w:val="auto"/>
        </w:rPr>
      </w:pPr>
    </w:p>
    <w:p>
      <w:pPr>
        <w:ind w:left="1780" w:right="419" w:hanging="172"/>
        <w:spacing w:after="0" w:line="287" w:lineRule="auto"/>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NEOs with those of our shareholders;</w:t>
      </w:r>
    </w:p>
    <w:p>
      <w:pPr>
        <w:spacing w:after="0" w:line="31" w:lineRule="exact"/>
        <w:rPr>
          <w:rFonts w:ascii="Arial" w:cs="Arial" w:eastAsia="Arial" w:hAnsi="Arial"/>
          <w:sz w:val="18"/>
          <w:szCs w:val="18"/>
          <w:color w:val="auto"/>
        </w:rPr>
      </w:pPr>
    </w:p>
    <w:p>
      <w:pPr>
        <w:ind w:left="1780" w:hanging="17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NEOs’ compensation packages.</w:t>
      </w:r>
    </w:p>
    <w:p>
      <w:pPr>
        <w:spacing w:after="0" w:line="86"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7"/>
          <w:szCs w:val="17"/>
          <w:color w:val="auto"/>
        </w:rPr>
        <w:t>As discussed in more detail below, our NEOs’ target annual compensation generally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w:t>
      </w:r>
    </w:p>
    <w:p>
      <w:pPr>
        <w:spacing w:after="0" w:line="37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71" w:lineRule="auto"/>
        <w:rPr>
          <w:sz w:val="20"/>
          <w:szCs w:val="20"/>
          <w:color w:val="auto"/>
        </w:rPr>
      </w:pPr>
      <w:r>
        <w:rPr>
          <w:rFonts w:ascii="Arial" w:cs="Arial" w:eastAsia="Arial" w:hAnsi="Arial"/>
          <w:sz w:val="18"/>
          <w:szCs w:val="18"/>
          <w:color w:val="auto"/>
        </w:rPr>
        <w:t>equity compensation component and is primarily designed to incentivize and retain our executives over a multi-year period and to reward the achievement of our long-term financial and strategic objectives.</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NEOs</w:t>
      </w:r>
    </w:p>
    <w:p>
      <w:pPr>
        <w:spacing w:after="0" w:line="14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Our executive compensation program consists of three principal components: base salary, STIP, and the LTIP. The LTIP consists primarily of restricted share units (“RSUs”) that vest over time based on continued employment and, in some cases, the achievement of performance and market goals.</w:t>
      </w:r>
    </w:p>
    <w:p>
      <w:pPr>
        <w:sectPr>
          <w:pgSz w:w="11900" w:h="16838" w:orient="portrait"/>
          <w:cols w:equalWidth="0" w:num="1">
            <w:col w:w="9879"/>
          </w:cols>
          <w:pgMar w:left="580" w:top="97" w:right="1440" w:bottom="1440" w:gutter="0" w:footer="0" w:header="0"/>
        </w:sectPr>
      </w:pP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Key Components of Our 2024 Compensation Plans for Our NEOs</w:t>
      </w:r>
    </w:p>
    <w:p>
      <w:pPr>
        <w:spacing w:after="0" w:line="208"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85"/>
        </w:trPr>
        <w:tc>
          <w:tcPr>
            <w:tcW w:w="1620" w:type="dxa"/>
            <w:vAlign w:val="bottom"/>
          </w:tcPr>
          <w:p>
            <w:pPr>
              <w:spacing w:after="0"/>
              <w:rPr>
                <w:sz w:val="20"/>
                <w:szCs w:val="20"/>
                <w:color w:val="auto"/>
              </w:rPr>
            </w:pPr>
            <w:r>
              <w:rPr>
                <w:rFonts w:ascii="Arial" w:cs="Arial" w:eastAsia="Arial" w:hAnsi="Arial"/>
                <w:sz w:val="14"/>
                <w:szCs w:val="14"/>
                <w:b w:val="1"/>
                <w:bCs w:val="1"/>
                <w:color w:val="auto"/>
              </w:rPr>
              <w:t>Compensation Element</w:t>
            </w:r>
          </w:p>
        </w:tc>
        <w:tc>
          <w:tcPr>
            <w:tcW w:w="1480" w:type="dxa"/>
            <w:vAlign w:val="bottom"/>
            <w:gridSpan w:val="2"/>
          </w:tcPr>
          <w:p>
            <w:pPr>
              <w:ind w:left="80"/>
              <w:spacing w:after="0" w:line="185"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2"/>
                <w:szCs w:val="12"/>
                <w:b w:val="1"/>
                <w:bCs w:val="1"/>
                <w:color w:val="auto"/>
              </w:rPr>
              <w:t>Primary Purpose</w:t>
            </w:r>
          </w:p>
        </w:tc>
        <w:tc>
          <w:tcPr>
            <w:tcW w:w="220" w:type="dxa"/>
            <w:vAlign w:val="bottom"/>
          </w:tcPr>
          <w:p>
            <w:pPr>
              <w:spacing w:after="0"/>
              <w:rPr>
                <w:sz w:val="16"/>
                <w:szCs w:val="16"/>
                <w:color w:val="auto"/>
              </w:rPr>
            </w:pPr>
          </w:p>
        </w:tc>
        <w:tc>
          <w:tcPr>
            <w:tcW w:w="1100" w:type="dxa"/>
            <w:vAlign w:val="bottom"/>
            <w:gridSpan w:val="3"/>
          </w:tcPr>
          <w:p>
            <w:pPr>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Period</w:t>
            </w:r>
          </w:p>
        </w:tc>
        <w:tc>
          <w:tcPr>
            <w:tcW w:w="3780" w:type="dxa"/>
            <w:vAlign w:val="bottom"/>
            <w:gridSpan w:val="2"/>
          </w:tcPr>
          <w:p>
            <w:pPr>
              <w:ind w:left="2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Details</w:t>
            </w:r>
          </w:p>
        </w:tc>
      </w:tr>
      <w:tr>
        <w:trPr>
          <w:trHeight w:val="20"/>
        </w:trPr>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31"/>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100" w:type="dxa"/>
            <w:vAlign w:val="bottom"/>
            <w:gridSpan w:val="6"/>
          </w:tcPr>
          <w:p>
            <w:pPr>
              <w:ind w:left="140"/>
              <w:spacing w:after="0"/>
              <w:rPr>
                <w:sz w:val="20"/>
                <w:szCs w:val="20"/>
                <w:color w:val="auto"/>
              </w:rPr>
            </w:pPr>
            <w:r>
              <w:rPr>
                <w:rFonts w:ascii="Arial" w:cs="Arial" w:eastAsia="Arial" w:hAnsi="Arial"/>
                <w:sz w:val="18"/>
                <w:szCs w:val="18"/>
                <w:b w:val="1"/>
                <w:bCs w:val="1"/>
                <w:color w:val="auto"/>
              </w:rPr>
              <w:t>Cash Compensation</w:t>
            </w:r>
          </w:p>
        </w:tc>
      </w:tr>
      <w:tr>
        <w:trPr>
          <w:trHeight w:val="243"/>
        </w:trPr>
        <w:tc>
          <w:tcPr>
            <w:tcW w:w="1620" w:type="dxa"/>
            <w:vAlign w:val="bottom"/>
          </w:tcPr>
          <w:p>
            <w:pPr>
              <w:spacing w:after="0"/>
              <w:rPr>
                <w:sz w:val="20"/>
                <w:szCs w:val="20"/>
                <w:color w:val="auto"/>
              </w:rPr>
            </w:pPr>
            <w:r>
              <w:rPr>
                <w:rFonts w:ascii="Arial" w:cs="Arial" w:eastAsia="Arial" w:hAnsi="Arial"/>
                <w:sz w:val="18"/>
                <w:szCs w:val="18"/>
                <w:color w:val="auto"/>
              </w:rPr>
              <w:t>Base Salary</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​​Reward for</w:t>
            </w:r>
          </w:p>
        </w:tc>
        <w:tc>
          <w:tcPr>
            <w:tcW w:w="22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 ​ Ongoing</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 ​ Provided in cash each pay period.</w:t>
            </w: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ongoing work</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ind w:left="3060"/>
        <w:spacing w:after="0"/>
        <w:rPr>
          <w:sz w:val="20"/>
          <w:szCs w:val="20"/>
          <w:color w:val="auto"/>
        </w:rPr>
      </w:pPr>
      <w:r>
        <w:rPr>
          <w:rFonts w:ascii="Arial" w:cs="Arial" w:eastAsia="Arial" w:hAnsi="Arial"/>
          <w:sz w:val="18"/>
          <w:szCs w:val="18"/>
          <w:color w:val="auto"/>
        </w:rPr>
        <w:t>performed,</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executive tenure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and role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rPr>
          <w:sz w:val="20"/>
          <w:szCs w:val="20"/>
          <w:color w:val="auto"/>
        </w:rPr>
      </w:pP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23"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tbl>
      <w:tblPr>
        <w:tblLayout w:type="fixed"/>
        <w:tblInd w:w="124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color w:val="auto"/>
              </w:rPr>
              <w:t>Short Term Incentive ​​Reinforce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1 year</w:t>
            </w:r>
          </w:p>
        </w:tc>
        <w:tc>
          <w:tcPr>
            <w:tcW w:w="3740" w:type="dxa"/>
            <w:vAlign w:val="bottom"/>
          </w:tcPr>
          <w:p>
            <w:pPr>
              <w:ind w:left="180"/>
              <w:spacing w:after="0"/>
              <w:rPr>
                <w:sz w:val="20"/>
                <w:szCs w:val="20"/>
                <w:color w:val="auto"/>
              </w:rPr>
            </w:pPr>
            <w:r>
              <w:rPr>
                <w:rFonts w:ascii="Arial" w:cs="Arial" w:eastAsia="Arial" w:hAnsi="Arial"/>
                <w:sz w:val="18"/>
                <w:szCs w:val="18"/>
                <w:color w:val="auto"/>
              </w:rPr>
              <w:t>​ ​ Target  award  based  on  a  percentage</w:t>
            </w:r>
          </w:p>
        </w:tc>
        <w:tc>
          <w:tcPr>
            <w:tcW w:w="260" w:type="dxa"/>
            <w:vAlign w:val="bottom"/>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Plan (STIP)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short-term</w:t>
            </w:r>
          </w:p>
        </w:tc>
        <w:tc>
          <w:tcPr>
            <w:tcW w:w="108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salary.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priorities and</w:t>
            </w:r>
          </w:p>
        </w:tc>
        <w:tc>
          <w:tcPr>
            <w:tcW w:w="1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business results</w:t>
            </w:r>
          </w:p>
        </w:tc>
        <w:tc>
          <w:tcPr>
            <w:tcW w:w="1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380"/>
              <w:spacing w:after="0"/>
              <w:rPr>
                <w:sz w:val="20"/>
                <w:szCs w:val="20"/>
                <w:color w:val="auto"/>
              </w:rPr>
            </w:pPr>
            <w:r>
              <w:rPr>
                <w:rFonts w:ascii="Arial" w:cs="Arial" w:eastAsia="Arial" w:hAnsi="Arial"/>
                <w:sz w:val="18"/>
                <w:szCs w:val="18"/>
                <w:color w:val="auto"/>
              </w:rPr>
              <w:t>​​Recognize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 ​ Awards may be earned from 0% to 100%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w w:val="98"/>
              </w:rPr>
              <w:t>reward corporate</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target  based  on  achievement  of  pre-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and individual</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determined corporate short-term objectives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performance</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w w:val="98"/>
              </w:rPr>
              <w:t>that are aligned with our strategic plan as well</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as individual performance.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Awards are paid in cash upon the completion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of the fiscal year; however, for 2024, 2023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and  2022,  STIP  awards  were  paid  in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immediately-vested   RSUs   to   conserve</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operating cash.</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Compensation</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Long-term incentives ​​Reinforce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3 years</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 ​ For 2024, 2023 and 2022, grants were in the​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long-term</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form of RSUs that vest one-third per year</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2940" w:type="dxa"/>
            <w:vAlign w:val="bottom"/>
            <w:gridSpan w:val="2"/>
          </w:tcPr>
          <w:p>
            <w:pPr>
              <w:ind w:left="500"/>
              <w:spacing w:after="0"/>
              <w:rPr>
                <w:sz w:val="20"/>
                <w:szCs w:val="20"/>
                <w:color w:val="auto"/>
              </w:rPr>
            </w:pPr>
            <w:r>
              <w:rPr>
                <w:rFonts w:ascii="Arial" w:cs="Arial" w:eastAsia="Arial" w:hAnsi="Arial"/>
                <w:sz w:val="18"/>
                <w:szCs w:val="18"/>
                <w:color w:val="auto"/>
              </w:rPr>
              <w:t>shareholder value</w:t>
            </w:r>
          </w:p>
        </w:tc>
        <w:tc>
          <w:tcPr>
            <w:tcW w:w="3740" w:type="dxa"/>
            <w:vAlign w:val="bottom"/>
          </w:tcPr>
          <w:p>
            <w:pPr>
              <w:ind w:left="380"/>
              <w:spacing w:after="0"/>
              <w:rPr>
                <w:sz w:val="20"/>
                <w:szCs w:val="20"/>
                <w:color w:val="auto"/>
              </w:rPr>
            </w:pPr>
            <w:r>
              <w:rPr>
                <w:rFonts w:ascii="Arial" w:cs="Arial" w:eastAsia="Arial" w:hAnsi="Arial"/>
                <w:sz w:val="18"/>
                <w:szCs w:val="18"/>
                <w:color w:val="auto"/>
              </w:rPr>
              <w:t>over three years.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Retain executives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over a 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period</w:t>
      </w:r>
    </w:p>
    <w:p>
      <w:pPr>
        <w:spacing w:after="0" w:line="9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Incentivize the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achievement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management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performance goals</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Equity Compensation for Our NEOs</w:t>
      </w:r>
    </w:p>
    <w:p>
      <w:pPr>
        <w:spacing w:after="0" w:line="15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03"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ectPr>
          <w:pgSz w:w="11900" w:h="16838" w:orient="portrait"/>
          <w:cols w:equalWidth="0" w:num="1">
            <w:col w:w="9879"/>
          </w:cols>
          <w:pgMar w:left="580" w:top="97" w:right="1440" w:bottom="1440" w:gutter="0" w:footer="0" w:header="0"/>
          <w:type w:val="continuous"/>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80" w:right="439" w:hanging="172"/>
        <w:spacing w:after="0" w:line="287" w:lineRule="auto"/>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pacing w:after="0" w:line="58"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44"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30"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30"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corporate performance;</w:t>
      </w:r>
    </w:p>
    <w:p>
      <w:pPr>
        <w:spacing w:after="0" w:line="144"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44"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85"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March 2025, our compensation committee granted equity awards to our NEOs under the STIP and LTIP for the 2024 performance year, including to our Chief Executive Officer. They considered, to the extent applicable, our corporate performance and individual contributions in 2024 as well as in prior years. The compensation committee determined the value of each LTIP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the independent compensation consulting firm engaged by our compensation committee to provide competitive market data as well as advice on pay levels and compensation program structure. See “Summary Compensation Table” and “Outstanding Equity Awards at 2024 Fiscal Year-End”.</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Compensation of Our Chief Executive Officer and Chairman in 2024</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We entered into an employment agreement with Mr. Barron in 2018 prior to the closing of the Business Combination and our becoming a publicly-traded company. In light of the lack of substantial updates in Mr. Barron’s compensation since that time, the developments in our business and the board of directors’ belief that the compensation of our Chief Executive Officer is critical to align the interests of our Chief Executive Officer with that of our shareholders, our board of directors and its compensation committee engaged in extensive discussions over a significant length of time regarding updates to Mr. Barron’s employment terms. Upon the conclusion of these discussions, the compensation committee and the board of directors approved a new compensation package for Mr. Barron and we entered into a new employment agreement with Mr. Barron on April 16, 2024 (the “2024 Barron Employment Agreement”). Throughout this process, the compensation committee consulted with FW Cook, its independent compensation consultant, and its outside legal counsel and also conferred with Mr. Barron, provided that Mr. Barron was not present during any voting or deliberations on the new compensation package or the 2024 Barron Employment Agreement. Our shareholders approved the new compensation arrangements on an advisory basis at our 2024 annual meeting of shareholders held on May 30, 2024.</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principal economic terms of the 2024 Barron Employment Agreement are summarized below.</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Salary</w:t>
      </w:r>
    </w:p>
    <w:p>
      <w:pPr>
        <w:spacing w:after="0" w:line="156"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Mr. Barron will receive an annual base salary of $750,000, which shall be reviewed annually by our board of directors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Bonus</w:t>
      </w:r>
    </w:p>
    <w:p>
      <w:pPr>
        <w:spacing w:after="0" w:line="14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Mr. Barron will also be eligible for an annual cash bonus, based on achievement of individual performance objectives and achievement of certain company financial results as established by our board of directors, with the target amount set at 75% of his base salary. See above for information on Mr. Barron’s STIP award for 2024 that was paid in RSUs.</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Retirement Account Contributions</w:t>
      </w:r>
    </w:p>
    <w:p>
      <w:pPr>
        <w:spacing w:after="0" w:line="156"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We will provide Mr. Barron with an additional amount equal to 10% of his base salary per year to be contributed to Mr. Barron’s retirement plan (the “Retirement Benefit”).</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Signing RSUs</w:t>
      </w:r>
    </w:p>
    <w:p>
      <w:pPr>
        <w:spacing w:after="0" w:line="156"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Mr. Barron received a one-time signing bonus award of performance-based restricted stock units for up to 20,000,000 of our common shares, based on the achievement of stock price goals (the “Signing RSUs”).</w:t>
      </w:r>
    </w:p>
    <w:p>
      <w:pPr>
        <w:spacing w:after="0" w:line="103"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Any Signing RSUs that are not vested on or prior to April 16, 2029 will be forfeited.</w:t>
      </w:r>
    </w:p>
    <w:p>
      <w:pPr>
        <w:spacing w:after="0" w:line="10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Mr. Barron shall not be permitted to sell any shares settled upon the vesting of the Signing RSUs until April 16, 2029, at which point all such vested shares shall be freely tradeable by Mr. Barron at his full discretion, subject to compliance with our Insider Trading Policy and applicable laws.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Participation in Annual LTIP</w:t>
      </w:r>
    </w:p>
    <w:p>
      <w:pPr>
        <w:spacing w:after="0" w:line="156"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Mr. Barron is also eligible to be considered for annual equity awards under our LTIP at the discretion of the board of directors. See above for information on Mr. Barron’s LTIP award for 2024.</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Severance and Change of Control Payments</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Severance</w:t>
      </w:r>
    </w:p>
    <w:p>
      <w:pPr>
        <w:spacing w:after="0" w:line="142"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Change of Control of Company</w:t>
      </w:r>
    </w:p>
    <w:p>
      <w:pPr>
        <w:spacing w:after="0" w:line="15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In the event that, within 24 months following a Change of Control (as defined in the 2024 Barron Employment Agreement), Mr. Barron is terminated without Cause or resigns for Good Reason, or the 2024 Barron Employment Agreement is not renewed by us at the end of any one-year term, in each case, Mr. Barron will be eligible to receive: 24 months of base salary, two times his then target annual bonus and the full vesting of outstanding equity awards (including the Signing RSUs).</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treatment of the Signing RSUs upon a change of control is intended to align Mr. Barron’s interests with the interests of the Company’s other shareholders with respect to evaluating potential change of control offers.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Benefits</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Subject to the terms and conditions of our benefit plans, Mr. Barron is entitled to participate in the benefit plans generally available to our employees in Australia, as amended from time to time (and to receive reimbursement for certain health and medical expenses prior to the adoption of an applicable</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303" w:lineRule="auto"/>
        <w:rPr>
          <w:sz w:val="20"/>
          <w:szCs w:val="20"/>
          <w:color w:val="auto"/>
        </w:rPr>
      </w:pPr>
      <w:r>
        <w:rPr>
          <w:rFonts w:ascii="Arial" w:cs="Arial" w:eastAsia="Arial" w:hAnsi="Arial"/>
          <w:sz w:val="18"/>
          <w:szCs w:val="18"/>
          <w:color w:val="auto"/>
        </w:rPr>
        <w:t>company plan). We reserved the right to alter, amend, replace or discontinue the group benefit plans it may make available to its employees at any time, with or without notice.</w:t>
      </w:r>
    </w:p>
    <w:p>
      <w:pPr>
        <w:spacing w:after="0" w:line="125" w:lineRule="exact"/>
        <w:rPr>
          <w:sz w:val="20"/>
          <w:szCs w:val="20"/>
          <w:color w:val="auto"/>
        </w:rPr>
      </w:pPr>
    </w:p>
    <w:p>
      <w:pPr>
        <w:jc w:val="both"/>
        <w:ind w:left="1240" w:right="419" w:firstLine="360"/>
        <w:spacing w:after="0" w:line="303" w:lineRule="auto"/>
        <w:rPr>
          <w:sz w:val="20"/>
          <w:szCs w:val="20"/>
          <w:color w:val="auto"/>
        </w:rPr>
      </w:pPr>
      <w:r>
        <w:rPr>
          <w:rFonts w:ascii="Arial" w:cs="Arial" w:eastAsia="Arial" w:hAnsi="Arial"/>
          <w:sz w:val="18"/>
          <w:szCs w:val="18"/>
          <w:color w:val="auto"/>
        </w:rPr>
        <w:t>Mr. Barron will also be entitled to reimbursement for certain industry and professional memberships up to $15,000 annually.</w:t>
      </w:r>
    </w:p>
    <w:p>
      <w:pPr>
        <w:spacing w:after="0" w:line="20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Other NEOs</w:t>
      </w:r>
    </w:p>
    <w:p>
      <w:pPr>
        <w:spacing w:after="0" w:line="144" w:lineRule="exact"/>
        <w:rPr>
          <w:sz w:val="20"/>
          <w:szCs w:val="20"/>
          <w:color w:val="auto"/>
        </w:rPr>
      </w:pPr>
    </w:p>
    <w:p>
      <w:pPr>
        <w:jc w:val="both"/>
        <w:ind w:left="1240" w:right="419" w:firstLine="360"/>
        <w:spacing w:after="0" w:line="284" w:lineRule="auto"/>
        <w:rPr>
          <w:sz w:val="20"/>
          <w:szCs w:val="20"/>
          <w:color w:val="auto"/>
        </w:rPr>
      </w:pPr>
      <w:r>
        <w:rPr>
          <w:rFonts w:ascii="Arial" w:cs="Arial" w:eastAsia="Arial" w:hAnsi="Arial"/>
          <w:sz w:val="18"/>
          <w:szCs w:val="18"/>
          <w:color w:val="auto"/>
        </w:rPr>
        <w:t>Our executive compensation program consists of three principal components: base salary, STIP, and the LTIP. The LTIP consists primarily of restricted share units (“RSUs”) that vest over time based on continued employment and, in some cases, the achievement of performance and market goals.</w:t>
      </w:r>
    </w:p>
    <w:p>
      <w:pPr>
        <w:spacing w:after="0" w:line="22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jc w:val="both"/>
        <w:ind w:left="1240" w:right="439" w:firstLine="360"/>
        <w:spacing w:after="0" w:line="303"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 ended December 31, 2024 and 2023.</w:t>
      </w:r>
    </w:p>
    <w:p>
      <w:pPr>
        <w:spacing w:after="0" w:line="121"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860" w:type="dxa"/>
            <w:vAlign w:val="bottom"/>
            <w:gridSpan w:val="4"/>
          </w:tcPr>
          <w:p>
            <w:pPr>
              <w:ind w:left="1240"/>
              <w:spacing w:after="0" w:line="176" w:lineRule="exact"/>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2"/>
                <w:szCs w:val="12"/>
                <w:b w:val="1"/>
                <w:bCs w:val="1"/>
                <w:color w:val="auto"/>
              </w:rPr>
              <w:t xml:space="preserve"> Year </w:t>
            </w:r>
            <w:r>
              <w:rPr>
                <w:rFonts w:ascii="Arial" w:cs="Arial" w:eastAsia="Arial" w:hAnsi="Arial"/>
                <w:sz w:val="20"/>
                <w:szCs w:val="20"/>
                <w:b w:val="1"/>
                <w:bCs w:val="1"/>
                <w:color w:val="auto"/>
                <w:vertAlign w:val="subscript"/>
              </w:rPr>
              <w:t>​</w:t>
            </w:r>
          </w:p>
        </w:tc>
        <w:tc>
          <w:tcPr>
            <w:tcW w:w="620" w:type="dxa"/>
            <w:vAlign w:val="bottom"/>
            <w:gridSpan w:val="2"/>
          </w:tcPr>
          <w:p>
            <w:pPr>
              <w:ind w:left="4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2"/>
                <w:szCs w:val="12"/>
                <w:b w:val="1"/>
                <w:bCs w:val="1"/>
                <w:color w:val="auto"/>
              </w:rPr>
              <w:t xml:space="preserve">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2"/>
                <w:szCs w:val="12"/>
                <w:b w:val="1"/>
                <w:bCs w:val="1"/>
                <w:color w:val="auto"/>
              </w:rPr>
              <w:t xml:space="preserve">  ($)</w:t>
            </w:r>
            <w:r>
              <w:rPr>
                <w:rFonts w:ascii="Arial" w:cs="Arial" w:eastAsia="Arial" w:hAnsi="Arial"/>
                <w:sz w:val="13"/>
                <w:szCs w:val="13"/>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bscript"/>
              </w:rPr>
              <w:t>​</w:t>
            </w:r>
          </w:p>
        </w:tc>
        <w:tc>
          <w:tcPr>
            <w:tcW w:w="14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right="9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020" w:type="dxa"/>
            <w:vAlign w:val="bottom"/>
          </w:tcPr>
          <w:p>
            <w:pPr>
              <w:jc w:val="right"/>
              <w:ind w:right="295"/>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(3)</w:t>
            </w: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3"/>
        </w:trPr>
        <w:tc>
          <w:tcPr>
            <w:tcW w:w="1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Gerard Barron,</w:t>
            </w:r>
          </w:p>
        </w:tc>
        <w:tc>
          <w:tcPr>
            <w:tcW w:w="1280" w:type="dxa"/>
            <w:vAlign w:val="bottom"/>
            <w:tcBorders>
              <w:top w:val="single" w:sz="8" w:color="CCEEFF"/>
            </w:tcBorders>
            <w:shd w:val="clear" w:color="auto" w:fill="CCEEFF"/>
          </w:tcPr>
          <w:p>
            <w:pPr>
              <w:ind w:left="1240"/>
              <w:spacing w:after="0" w:line="150"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ind w:left="60"/>
              <w:spacing w:after="0" w:line="150"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​2024</w:t>
            </w:r>
          </w:p>
        </w:tc>
        <w:tc>
          <w:tcPr>
            <w:tcW w:w="12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​696,042</w:t>
            </w:r>
          </w:p>
        </w:tc>
        <w:tc>
          <w:tcPr>
            <w:tcW w:w="14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​574,234</w:t>
            </w:r>
          </w:p>
        </w:tc>
        <w:tc>
          <w:tcPr>
            <w:tcW w:w="14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​1,851,557</w:t>
            </w:r>
          </w:p>
        </w:tc>
        <w:tc>
          <w:tcPr>
            <w:tcW w:w="14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69,604</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​3,191,437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gridSpan w:val="2"/>
            <w:shd w:val="clear" w:color="auto" w:fill="CCEEFF"/>
          </w:tcPr>
          <w:p>
            <w:pPr>
              <w:jc w:val="right"/>
              <w:spacing w:after="0" w:line="214"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shd w:val="clear" w:color="auto" w:fill="CCEEFF"/>
              </w:rPr>
              <w:t>​2023</w:t>
            </w:r>
            <w:r>
              <w:rPr>
                <w:rFonts w:ascii="Arial" w:cs="Arial" w:eastAsia="Arial" w:hAnsi="Arial"/>
                <w:sz w:val="24"/>
                <w:szCs w:val="24"/>
                <w:color w:val="auto"/>
                <w:vertAlign w:val="superscript"/>
                <w:shd w:val="clear" w:color="auto" w:fill="CCEEFF"/>
              </w:rPr>
              <w:t>​​</w:t>
            </w:r>
          </w:p>
        </w:tc>
        <w:tc>
          <w:tcPr>
            <w:tcW w:w="760" w:type="dxa"/>
            <w:vAlign w:val="bottom"/>
            <w:tcBorders>
              <w:bottom w:val="single" w:sz="8" w:color="CCEEFF"/>
            </w:tcBorders>
            <w:gridSpan w:val="3"/>
            <w:shd w:val="clear" w:color="auto" w:fill="CCEEFF"/>
          </w:tcPr>
          <w:p>
            <w:pPr>
              <w:jc w:val="right"/>
              <w:spacing w:after="0" w:line="214" w:lineRule="exact"/>
              <w:rPr>
                <w:sz w:val="20"/>
                <w:szCs w:val="20"/>
                <w:color w:val="auto"/>
              </w:rPr>
            </w:pPr>
            <w:r>
              <w:rPr>
                <w:rFonts w:ascii="Arial" w:cs="Arial" w:eastAsia="Arial" w:hAnsi="Arial"/>
                <w:sz w:val="24"/>
                <w:szCs w:val="24"/>
                <w:color w:val="auto"/>
                <w:vertAlign w:val="superscript"/>
                <w:shd w:val="clear" w:color="auto" w:fill="CCEEFF"/>
              </w:rPr>
              <w:t>​ ​</w:t>
            </w:r>
            <w:r>
              <w:rPr>
                <w:rFonts w:ascii="Arial" w:cs="Arial" w:eastAsia="Arial" w:hAnsi="Arial"/>
                <w:sz w:val="13"/>
                <w:szCs w:val="13"/>
                <w:color w:val="auto"/>
                <w:shd w:val="clear" w:color="auto" w:fill="CCEEFF"/>
              </w:rPr>
              <w:t>​565,000</w:t>
            </w:r>
            <w:r>
              <w:rPr>
                <w:rFonts w:ascii="Arial" w:cs="Arial" w:eastAsia="Arial" w:hAnsi="Arial"/>
                <w:sz w:val="24"/>
                <w:szCs w:val="24"/>
                <w:color w:val="auto"/>
                <w:vertAlign w:val="superscript"/>
                <w:shd w:val="clear" w:color="auto" w:fill="CCEEFF"/>
              </w:rPr>
              <w:t>​​</w:t>
            </w:r>
          </w:p>
        </w:tc>
        <w:tc>
          <w:tcPr>
            <w:tcW w:w="760" w:type="dxa"/>
            <w:vAlign w:val="bottom"/>
            <w:tcBorders>
              <w:bottom w:val="single" w:sz="8" w:color="CCEEFF"/>
            </w:tcBorders>
            <w:gridSpan w:val="3"/>
            <w:shd w:val="clear" w:color="auto" w:fill="CCEEFF"/>
          </w:tcPr>
          <w:p>
            <w:pPr>
              <w:jc w:val="right"/>
              <w:spacing w:after="0" w:line="214" w:lineRule="exact"/>
              <w:rPr>
                <w:sz w:val="20"/>
                <w:szCs w:val="20"/>
                <w:color w:val="auto"/>
              </w:rPr>
            </w:pPr>
            <w:r>
              <w:rPr>
                <w:rFonts w:ascii="Arial" w:cs="Arial" w:eastAsia="Arial" w:hAnsi="Arial"/>
                <w:sz w:val="24"/>
                <w:szCs w:val="24"/>
                <w:color w:val="auto"/>
                <w:vertAlign w:val="superscript"/>
                <w:shd w:val="clear" w:color="auto" w:fill="CCEEFF"/>
              </w:rPr>
              <w:t>​ ​</w:t>
            </w:r>
            <w:r>
              <w:rPr>
                <w:rFonts w:ascii="Arial" w:cs="Arial" w:eastAsia="Arial" w:hAnsi="Arial"/>
                <w:sz w:val="13"/>
                <w:szCs w:val="13"/>
                <w:color w:val="auto"/>
                <w:shd w:val="clear" w:color="auto" w:fill="CCEEFF"/>
              </w:rPr>
              <w:t>​508,500</w:t>
            </w:r>
            <w:r>
              <w:rPr>
                <w:rFonts w:ascii="Arial" w:cs="Arial" w:eastAsia="Arial" w:hAnsi="Arial"/>
                <w:sz w:val="24"/>
                <w:szCs w:val="24"/>
                <w:color w:val="auto"/>
                <w:vertAlign w:val="superscript"/>
                <w:shd w:val="clear" w:color="auto" w:fill="CCEEFF"/>
              </w:rPr>
              <w:t>​​</w:t>
            </w:r>
          </w:p>
        </w:tc>
        <w:tc>
          <w:tcPr>
            <w:tcW w:w="880" w:type="dxa"/>
            <w:vAlign w:val="bottom"/>
            <w:tcBorders>
              <w:bottom w:val="single" w:sz="8" w:color="CCEEFF"/>
            </w:tcBorders>
            <w:gridSpan w:val="4"/>
            <w:shd w:val="clear" w:color="auto" w:fill="CCEEFF"/>
          </w:tcPr>
          <w:p>
            <w:pPr>
              <w:ind w:left="20"/>
              <w:spacing w:after="0" w:line="214" w:lineRule="exact"/>
              <w:rPr>
                <w:sz w:val="20"/>
                <w:szCs w:val="20"/>
                <w:color w:val="auto"/>
              </w:rPr>
            </w:pPr>
            <w:r>
              <w:rPr>
                <w:rFonts w:ascii="Arial" w:cs="Arial" w:eastAsia="Arial" w:hAnsi="Arial"/>
                <w:sz w:val="24"/>
                <w:szCs w:val="24"/>
                <w:color w:val="auto"/>
                <w:vertAlign w:val="superscript"/>
                <w:shd w:val="clear" w:color="auto" w:fill="CCEEFF"/>
              </w:rPr>
              <w:t>​ ​</w:t>
            </w:r>
            <w:r>
              <w:rPr>
                <w:rFonts w:ascii="Arial" w:cs="Arial" w:eastAsia="Arial" w:hAnsi="Arial"/>
                <w:sz w:val="13"/>
                <w:szCs w:val="13"/>
                <w:color w:val="auto"/>
                <w:shd w:val="clear" w:color="auto" w:fill="CCEEFF"/>
              </w:rPr>
              <w:t>​1,381,651</w:t>
            </w:r>
            <w:r>
              <w:rPr>
                <w:rFonts w:ascii="Arial" w:cs="Arial" w:eastAsia="Arial" w:hAnsi="Arial"/>
                <w:sz w:val="24"/>
                <w:szCs w:val="24"/>
                <w:color w:val="auto"/>
                <w:vertAlign w:val="superscript"/>
                <w:shd w:val="clear" w:color="auto" w:fill="CCEEFF"/>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shd w:val="clear" w:color="auto" w:fill="CCEEFF"/>
              </w:rPr>
              <w:t>​150,500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 ​</w:t>
            </w:r>
          </w:p>
        </w:tc>
        <w:tc>
          <w:tcPr>
            <w:tcW w:w="760" w:type="dxa"/>
            <w:vAlign w:val="bottom"/>
            <w:tcBorders>
              <w:bottom w:val="single" w:sz="8" w:color="CCEEFF"/>
            </w:tcBorders>
            <w:gridSpan w:val="2"/>
            <w:shd w:val="clear" w:color="auto" w:fill="CCEEFF"/>
          </w:tcPr>
          <w:p>
            <w:pPr>
              <w:ind w:left="40"/>
              <w:spacing w:after="0" w:line="214" w:lineRule="exact"/>
              <w:rPr>
                <w:sz w:val="20"/>
                <w:szCs w:val="20"/>
                <w:color w:val="auto"/>
              </w:rPr>
            </w:pPr>
            <w:r>
              <w:rPr>
                <w:rFonts w:ascii="Arial" w:cs="Arial" w:eastAsia="Arial" w:hAnsi="Arial"/>
                <w:sz w:val="24"/>
                <w:szCs w:val="24"/>
                <w:color w:val="auto"/>
                <w:vertAlign w:val="superscript"/>
                <w:shd w:val="clear" w:color="auto" w:fill="CCEEFF"/>
              </w:rPr>
              <w:t>​ ​</w:t>
            </w:r>
            <w:r>
              <w:rPr>
                <w:rFonts w:ascii="Arial" w:cs="Arial" w:eastAsia="Arial" w:hAnsi="Arial"/>
                <w:sz w:val="13"/>
                <w:szCs w:val="13"/>
                <w:color w:val="auto"/>
                <w:shd w:val="clear" w:color="auto" w:fill="CCEEFF"/>
              </w:rPr>
              <w:t>​2,605,651</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960" w:type="dxa"/>
            <w:vAlign w:val="bottom"/>
            <w:gridSpan w:val="2"/>
          </w:tcPr>
          <w:p>
            <w:pPr>
              <w:spacing w:after="0"/>
              <w:rPr>
                <w:sz w:val="20"/>
                <w:szCs w:val="20"/>
                <w:color w:val="auto"/>
              </w:rPr>
            </w:pPr>
            <w:r>
              <w:rPr>
                <w:rFonts w:ascii="Arial" w:cs="Arial" w:eastAsia="Arial" w:hAnsi="Arial"/>
                <w:sz w:val="14"/>
                <w:szCs w:val="14"/>
                <w:color w:val="auto"/>
              </w:rPr>
              <w:t>Craig Shesky</w:t>
            </w:r>
          </w:p>
        </w:tc>
        <w:tc>
          <w:tcPr>
            <w:tcW w:w="1280" w:type="dxa"/>
            <w:vAlign w:val="bottom"/>
          </w:tcPr>
          <w:p>
            <w:pPr>
              <w:ind w:left="1240"/>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​2024</w:t>
            </w:r>
            <w:r>
              <w:rPr>
                <w:rFonts w:ascii="Arial" w:cs="Arial" w:eastAsia="Arial" w:hAnsi="Arial"/>
                <w:sz w:val="23"/>
                <w:szCs w:val="23"/>
                <w:color w:val="auto"/>
                <w:vertAlign w:val="superscript"/>
              </w:rPr>
              <w:t>​​</w:t>
            </w:r>
          </w:p>
        </w:tc>
        <w:tc>
          <w:tcPr>
            <w:tcW w:w="760" w:type="dxa"/>
            <w:vAlign w:val="bottom"/>
            <w:gridSpan w:val="3"/>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​500,000</w:t>
            </w:r>
            <w:r>
              <w:rPr>
                <w:rFonts w:ascii="Arial" w:cs="Arial" w:eastAsia="Arial" w:hAnsi="Arial"/>
                <w:sz w:val="23"/>
                <w:szCs w:val="23"/>
                <w:color w:val="auto"/>
                <w:vertAlign w:val="superscript"/>
              </w:rPr>
              <w:t>​​</w:t>
            </w:r>
          </w:p>
        </w:tc>
        <w:tc>
          <w:tcPr>
            <w:tcW w:w="760" w:type="dxa"/>
            <w:vAlign w:val="bottom"/>
            <w:gridSpan w:val="3"/>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​412,500</w:t>
            </w:r>
            <w:r>
              <w:rPr>
                <w:rFonts w:ascii="Arial" w:cs="Arial" w:eastAsia="Arial" w:hAnsi="Arial"/>
                <w:sz w:val="23"/>
                <w:szCs w:val="23"/>
                <w:color w:val="auto"/>
                <w:vertAlign w:val="superscript"/>
              </w:rPr>
              <w:t>​​</w:t>
            </w:r>
          </w:p>
        </w:tc>
        <w:tc>
          <w:tcPr>
            <w:tcW w:w="140" w:type="dxa"/>
            <w:vAlign w:val="bottom"/>
            <w:gridSpan w:val="2"/>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40" w:type="dxa"/>
            <w:vAlign w:val="bottom"/>
            <w:gridSpan w:val="2"/>
          </w:tcPr>
          <w:p>
            <w:pPr>
              <w:jc w:val="right"/>
              <w:spacing w:after="0" w:line="207" w:lineRule="exact"/>
              <w:rPr>
                <w:sz w:val="20"/>
                <w:szCs w:val="20"/>
                <w:color w:val="auto"/>
              </w:rPr>
            </w:pPr>
            <w:r>
              <w:rPr>
                <w:rFonts w:ascii="Arial" w:cs="Arial" w:eastAsia="Arial" w:hAnsi="Arial"/>
                <w:sz w:val="13"/>
                <w:szCs w:val="13"/>
                <w:color w:val="auto"/>
              </w:rPr>
              <w:t>724,283</w:t>
            </w:r>
            <w:r>
              <w:rPr>
                <w:rFonts w:ascii="Arial" w:cs="Arial" w:eastAsia="Arial" w:hAnsi="Arial"/>
                <w:sz w:val="23"/>
                <w:szCs w:val="23"/>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50,000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gridSpan w:val="2"/>
          </w:tcPr>
          <w:p>
            <w:pPr>
              <w:ind w:left="40"/>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​1,686,783</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gridSpan w:val="2"/>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128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​2023</w:t>
            </w:r>
            <w:r>
              <w:rPr>
                <w:rFonts w:ascii="Arial" w:cs="Arial" w:eastAsia="Arial" w:hAnsi="Arial"/>
                <w:sz w:val="23"/>
                <w:szCs w:val="23"/>
                <w:color w:val="auto"/>
                <w:vertAlign w:val="superscript"/>
              </w:rPr>
              <w:t>​​</w:t>
            </w:r>
          </w:p>
        </w:tc>
        <w:tc>
          <w:tcPr>
            <w:tcW w:w="76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​412,500</w:t>
            </w:r>
            <w:r>
              <w:rPr>
                <w:rFonts w:ascii="Arial" w:cs="Arial" w:eastAsia="Arial" w:hAnsi="Arial"/>
                <w:sz w:val="23"/>
                <w:szCs w:val="23"/>
                <w:color w:val="auto"/>
                <w:vertAlign w:val="superscript"/>
              </w:rPr>
              <w:t>​​</w:t>
            </w:r>
          </w:p>
        </w:tc>
        <w:tc>
          <w:tcPr>
            <w:tcW w:w="76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​309,375</w:t>
            </w:r>
            <w:r>
              <w:rPr>
                <w:rFonts w:ascii="Arial" w:cs="Arial" w:eastAsia="Arial" w:hAnsi="Arial"/>
                <w:sz w:val="23"/>
                <w:szCs w:val="23"/>
                <w:color w:val="auto"/>
                <w:vertAlign w:val="superscript"/>
              </w:rPr>
              <w:t>​​</w:t>
            </w:r>
          </w:p>
        </w:tc>
        <w:tc>
          <w:tcPr>
            <w:tcW w:w="140" w:type="dxa"/>
            <w:vAlign w:val="bottom"/>
            <w:gridSpan w:val="2"/>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540,468</w:t>
            </w:r>
            <w:r>
              <w:rPr>
                <w:rFonts w:ascii="Arial" w:cs="Arial" w:eastAsia="Arial" w:hAnsi="Arial"/>
                <w:sz w:val="23"/>
                <w:szCs w:val="23"/>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 41,250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​1,303,593</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07"/>
        </w:trPr>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Erika Ilves</w:t>
            </w:r>
          </w:p>
        </w:tc>
        <w:tc>
          <w:tcPr>
            <w:tcW w:w="128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​2024</w:t>
            </w:r>
            <w:r>
              <w:rPr>
                <w:rFonts w:ascii="Arial" w:cs="Arial" w:eastAsia="Arial" w:hAnsi="Arial"/>
                <w:sz w:val="23"/>
                <w:szCs w:val="23"/>
                <w:color w:val="auto"/>
                <w:vertAlign w:val="superscript"/>
              </w:rPr>
              <w:t>​​</w:t>
            </w:r>
          </w:p>
        </w:tc>
        <w:tc>
          <w:tcPr>
            <w:tcW w:w="76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​487,000</w:t>
            </w:r>
            <w:r>
              <w:rPr>
                <w:rFonts w:ascii="Arial" w:cs="Arial" w:eastAsia="Arial" w:hAnsi="Arial"/>
                <w:sz w:val="23"/>
                <w:szCs w:val="23"/>
                <w:color w:val="auto"/>
                <w:vertAlign w:val="superscript"/>
              </w:rPr>
              <w:t>​​</w:t>
            </w:r>
          </w:p>
        </w:tc>
        <w:tc>
          <w:tcPr>
            <w:tcW w:w="76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​401,775</w:t>
            </w:r>
            <w:r>
              <w:rPr>
                <w:rFonts w:ascii="Arial" w:cs="Arial" w:eastAsia="Arial" w:hAnsi="Arial"/>
                <w:sz w:val="23"/>
                <w:szCs w:val="23"/>
                <w:color w:val="auto"/>
                <w:vertAlign w:val="superscript"/>
              </w:rPr>
              <w:t>​​</w:t>
            </w:r>
          </w:p>
        </w:tc>
        <w:tc>
          <w:tcPr>
            <w:tcW w:w="1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4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13"/>
                <w:szCs w:val="13"/>
                <w:color w:val="auto"/>
              </w:rPr>
              <w:t>724,283</w:t>
            </w:r>
            <w:r>
              <w:rPr>
                <w:rFonts w:ascii="Arial" w:cs="Arial" w:eastAsia="Arial" w:hAnsi="Arial"/>
                <w:sz w:val="23"/>
                <w:szCs w:val="23"/>
                <w:color w:val="auto"/>
                <w:vertAlign w:val="super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48,700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60" w:type="dxa"/>
            <w:vAlign w:val="bottom"/>
            <w:gridSpan w:val="2"/>
            <w:shd w:val="clear" w:color="auto" w:fill="CCEEFF"/>
          </w:tcPr>
          <w:p>
            <w:pPr>
              <w:ind w:left="40"/>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​1,661,758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1960" w:type="dxa"/>
            <w:vAlign w:val="bottom"/>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Strategy Officer</w:t>
            </w: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​2023</w:t>
            </w:r>
            <w:r>
              <w:rPr>
                <w:rFonts w:ascii="Arial" w:cs="Arial" w:eastAsia="Arial" w:hAnsi="Arial"/>
                <w:sz w:val="28"/>
                <w:szCs w:val="28"/>
                <w:color w:val="auto"/>
                <w:vertAlign w:val="superscript"/>
              </w:rPr>
              <w:t>​​</w:t>
            </w:r>
          </w:p>
        </w:tc>
        <w:tc>
          <w:tcPr>
            <w:tcW w:w="760" w:type="dxa"/>
            <w:vAlign w:val="bottom"/>
            <w:gridSpan w:val="3"/>
            <w:shd w:val="clear" w:color="auto" w:fill="CCEEFF"/>
          </w:tcPr>
          <w:p>
            <w:pPr>
              <w:jc w:val="right"/>
              <w:spacing w:after="0" w:line="32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​433,333</w:t>
            </w:r>
            <w:r>
              <w:rPr>
                <w:rFonts w:ascii="Arial" w:cs="Arial" w:eastAsia="Arial" w:hAnsi="Arial"/>
                <w:sz w:val="28"/>
                <w:szCs w:val="28"/>
                <w:color w:val="auto"/>
                <w:vertAlign w:val="superscript"/>
              </w:rPr>
              <w:t>​​</w:t>
            </w:r>
          </w:p>
        </w:tc>
        <w:tc>
          <w:tcPr>
            <w:tcW w:w="760" w:type="dxa"/>
            <w:vAlign w:val="bottom"/>
            <w:gridSpan w:val="3"/>
            <w:shd w:val="clear" w:color="auto" w:fill="CCEEFF"/>
          </w:tcPr>
          <w:p>
            <w:pPr>
              <w:jc w:val="right"/>
              <w:spacing w:after="0" w:line="32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​325,000</w:t>
            </w:r>
            <w:r>
              <w:rPr>
                <w:rFonts w:ascii="Arial" w:cs="Arial" w:eastAsia="Arial" w:hAnsi="Arial"/>
                <w:sz w:val="28"/>
                <w:szCs w:val="28"/>
                <w:color w:val="auto"/>
                <w:vertAlign w:val="superscript"/>
              </w:rPr>
              <w:t>​​</w:t>
            </w:r>
          </w:p>
        </w:tc>
        <w:tc>
          <w:tcPr>
            <w:tcW w:w="140" w:type="dxa"/>
            <w:vAlign w:val="bottom"/>
            <w:gridSpan w:val="2"/>
            <w:shd w:val="clear" w:color="auto" w:fill="CCEEFF"/>
          </w:tcPr>
          <w:p>
            <w:pPr>
              <w:ind w:left="20"/>
              <w:spacing w:after="0" w:line="32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40" w:type="dxa"/>
            <w:vAlign w:val="bottom"/>
            <w:gridSpan w:val="2"/>
            <w:shd w:val="clear" w:color="auto" w:fill="CCEEFF"/>
          </w:tcPr>
          <w:p>
            <w:pPr>
              <w:jc w:val="right"/>
              <w:spacing w:after="0" w:line="320" w:lineRule="exact"/>
              <w:rPr>
                <w:sz w:val="20"/>
                <w:szCs w:val="20"/>
                <w:color w:val="auto"/>
              </w:rPr>
            </w:pPr>
            <w:r>
              <w:rPr>
                <w:rFonts w:ascii="Arial" w:cs="Arial" w:eastAsia="Arial" w:hAnsi="Arial"/>
                <w:sz w:val="14"/>
                <w:szCs w:val="14"/>
                <w:color w:val="auto"/>
              </w:rPr>
              <w:t>540,468</w:t>
            </w:r>
            <w:r>
              <w:rPr>
                <w:rFonts w:ascii="Arial" w:cs="Arial" w:eastAsia="Arial" w:hAnsi="Arial"/>
                <w:sz w:val="28"/>
                <w:szCs w:val="28"/>
                <w:color w:val="auto"/>
                <w:vertAlign w:val="super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​109,333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60" w:type="dxa"/>
            <w:vAlign w:val="bottom"/>
            <w:gridSpan w:val="2"/>
            <w:shd w:val="clear" w:color="auto" w:fill="CCEEFF"/>
          </w:tcPr>
          <w:p>
            <w:pPr>
              <w:ind w:left="40"/>
              <w:spacing w:after="0" w:line="32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​1,408,134</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8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1600" w:right="419" w:hanging="352"/>
        <w:spacing w:after="0" w:line="274"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executives received their entire 2024 STIP bonus in the form of immediately vested RSUs. The number of 2024 STIP RSUs granted was 341,806 units for Gerard Barron, 245,536 units for Craig Shesky and 239,152 units for Erika Ilves. The 2024 STIP RSUs were granted on March 4, 2025, effective as of March 20, 2025, and the number of RSUs issued to each executive was based on the closing price of our common shares on the approval date of $1.68. For the year ended December 31, 2023, we awarded an annual STIP bonus at 75% of target. The executives received their entire 2023 STIP bonus in the form of immediately vested RSUs. The number of STIP RSUs granted for 2023 were 350,690 units for Gerard Barron, 213,362 units for Craig Shesky and 224,138 units for Erika Ilves. The STIP RSUs were granted on February 29, 2024, effective as of March 20, 2024, and the number of STIP RSUs received by each executive was based on the closing price of our common shares on the grant date of $1.45.</w:t>
      </w:r>
    </w:p>
    <w:p>
      <w:pPr>
        <w:spacing w:after="0" w:line="60"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LTIP stock awards consist of RSUs granted to NEOs for the preceding performance year. Stock awards were granted on February 29, 2024 and March 7, 2023 in respect of the financial years ended December 31, 2023 and December 31, 2022, respectively. The grant date fair value is computed based on the closing market price on the date of grant in accordance with FASB ASC Topic 718, Compensation — Stock Compensation (“ASC 718”).</w:t>
      </w:r>
    </w:p>
    <w:p>
      <w:pPr>
        <w:spacing w:after="0" w:line="53" w:lineRule="exact"/>
        <w:rPr>
          <w:rFonts w:ascii="Arial" w:cs="Arial" w:eastAsia="Arial" w:hAnsi="Arial"/>
          <w:sz w:val="14"/>
          <w:szCs w:val="14"/>
          <w:color w:val="auto"/>
        </w:rPr>
      </w:pPr>
    </w:p>
    <w:p>
      <w:pPr>
        <w:ind w:left="1600" w:hanging="352"/>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pension benefits contributions we made to our NEOs.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Outstanding Equity Awards at 2024 Fiscal Year-End</w:t>
      </w:r>
    </w:p>
    <w:p>
      <w:pPr>
        <w:spacing w:after="0" w:line="158" w:lineRule="exact"/>
        <w:rPr>
          <w:sz w:val="20"/>
          <w:szCs w:val="20"/>
          <w:color w:val="auto"/>
        </w:rPr>
      </w:pPr>
    </w:p>
    <w:p>
      <w:pPr>
        <w:ind w:left="1240" w:right="439" w:firstLine="360"/>
        <w:spacing w:after="0" w:line="271"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2024.</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rPr>
              <w:t>​ ​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1560" w:type="dxa"/>
            <w:vAlign w:val="bottom"/>
            <w:gridSpan w:val="7"/>
          </w:tcPr>
          <w:p>
            <w:pPr>
              <w:ind w:left="36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Market</w:t>
            </w:r>
          </w:p>
        </w:tc>
        <w:tc>
          <w:tcPr>
            <w:tcW w:w="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rPr>
              <w:t>shares or</w:t>
            </w:r>
          </w:p>
        </w:tc>
        <w:tc>
          <w:tcPr>
            <w:tcW w:w="80" w:type="dxa"/>
            <w:vAlign w:val="bottom"/>
          </w:tcPr>
          <w:p>
            <w:pPr>
              <w:spacing w:after="0"/>
              <w:rPr>
                <w:sz w:val="14"/>
                <w:szCs w:val="14"/>
                <w:color w:val="auto"/>
              </w:rPr>
            </w:pPr>
          </w:p>
        </w:tc>
        <w:tc>
          <w:tcPr>
            <w:tcW w:w="86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rPr>
              <w:t>stock that</w:t>
            </w:r>
          </w:p>
        </w:tc>
        <w:tc>
          <w:tcPr>
            <w:tcW w:w="80" w:type="dxa"/>
            <w:vAlign w:val="bottom"/>
          </w:tcPr>
          <w:p>
            <w:pPr>
              <w:spacing w:after="0"/>
              <w:rPr>
                <w:sz w:val="14"/>
                <w:szCs w:val="14"/>
                <w:color w:val="auto"/>
              </w:rPr>
            </w:pPr>
          </w:p>
        </w:tc>
        <w:tc>
          <w:tcPr>
            <w:tcW w:w="86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26"/>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ind w:right="165"/>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Option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rPr>
              <w:t>have not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103"/>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Effective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Unexercisable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Price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Expiration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vested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rPr>
              <w:t>​ ​ Grant Date ​ ​</w:t>
            </w:r>
          </w:p>
        </w:tc>
        <w:tc>
          <w:tcPr>
            <w:tcW w:w="160" w:type="dxa"/>
            <w:vAlign w:val="bottom"/>
          </w:tcPr>
          <w:p>
            <w:pPr>
              <w:spacing w:after="0"/>
              <w:rPr>
                <w:sz w:val="15"/>
                <w:szCs w:val="15"/>
                <w:color w:val="auto"/>
              </w:rPr>
            </w:pPr>
          </w:p>
        </w:tc>
        <w:tc>
          <w:tcPr>
            <w:tcW w:w="720" w:type="dxa"/>
            <w:vAlign w:val="bottom"/>
          </w:tcPr>
          <w:p>
            <w:pPr>
              <w:jc w:val="right"/>
              <w:ind w:right="28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5"/>
                <w:szCs w:val="15"/>
                <w:color w:val="auto"/>
              </w:rPr>
            </w:pPr>
          </w:p>
        </w:tc>
        <w:tc>
          <w:tcPr>
            <w:tcW w:w="760" w:type="dxa"/>
            <w:vAlign w:val="bottom"/>
          </w:tcPr>
          <w:p>
            <w:pPr>
              <w:jc w:val="right"/>
              <w:ind w:right="285"/>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5"/>
                <w:szCs w:val="15"/>
                <w:color w:val="auto"/>
              </w:rPr>
            </w:pPr>
          </w:p>
        </w:tc>
        <w:tc>
          <w:tcPr>
            <w:tcW w:w="38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5"/>
                <w:szCs w:val="15"/>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560" w:type="dxa"/>
            <w:vAlign w:val="bottom"/>
          </w:tcPr>
          <w:p>
            <w:pPr>
              <w:ind w:left="180"/>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540" w:type="dxa"/>
            <w:vAlign w:val="bottom"/>
          </w:tcPr>
          <w:p>
            <w:pPr>
              <w:jc w:val="right"/>
              <w:ind w:right="66"/>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16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Gerard Barron</w:t>
            </w:r>
          </w:p>
        </w:tc>
        <w:tc>
          <w:tcPr>
            <w:tcW w:w="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9/9/2021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2"/>
            <w:shd w:val="clear" w:color="auto" w:fill="CCEEFF"/>
          </w:tcPr>
          <w:p>
            <w:pPr>
              <w:jc w:val="right"/>
              <w:ind w:right="46"/>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​3,473,586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220" w:type="dxa"/>
            <w:vAlign w:val="bottom"/>
            <w:shd w:val="clear" w:color="auto" w:fill="CCEEFF"/>
          </w:tcPr>
          <w:p>
            <w:pPr>
              <w:ind w:left="16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6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720" w:type="dxa"/>
            <w:vAlign w:val="bottom"/>
            <w:gridSpan w:val="2"/>
            <w:shd w:val="clear" w:color="auto" w:fill="CCEEFF"/>
          </w:tcPr>
          <w:p>
            <w:pPr>
              <w:jc w:val="right"/>
              <w:ind w:right="14"/>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 ​ ​</w:t>
            </w:r>
          </w:p>
        </w:tc>
        <w:tc>
          <w:tcPr>
            <w:tcW w:w="60" w:type="dxa"/>
            <w:vAlign w:val="bottom"/>
            <w:shd w:val="clear" w:color="auto" w:fill="CCEEFF"/>
          </w:tcPr>
          <w:p>
            <w:pPr>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604,458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​2,275,334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​3/20/2023</w:t>
            </w:r>
          </w:p>
        </w:tc>
        <w:tc>
          <w:tcPr>
            <w:tcW w:w="24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60" w:type="dxa"/>
            <w:vAlign w:val="bottom"/>
            <w:shd w:val="clear" w:color="auto" w:fill="CCEEFF"/>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shd w:val="clear" w:color="auto" w:fill="CCEEFF"/>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shd w:val="clear" w:color="auto" w:fill="CCEEFF"/>
          </w:tcPr>
          <w:p>
            <w:pPr>
              <w:jc w:val="right"/>
              <w:ind w:right="105"/>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shd w:val="clear" w:color="auto" w:fill="CCEEFF"/>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shd w:val="clear" w:color="auto" w:fill="CCEEFF"/>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shd w:val="clear" w:color="auto" w:fill="CCEEFF"/>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shd w:val="clear" w:color="auto" w:fill="CCEEFF"/>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5"/>
            <w:shd w:val="clear" w:color="auto" w:fill="CCEEFF"/>
          </w:tcPr>
          <w:p>
            <w:pPr>
              <w:jc w:val="right"/>
              <w:spacing w:after="0" w:line="36" w:lineRule="exact"/>
              <w:rPr>
                <w:sz w:val="20"/>
                <w:szCs w:val="20"/>
                <w:color w:val="auto"/>
              </w:rPr>
            </w:pPr>
            <w:r>
              <w:rPr>
                <w:rFonts w:ascii="Arial" w:cs="Arial" w:eastAsia="Arial" w:hAnsi="Arial"/>
                <w:sz w:val="2"/>
                <w:szCs w:val="2"/>
                <w:color w:val="auto"/>
              </w:rPr>
              <w:t>959,480</w:t>
            </w:r>
            <w:r>
              <w:rPr>
                <w:rFonts w:ascii="Arial" w:cs="Arial" w:eastAsia="Arial" w:hAnsi="Arial"/>
                <w:sz w:val="4"/>
                <w:szCs w:val="4"/>
                <w:color w:val="auto"/>
                <w:vertAlign w:val="superscript"/>
              </w:rPr>
              <w:t>​​ ​​</w:t>
            </w:r>
          </w:p>
        </w:tc>
        <w:tc>
          <w:tcPr>
            <w:tcW w:w="740" w:type="dxa"/>
            <w:vAlign w:val="bottom"/>
            <w:gridSpan w:val="3"/>
            <w:shd w:val="clear" w:color="auto" w:fill="CCEEFF"/>
          </w:tcPr>
          <w:p>
            <w:pPr>
              <w:jc w:val="right"/>
              <w:spacing w:after="0" w:line="36" w:lineRule="exact"/>
              <w:rPr>
                <w:sz w:val="20"/>
                <w:szCs w:val="20"/>
                <w:color w:val="auto"/>
              </w:rPr>
            </w:pPr>
            <w:r>
              <w:rPr>
                <w:rFonts w:ascii="Arial" w:cs="Arial" w:eastAsia="Arial" w:hAnsi="Arial"/>
                <w:sz w:val="4"/>
                <w:szCs w:val="4"/>
                <w:color w:val="auto"/>
              </w:rPr>
              <w:t>​ 1,074,618</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​3/20/2024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60" w:type="dxa"/>
            <w:vAlign w:val="bottom"/>
            <w:shd w:val="clear" w:color="auto" w:fill="CCEEFF"/>
          </w:tcPr>
          <w:p>
            <w:pPr>
              <w:jc w:val="right"/>
              <w:ind w:right="105"/>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ind w:left="20"/>
              <w:spacing w:after="0" w:line="85" w:lineRule="exact"/>
              <w:rPr>
                <w:sz w:val="20"/>
                <w:szCs w:val="20"/>
                <w:color w:val="auto"/>
              </w:rPr>
            </w:pPr>
            <w:r>
              <w:rPr>
                <w:rFonts w:ascii="Arial" w:cs="Arial" w:eastAsia="Arial" w:hAnsi="Arial"/>
                <w:sz w:val="8"/>
                <w:szCs w:val="8"/>
                <w:color w:val="auto"/>
              </w:rPr>
              <w:t>​​ ​​</w:t>
            </w:r>
            <w:r>
              <w:rPr>
                <w:rFonts w:ascii="Arial" w:cs="Arial" w:eastAsia="Arial" w:hAnsi="Arial"/>
                <w:sz w:val="9"/>
                <w:szCs w:val="9"/>
                <w:color w:val="auto"/>
                <w:vertAlign w:val="subscript"/>
              </w:rPr>
              <w:t>​</w:t>
            </w:r>
          </w:p>
        </w:tc>
        <w:tc>
          <w:tcPr>
            <w:tcW w:w="980" w:type="dxa"/>
            <w:vAlign w:val="bottom"/>
            <w:gridSpan w:val="5"/>
            <w:shd w:val="clear" w:color="auto" w:fill="CCEEFF"/>
          </w:tcPr>
          <w:p>
            <w:pPr>
              <w:jc w:val="right"/>
              <w:spacing w:after="0" w:line="85" w:lineRule="exact"/>
              <w:rPr>
                <w:sz w:val="20"/>
                <w:szCs w:val="20"/>
                <w:color w:val="auto"/>
              </w:rPr>
            </w:pPr>
            <w:r>
              <w:rPr>
                <w:rFonts w:ascii="Arial" w:cs="Arial" w:eastAsia="Arial" w:hAnsi="Arial"/>
                <w:sz w:val="8"/>
                <w:szCs w:val="8"/>
                <w:color w:val="auto"/>
              </w:rPr>
              <w:t>1,276,936</w:t>
            </w:r>
            <w:r>
              <w:rPr>
                <w:rFonts w:ascii="Arial" w:cs="Arial" w:eastAsia="Arial" w:hAnsi="Arial"/>
                <w:sz w:val="9"/>
                <w:szCs w:val="9"/>
                <w:color w:val="auto"/>
                <w:vertAlign w:val="superscript"/>
              </w:rPr>
              <w:t>​​ ​​</w:t>
            </w:r>
          </w:p>
        </w:tc>
        <w:tc>
          <w:tcPr>
            <w:tcW w:w="740" w:type="dxa"/>
            <w:vAlign w:val="bottom"/>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 1,430,168</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​4/16/2024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60" w:type="dxa"/>
            <w:vAlign w:val="bottom"/>
            <w:shd w:val="clear" w:color="auto" w:fill="CCEEFF"/>
          </w:tcPr>
          <w:p>
            <w:pPr>
              <w:jc w:val="right"/>
              <w:ind w:right="105"/>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1260" w:type="dxa"/>
            <w:vAlign w:val="bottom"/>
            <w:gridSpan w:val="8"/>
            <w:shd w:val="clear" w:color="auto" w:fill="CCEEFF"/>
          </w:tcPr>
          <w:p>
            <w:pPr>
              <w:ind w:left="20"/>
              <w:spacing w:after="0" w:line="85" w:lineRule="exact"/>
              <w:rPr>
                <w:sz w:val="20"/>
                <w:szCs w:val="20"/>
                <w:color w:val="auto"/>
              </w:rPr>
            </w:pPr>
            <w:r>
              <w:rPr>
                <w:rFonts w:ascii="Arial" w:cs="Arial" w:eastAsia="Arial" w:hAnsi="Arial"/>
                <w:sz w:val="9"/>
                <w:szCs w:val="9"/>
                <w:color w:val="auto"/>
                <w:vertAlign w:val="superscript"/>
              </w:rPr>
              <w:t>​​ ​​</w:t>
            </w:r>
            <w:r>
              <w:rPr>
                <w:rFonts w:ascii="Arial" w:cs="Arial" w:eastAsia="Arial" w:hAnsi="Arial"/>
                <w:sz w:val="8"/>
                <w:szCs w:val="8"/>
                <w:color w:val="auto"/>
              </w:rPr>
              <w:t>​20,000,000</w:t>
            </w:r>
            <w:r>
              <w:rPr>
                <w:rFonts w:ascii="Arial" w:cs="Arial" w:eastAsia="Arial" w:hAnsi="Arial"/>
                <w:sz w:val="9"/>
                <w:szCs w:val="9"/>
                <w:color w:val="auto"/>
                <w:vertAlign w:val="superscript"/>
              </w:rPr>
              <w:t>​​ ​​</w:t>
            </w:r>
          </w:p>
        </w:tc>
        <w:tc>
          <w:tcPr>
            <w:tcW w:w="740" w:type="dxa"/>
            <w:vAlign w:val="bottom"/>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​22,400,000</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60" w:type="dxa"/>
            <w:vAlign w:val="bottom"/>
            <w:gridSpan w:val="2"/>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gridSpan w:val="2"/>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gridSpan w:val="2"/>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80" w:type="dxa"/>
            <w:vAlign w:val="bottom"/>
            <w:gridSpan w:val="2"/>
          </w:tcPr>
          <w:p>
            <w:pPr>
              <w:spacing w:after="0"/>
              <w:rPr>
                <w:sz w:val="20"/>
                <w:szCs w:val="20"/>
                <w:color w:val="auto"/>
              </w:rPr>
            </w:pPr>
            <w:r>
              <w:rPr>
                <w:rFonts w:ascii="Arial" w:cs="Arial" w:eastAsia="Arial" w:hAnsi="Arial"/>
                <w:sz w:val="14"/>
                <w:szCs w:val="14"/>
                <w:color w:val="auto"/>
              </w:rPr>
              <w:t>Erika Ilves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00" w:type="dxa"/>
            <w:vAlign w:val="bottom"/>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9/9/2021</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ind w:right="46"/>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​1,099,968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ind w:left="16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60" w:type="dxa"/>
            <w:vAlign w:val="bottom"/>
          </w:tcPr>
          <w:p>
            <w:pPr>
              <w:jc w:val="right"/>
              <w:ind w:right="105"/>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jc w:val="right"/>
              <w:ind w:right="97"/>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ind w:right="14"/>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tcPr>
          <w:p>
            <w:pPr>
              <w:spacing w:after="0"/>
              <w:rPr>
                <w:sz w:val="17"/>
                <w:szCs w:val="17"/>
                <w:color w:val="auto"/>
              </w:rPr>
            </w:pPr>
          </w:p>
        </w:tc>
        <w:tc>
          <w:tcPr>
            <w:tcW w:w="460" w:type="dxa"/>
            <w:vAlign w:val="bottom"/>
            <w:gridSpan w:val="5"/>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46"/>
              <w:spacing w:after="0"/>
              <w:rPr>
                <w:sz w:val="20"/>
                <w:szCs w:val="20"/>
                <w:color w:val="auto"/>
              </w:rPr>
            </w:pPr>
            <w:r>
              <w:rPr>
                <w:rFonts w:ascii="Arial" w:cs="Arial" w:eastAsia="Arial" w:hAnsi="Arial"/>
                <w:sz w:val="14"/>
                <w:szCs w:val="14"/>
                <w:color w:val="auto"/>
              </w:rPr>
              <w:t>262,109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05"/>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​1,011,259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tcPr>
          <w:p>
            <w:pPr>
              <w:spacing w:after="0"/>
              <w:rPr>
                <w:sz w:val="17"/>
                <w:szCs w:val="17"/>
                <w:color w:val="auto"/>
              </w:rPr>
            </w:pPr>
          </w:p>
        </w:tc>
        <w:tc>
          <w:tcPr>
            <w:tcW w:w="460" w:type="dxa"/>
            <w:vAlign w:val="bottom"/>
            <w:gridSpan w:val="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gridSpan w:val="4"/>
          </w:tcPr>
          <w:p>
            <w:pPr>
              <w:jc w:val="right"/>
              <w:spacing w:after="0" w:line="36" w:lineRule="exact"/>
              <w:rPr>
                <w:sz w:val="20"/>
                <w:szCs w:val="20"/>
                <w:color w:val="auto"/>
              </w:rPr>
            </w:pPr>
            <w:r>
              <w:rPr>
                <w:rFonts w:ascii="Arial" w:cs="Arial" w:eastAsia="Arial" w:hAnsi="Arial"/>
                <w:sz w:val="4"/>
                <w:szCs w:val="4"/>
                <w:color w:val="auto"/>
                <w:vertAlign w:val="superscript"/>
              </w:rPr>
              <w:t>​ ​</w:t>
            </w:r>
            <w:r>
              <w:rPr>
                <w:rFonts w:ascii="Arial" w:cs="Arial" w:eastAsia="Arial" w:hAnsi="Arial"/>
                <w:sz w:val="2"/>
                <w:szCs w:val="2"/>
                <w:color w:val="auto"/>
              </w:rPr>
              <w:t xml:space="preserve">​3/20/2023 </w:t>
            </w:r>
            <w:r>
              <w:rPr>
                <w:rFonts w:ascii="Arial" w:cs="Arial" w:eastAsia="Arial" w:hAnsi="Arial"/>
                <w:sz w:val="4"/>
                <w:szCs w:val="4"/>
                <w:color w:val="auto"/>
                <w:vertAlign w:val="superscript"/>
              </w:rPr>
              <w:t>​​ ​</w:t>
            </w:r>
          </w:p>
        </w:tc>
        <w:tc>
          <w:tcPr>
            <w:tcW w:w="160" w:type="dxa"/>
            <w:vAlign w:val="bottom"/>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tcPr>
          <w:p>
            <w:pPr>
              <w:jc w:val="right"/>
              <w:ind w:right="105"/>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5"/>
          </w:tcPr>
          <w:p>
            <w:pPr>
              <w:jc w:val="right"/>
              <w:spacing w:after="0" w:line="36" w:lineRule="exact"/>
              <w:rPr>
                <w:sz w:val="20"/>
                <w:szCs w:val="20"/>
                <w:color w:val="auto"/>
              </w:rPr>
            </w:pPr>
            <w:r>
              <w:rPr>
                <w:rFonts w:ascii="Arial" w:cs="Arial" w:eastAsia="Arial" w:hAnsi="Arial"/>
                <w:sz w:val="2"/>
                <w:szCs w:val="2"/>
                <w:color w:val="auto"/>
              </w:rPr>
              <w:t>375,325</w:t>
            </w:r>
            <w:r>
              <w:rPr>
                <w:rFonts w:ascii="Arial" w:cs="Arial" w:eastAsia="Arial" w:hAnsi="Arial"/>
                <w:sz w:val="4"/>
                <w:szCs w:val="4"/>
                <w:color w:val="auto"/>
                <w:vertAlign w:val="superscript"/>
              </w:rPr>
              <w:t>​​ ​​</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740" w:type="dxa"/>
            <w:vAlign w:val="bottom"/>
            <w:gridSpan w:val="3"/>
          </w:tcPr>
          <w:p>
            <w:pPr>
              <w:jc w:val="right"/>
              <w:spacing w:after="0" w:line="36" w:lineRule="exact"/>
              <w:rPr>
                <w:sz w:val="20"/>
                <w:szCs w:val="20"/>
                <w:color w:val="auto"/>
              </w:rPr>
            </w:pPr>
            <w:r>
              <w:rPr>
                <w:rFonts w:ascii="Arial" w:cs="Arial" w:eastAsia="Arial" w:hAnsi="Arial"/>
                <w:sz w:val="2"/>
                <w:szCs w:val="2"/>
                <w:color w:val="auto"/>
              </w:rPr>
              <w:t>420,364</w:t>
            </w:r>
            <w:r>
              <w:rPr>
                <w:rFonts w:ascii="Arial" w:cs="Arial" w:eastAsia="Arial" w:hAnsi="Arial"/>
                <w:sz w:val="4"/>
                <w:szCs w:val="4"/>
                <w:color w:val="auto"/>
                <w:vertAlign w:val="superscript"/>
              </w:rPr>
              <w:t>​</w:t>
            </w:r>
          </w:p>
        </w:tc>
        <w:tc>
          <w:tcPr>
            <w:tcW w:w="0" w:type="dxa"/>
            <w:vAlign w:val="bottom"/>
          </w:tcPr>
          <w:p>
            <w:pPr>
              <w:spacing w:after="0" w:line="20" w:lineRule="exact"/>
              <w:rPr>
                <w:sz w:val="1"/>
                <w:szCs w:val="1"/>
                <w:color w:val="auto"/>
              </w:rPr>
            </w:pPr>
          </w:p>
        </w:tc>
      </w:tr>
      <w:tr>
        <w:trPr>
          <w:trHeight w:val="117"/>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4"/>
            <w:vMerge w:val="restart"/>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​3/20/2024 </w:t>
            </w:r>
            <w:r>
              <w:rPr>
                <w:rFonts w:ascii="Arial" w:cs="Arial" w:eastAsia="Arial" w:hAnsi="Arial"/>
                <w:sz w:val="23"/>
                <w:szCs w:val="23"/>
                <w:color w:val="auto"/>
                <w:vertAlign w:val="superscript"/>
              </w:rPr>
              <w:t>​​ ​</w:t>
            </w:r>
          </w:p>
        </w:tc>
        <w:tc>
          <w:tcPr>
            <w:tcW w:w="160" w:type="dxa"/>
            <w:vAlign w:val="bottom"/>
            <w:vMerge w:val="restart"/>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vMerge w:val="restart"/>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vMerge w:val="restart"/>
          </w:tcPr>
          <w:p>
            <w:pPr>
              <w:jc w:val="right"/>
              <w:ind w:right="105"/>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 ​</w:t>
            </w:r>
          </w:p>
        </w:tc>
        <w:tc>
          <w:tcPr>
            <w:tcW w:w="220" w:type="dxa"/>
            <w:vAlign w:val="bottom"/>
            <w:vMerge w:val="restart"/>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380" w:type="dxa"/>
            <w:vAlign w:val="bottom"/>
            <w:vMerge w:val="restart"/>
          </w:tcPr>
          <w:p>
            <w:pPr>
              <w:jc w:val="right"/>
              <w:ind w:right="97"/>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120" w:type="dxa"/>
            <w:vAlign w:val="bottom"/>
            <w:vMerge w:val="restart"/>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color w:val="auto"/>
              </w:rPr>
              <w:t>—</w:t>
            </w:r>
          </w:p>
        </w:tc>
        <w:tc>
          <w:tcPr>
            <w:tcW w:w="280" w:type="dxa"/>
            <w:vAlign w:val="bottom"/>
            <w:gridSpan w:val="3"/>
            <w:vMerge w:val="restart"/>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tcPr>
          <w:p>
            <w:pPr>
              <w:spacing w:after="0"/>
              <w:rPr>
                <w:sz w:val="10"/>
                <w:szCs w:val="10"/>
                <w:color w:val="auto"/>
              </w:rPr>
            </w:pPr>
          </w:p>
        </w:tc>
        <w:tc>
          <w:tcPr>
            <w:tcW w:w="260" w:type="dxa"/>
            <w:vAlign w:val="bottom"/>
            <w:gridSpan w:val="2"/>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line="202" w:lineRule="exact"/>
              <w:rPr>
                <w:sz w:val="20"/>
                <w:szCs w:val="20"/>
                <w:color w:val="auto"/>
              </w:rPr>
            </w:pPr>
            <w:r>
              <w:rPr>
                <w:rFonts w:ascii="Arial" w:cs="Arial" w:eastAsia="Arial" w:hAnsi="Arial"/>
                <w:sz w:val="13"/>
                <w:szCs w:val="13"/>
                <w:color w:val="auto"/>
              </w:rPr>
              <w:t>559,446</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85"/>
        </w:trPr>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980" w:type="dxa"/>
            <w:vAlign w:val="bottom"/>
            <w:gridSpan w:val="5"/>
          </w:tcPr>
          <w:p>
            <w:pPr>
              <w:jc w:val="right"/>
              <w:spacing w:after="0" w:line="85" w:lineRule="exact"/>
              <w:rPr>
                <w:sz w:val="20"/>
                <w:szCs w:val="20"/>
                <w:color w:val="auto"/>
              </w:rPr>
            </w:pPr>
            <w:r>
              <w:rPr>
                <w:rFonts w:ascii="Arial" w:cs="Arial" w:eastAsia="Arial" w:hAnsi="Arial"/>
                <w:sz w:val="8"/>
                <w:szCs w:val="8"/>
                <w:color w:val="auto"/>
              </w:rPr>
              <w:t>499,505</w:t>
            </w:r>
            <w:r>
              <w:rPr>
                <w:rFonts w:ascii="Arial" w:cs="Arial" w:eastAsia="Arial" w:hAnsi="Arial"/>
                <w:sz w:val="9"/>
                <w:szCs w:val="9"/>
                <w:color w:val="auto"/>
                <w:vertAlign w:val="superscript"/>
              </w:rPr>
              <w:t>​​ ​​</w:t>
            </w:r>
          </w:p>
        </w:tc>
        <w:tc>
          <w:tcPr>
            <w:tcW w:w="40" w:type="dxa"/>
            <w:vAlign w:val="bottom"/>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gridSpan w:val="2"/>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gridSpan w:val="4"/>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Craig Shesky</w:t>
            </w:r>
          </w:p>
        </w:tc>
        <w:tc>
          <w:tcPr>
            <w:tcW w:w="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405,251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ind w:left="16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6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​8.64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shd w:val="clear" w:color="auto" w:fill="CCEEFF"/>
          </w:tcPr>
          <w:p>
            <w:pPr>
              <w:spacing w:after="0"/>
              <w:rPr>
                <w:sz w:val="17"/>
                <w:szCs w:val="17"/>
                <w:color w:val="auto"/>
              </w:rPr>
            </w:pPr>
          </w:p>
        </w:tc>
        <w:tc>
          <w:tcPr>
            <w:tcW w:w="460" w:type="dxa"/>
            <w:vAlign w:val="bottom"/>
            <w:gridSpan w:val="5"/>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252,814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60" w:type="dxa"/>
            <w:vAlign w:val="bottom"/>
            <w:shd w:val="clear" w:color="auto" w:fill="CCEEFF"/>
          </w:tcPr>
          <w:p>
            <w:pPr>
              <w:spacing w:after="0"/>
              <w:rPr>
                <w:sz w:val="17"/>
                <w:szCs w:val="17"/>
                <w:color w:val="auto"/>
              </w:rPr>
            </w:pPr>
          </w:p>
        </w:tc>
        <w:tc>
          <w:tcPr>
            <w:tcW w:w="4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​3/20/2023</w:t>
            </w:r>
          </w:p>
        </w:tc>
        <w:tc>
          <w:tcPr>
            <w:tcW w:w="24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60" w:type="dxa"/>
            <w:vAlign w:val="bottom"/>
            <w:shd w:val="clear" w:color="auto" w:fill="CCEEFF"/>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shd w:val="clear" w:color="auto" w:fill="CCEEFF"/>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shd w:val="clear" w:color="auto" w:fill="CCEEFF"/>
          </w:tcPr>
          <w:p>
            <w:pPr>
              <w:jc w:val="right"/>
              <w:ind w:right="105"/>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shd w:val="clear" w:color="auto" w:fill="CCEEFF"/>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shd w:val="clear" w:color="auto" w:fill="CCEEFF"/>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shd w:val="clear" w:color="auto" w:fill="CCEEFF"/>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shd w:val="clear" w:color="auto" w:fill="CCEEFF"/>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5"/>
            <w:shd w:val="clear" w:color="auto" w:fill="CCEEFF"/>
          </w:tcPr>
          <w:p>
            <w:pPr>
              <w:jc w:val="right"/>
              <w:spacing w:after="0" w:line="36" w:lineRule="exact"/>
              <w:rPr>
                <w:sz w:val="20"/>
                <w:szCs w:val="20"/>
                <w:color w:val="auto"/>
              </w:rPr>
            </w:pPr>
            <w:r>
              <w:rPr>
                <w:rFonts w:ascii="Arial" w:cs="Arial" w:eastAsia="Arial" w:hAnsi="Arial"/>
                <w:sz w:val="2"/>
                <w:szCs w:val="2"/>
                <w:color w:val="auto"/>
              </w:rPr>
              <w:t>375,325</w:t>
            </w:r>
            <w:r>
              <w:rPr>
                <w:rFonts w:ascii="Arial" w:cs="Arial" w:eastAsia="Arial" w:hAnsi="Arial"/>
                <w:sz w:val="4"/>
                <w:szCs w:val="4"/>
                <w:color w:val="auto"/>
                <w:vertAlign w:val="superscript"/>
              </w:rPr>
              <w:t>​​ ​​</w:t>
            </w:r>
          </w:p>
        </w:tc>
        <w:tc>
          <w:tcPr>
            <w:tcW w:w="4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420,364</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​3/20/2024</w:t>
            </w:r>
          </w:p>
        </w:tc>
        <w:tc>
          <w:tcPr>
            <w:tcW w:w="24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60" w:type="dxa"/>
            <w:vAlign w:val="bottom"/>
            <w:shd w:val="clear" w:color="auto" w:fill="CCEEFF"/>
          </w:tcPr>
          <w:p>
            <w:pPr>
              <w:jc w:val="right"/>
              <w:ind w:right="105"/>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ind w:left="20"/>
              <w:spacing w:after="0" w:line="85" w:lineRule="exact"/>
              <w:rPr>
                <w:sz w:val="20"/>
                <w:szCs w:val="20"/>
                <w:color w:val="auto"/>
              </w:rPr>
            </w:pPr>
            <w:r>
              <w:rPr>
                <w:rFonts w:ascii="Arial" w:cs="Arial" w:eastAsia="Arial" w:hAnsi="Arial"/>
                <w:sz w:val="8"/>
                <w:szCs w:val="8"/>
                <w:color w:val="auto"/>
              </w:rPr>
              <w:t>​​ ​​</w:t>
            </w:r>
            <w:r>
              <w:rPr>
                <w:rFonts w:ascii="Arial" w:cs="Arial" w:eastAsia="Arial" w:hAnsi="Arial"/>
                <w:sz w:val="9"/>
                <w:szCs w:val="9"/>
                <w:color w:val="auto"/>
                <w:vertAlign w:val="subscript"/>
              </w:rPr>
              <w:t>​</w:t>
            </w:r>
          </w:p>
        </w:tc>
        <w:tc>
          <w:tcPr>
            <w:tcW w:w="980" w:type="dxa"/>
            <w:vAlign w:val="bottom"/>
            <w:gridSpan w:val="5"/>
            <w:shd w:val="clear" w:color="auto" w:fill="CCEEFF"/>
          </w:tcPr>
          <w:p>
            <w:pPr>
              <w:ind w:left="180"/>
              <w:spacing w:after="0" w:line="85" w:lineRule="exact"/>
              <w:rPr>
                <w:sz w:val="20"/>
                <w:szCs w:val="20"/>
                <w:color w:val="auto"/>
              </w:rPr>
            </w:pPr>
            <w:r>
              <w:rPr>
                <w:rFonts w:ascii="Arial" w:cs="Arial" w:eastAsia="Arial" w:hAnsi="Arial"/>
                <w:sz w:val="8"/>
                <w:szCs w:val="8"/>
                <w:color w:val="auto"/>
              </w:rPr>
              <w:t>499,505</w:t>
            </w:r>
            <w:r>
              <w:rPr>
                <w:rFonts w:ascii="Arial" w:cs="Arial" w:eastAsia="Arial" w:hAnsi="Arial"/>
                <w:sz w:val="9"/>
                <w:szCs w:val="9"/>
                <w:color w:val="auto"/>
                <w:vertAlign w:val="superscript"/>
              </w:rPr>
              <w:t>​​ ​​</w:t>
            </w: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559,446</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90"/>
              </w:rPr>
              <w:t>(4)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1600" w:right="419" w:hanging="352"/>
        <w:spacing w:after="0" w:line="282"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26"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Does not include RSUs granted on March 4, 2025 (effective as of March 20, 2025) of which 1,598,070 units were granted to Gerard Barron, 625,125 units were granted to Craig Shesky and 625,125 units were granted to Erika Ilves.</w:t>
      </w:r>
    </w:p>
    <w:p>
      <w:pPr>
        <w:spacing w:after="0" w:line="9" w:lineRule="exact"/>
        <w:rPr>
          <w:rFonts w:ascii="Arial" w:cs="Arial" w:eastAsia="Arial" w:hAnsi="Arial"/>
          <w:sz w:val="14"/>
          <w:szCs w:val="14"/>
          <w:color w:val="auto"/>
        </w:rPr>
      </w:pPr>
    </w:p>
    <w:p>
      <w:pPr>
        <w:ind w:left="1600" w:hanging="352"/>
        <w:spacing w:after="0"/>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Market value of shares based on the closing market share price at December 31, 2024 of $1.12.</w:t>
      </w:r>
    </w:p>
    <w:p>
      <w:pPr>
        <w:spacing w:after="0" w:line="82" w:lineRule="exact"/>
        <w:rPr>
          <w:rFonts w:ascii="Arial" w:cs="Arial" w:eastAsia="Arial" w:hAnsi="Arial"/>
          <w:sz w:val="14"/>
          <w:szCs w:val="14"/>
          <w:color w:val="auto"/>
        </w:rPr>
      </w:pPr>
    </w:p>
    <w:p>
      <w:pPr>
        <w:ind w:left="1600" w:hanging="352"/>
        <w:spacing w:after="0"/>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Stock award was granted as RSUs, which vest one third on each anniversary of the effective grant date.</w:t>
      </w:r>
    </w:p>
    <w:p>
      <w:pPr>
        <w:spacing w:after="0" w:line="68"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Stock award was granted as RSUs, which vest as follows: (i) 1/3rd of the RSU vests if the closing price per share based on the trailing 30-day is $7.50, (i) 1/3rd of the RSU vests if the closing price per share based on the trailing 30-day is $10.00 and</w:t>
      </w:r>
    </w:p>
    <w:p>
      <w:pPr>
        <w:ind w:left="1600"/>
        <w:spacing w:after="0"/>
        <w:rPr>
          <w:rFonts w:ascii="Arial" w:cs="Arial" w:eastAsia="Arial" w:hAnsi="Arial"/>
          <w:sz w:val="14"/>
          <w:szCs w:val="14"/>
          <w:color w:val="auto"/>
        </w:rPr>
      </w:pPr>
      <w:r>
        <w:rPr>
          <w:rFonts w:ascii="Arial" w:cs="Arial" w:eastAsia="Arial" w:hAnsi="Arial"/>
          <w:sz w:val="14"/>
          <w:szCs w:val="14"/>
          <w:color w:val="auto"/>
        </w:rPr>
        <w:t>(i) 1/3rd of the RSU vests if the closing price per share based on the trailing 30-day is $12.50.</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Other Compensation and Benefits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benefits and a 401(k) plan (or equivalent as determined by employee’s jurisdiction of employment).</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Employment Arrangements</w:t>
      </w:r>
    </w:p>
    <w:p>
      <w:pPr>
        <w:spacing w:after="0" w:line="144"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We have employment agreements with our NEOs,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Mr. Barron began his current position as our Chief Executive Officer in January 2018 with DeepGreen. Mr. Shesky began his current position as our Chief Financial Officer in May 2021 with DeepGreen. Ms. Ilves began her current position as our Chief Strategy Officer in September 2021 and held previous positions with DeepGreen before the closing of the Business Combination.</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Gerard Barron</w:t>
      </w:r>
    </w:p>
    <w:p>
      <w:pPr>
        <w:spacing w:after="0" w:line="156"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color w:val="auto"/>
        </w:rPr>
        <w:t>On April 16, 2024, we entered into a new employment agreement with Mr. Barron (the “2024 Barron Employment Agreement”) that replaced and superseded his previous employment agreement with us entered into in 2018. Under the 2024 Barron Employment Agreement, Mr. Barron’s annual base salary will be $750,000, and will be reviewed annually by our board of directors. Under the 2024 Barron Employment Agreement, Mr. Barron will also be eligible for an annual cash bonus, based on achievement of individual performance objectives and achievement of certain company financial results as established by our board of directors, with the target amount of his annual bonus set at 75% of his base salary, payable at the discretion of the board of directors. In addition, in connection with entering into the 2024 Barron Employment Agreement, we granted Mr. Barron a one-time signing bonus award of performance-based restricted stock units (the “Signing RSUs”) with respect to 20,000,000 of our common shares. 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Pursuant to the 2024 Barron Employment Agreement, Mr. Barron has agreed not to sell any of the common shares issuable upon vesting of the Signing RSUs until after the fifth anniversary of entering into the 2024 Barron Employment Agreement. In addition, under the 2024 Barron Employment Agreement, Mr. Barron is eligible to participate in the company’s benefit plans (and to receive reimbursement for certain health and medical expenses prior to the adoption of an applicable company plan). In addition, we will provide Mr. Barron with an additional amount equal to 10% of his base salary per year to be contributed to Mr. Barron’s retirement plan (the “Retirement Benefit”). Mr. Barron is also eligible to be considered for annual equity awards under our LTIP. The 2024 Barron Employment Agreement has an initial term of one year and automatically renews for additional one-year terms unless employment is terminated by us or by Mr. Barron.</w:t>
      </w:r>
    </w:p>
    <w:p>
      <w:pPr>
        <w:spacing w:after="0" w:line="309"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 In the event that, following a Change of Control (as defined in the 2024 Barron Employment Agreement), Mr. Barron is terminated without Cause or resigns for Good Reason or in the event that the 2024 Barron Employment Agreement is not renewed by us at the end of any one-year term, in each case, within 24 months following the Change of Control, Mr. Barron will be eligible to receive: 24 months of base salary, two times his then target annual bonus and the full vesting of outstanding equity awards (including the Signing RSUs).</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Erika Ilves</w:t>
      </w:r>
    </w:p>
    <w:p>
      <w:pPr>
        <w:spacing w:after="0" w:line="142"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November 2022, our subsidiary DeepGreen Metals UAE entered into an amended and restated employment agreement with Erika Ilves in connection with her continued role as our Chief Strategy Officer with an effective date of May 9, 2022 (the “Ilves Employment Agreement”). Under the Ilves Employment Agreement, Ms. Ilves receives an annual base salary of $395,000, which is comprised of a basic salary of $350,000, a housing allowance of $25,000, and a transportation allowance of $20,000, which is reviewed annually by the board of directors. Ms. Ilves is also eligible to participate in our LTIP, subject to the combination of her achieving certain individual performance objectives, and achievement of certain company-based financial results. Ms. Ilves is eligible to participate in our benefit plans and to be considered for an annual performance incentive bonus targeted under our STIP at 50% of her annual base salary, to be granted at the discretion of the board of directors on a year-to-year basis (the “Employment Bonus”). The Ilves Employment Agreement has an indefinite term.</w:t>
      </w:r>
    </w:p>
    <w:p>
      <w:pPr>
        <w:spacing w:after="0" w:line="11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general, during her employment and for a period of six months thereafter, Ms. Ilves is prohibited from (a) competing with us within the Clarion Clipperton Zone; (b) soliciting our customers for a competing</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5" w:lineRule="auto"/>
        <w:rPr>
          <w:sz w:val="20"/>
          <w:szCs w:val="20"/>
          <w:color w:val="auto"/>
        </w:rPr>
      </w:pPr>
      <w:r>
        <w:rPr>
          <w:rFonts w:ascii="Arial" w:cs="Arial" w:eastAsia="Arial" w:hAnsi="Arial"/>
          <w:sz w:val="18"/>
          <w:szCs w:val="18"/>
          <w:color w:val="auto"/>
        </w:rPr>
        <w:t>business; and (c) soliciting our employees for a competing business. In the event that Ms. Ilves’ employment is terminated without “Cause” as defined in the Ilves Employment Agreement or if Ms. Ilves resigns for “Good Reason” as defined in the Ilves Employment Agreement, Ms. Ilves will receive (a) a payment equal to 6 months of her then annual base salary plus a pro-rata portion of the Employment Bonus; (b) subject to the approval of the board of directors, an extension of the expiry up to 12 months from the termination date of options that vest based on the achievement of certain company-based milestones; (c) if applicable, an end of service gratuity in accordance with local law; and (d) continued payment of the premiums required to maintain Ms. Ilves’ participation in the benefits plans in which she participates for the minimum period required by applicable law.</w:t>
      </w:r>
    </w:p>
    <w:p>
      <w:pPr>
        <w:spacing w:after="0" w:line="110"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7"/>
          <w:szCs w:val="17"/>
          <w:color w:val="auto"/>
        </w:rPr>
        <w:t>In the event that Ms. Ilves’ employment is terminated without “Cause” or if Ms. Ilves resigns for “Good Reason” following the resignation, termination, or replacement of our Chief Executive Officer, Ms. Ilves will receive (a) a payment equal to 9 months of her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Employment Bonus; and (e) continued payment of the premiums required to maintain Ms. Ilves’ participation in the benefits plans in which she participates for the minimum period required by applicable law.</w:t>
      </w:r>
    </w:p>
    <w:p>
      <w:pPr>
        <w:spacing w:after="0" w:line="96"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7"/>
          <w:szCs w:val="17"/>
          <w:color w:val="auto"/>
        </w:rPr>
        <w:t>In the event that, within 24 months following a “Change of Control” as defined in the Ilves Employment Agreement, Ms. Ilves’ employment is terminated without “Cause” or if Ms. Ilves resigns for “Good Reason”, Ms. Ilves will receive (a) a payment equal to 12 months of her then annual base salary;</w:t>
      </w:r>
    </w:p>
    <w:p>
      <w:pPr>
        <w:spacing w:after="0" w:line="1" w:lineRule="exact"/>
        <w:rPr>
          <w:sz w:val="20"/>
          <w:szCs w:val="20"/>
          <w:color w:val="auto"/>
        </w:rPr>
      </w:pPr>
    </w:p>
    <w:p>
      <w:pPr>
        <w:jc w:val="both"/>
        <w:ind w:left="1240" w:right="439" w:firstLine="8"/>
        <w:spacing w:after="0" w:line="242" w:lineRule="auto"/>
        <w:tabs>
          <w:tab w:leader="none" w:pos="15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 times the Employment Bonus paid for the previous year; and (c) immediate vesting of all unvested equity awards, subject to Ms. Ilves agreeing that the non-competition period described above be extended to 12 months from the date of termination.</w:t>
      </w:r>
    </w:p>
    <w:p>
      <w:pPr>
        <w:spacing w:after="0" w:line="19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Craig Shesky</w:t>
      </w:r>
    </w:p>
    <w:p>
      <w:pPr>
        <w:spacing w:after="0" w:line="142"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May 6, 2022, our subsidiary, The Metals Company USA, LLC (formerly known as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receives an annual base salary of $500,000, which will be reviewed annually by our Chief Executive Officer. Mr. Shesky is also entitled to a signing payment in the amount of $91,667 under the Shesky Employment Agreement. In addition, Mr. Shesky is eligible to participate in our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 at 50% of his annual base salary, to be granted at the discretion of the board of directors on a year-to-year basis (the “Shesky Employment Bonus”). The Shesky Employment Agreement has an indefinite term.</w:t>
      </w:r>
    </w:p>
    <w:p>
      <w:pPr>
        <w:spacing w:after="0" w:line="11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101"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112" w:lineRule="exact"/>
        <w:rPr>
          <w:sz w:val="20"/>
          <w:szCs w:val="20"/>
          <w:color w:val="auto"/>
        </w:rPr>
      </w:pPr>
    </w:p>
    <w:p>
      <w:pPr>
        <w:jc w:val="both"/>
        <w:ind w:left="1240" w:right="439" w:firstLine="360"/>
        <w:spacing w:after="0" w:line="301" w:lineRule="auto"/>
        <w:rPr>
          <w:sz w:val="20"/>
          <w:szCs w:val="20"/>
          <w:color w:val="auto"/>
        </w:rPr>
      </w:pPr>
      <w:r>
        <w:rPr>
          <w:rFonts w:ascii="Arial" w:cs="Arial" w:eastAsia="Arial" w:hAnsi="Arial"/>
          <w:sz w:val="17"/>
          <w:szCs w:val="17"/>
          <w:color w:val="auto"/>
        </w:rPr>
        <w:t>In the event that Mr. Shesky’s employment is terminated without “Cause” or if Mr. Shesky resigns for “Good Reason” following the resignation, termination, or replacement of our Chief Executive Officer,</w:t>
      </w:r>
    </w:p>
    <w:p>
      <w:pPr>
        <w:spacing w:after="0" w:line="34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5" w:lineRule="auto"/>
        <w:rPr>
          <w:sz w:val="20"/>
          <w:szCs w:val="20"/>
          <w:color w:val="auto"/>
        </w:rPr>
      </w:pPr>
      <w:r>
        <w:rPr>
          <w:rFonts w:ascii="Arial" w:cs="Arial" w:eastAsia="Arial" w:hAnsi="Arial"/>
          <w:sz w:val="18"/>
          <w:szCs w:val="18"/>
          <w:color w:val="auto"/>
        </w:rPr>
        <w:t>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pacing w:after="0" w:line="110"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Employee Benefits</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NEOs participate in employee benefit programs available to our employees generally.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Compensation Plans and Awards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DeepGreen Plan</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321"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director, senior officer, employee of DeepGreen, (ii) a company that is wholly-owned by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foregoing, or (iii) a consultant of DeepGreen. The board of directors, in its sole discretion, may accelerate the vesting of any unexercised options in accordance with the change of control provisions set forth in the DeepGreen Plan.</w:t>
      </w:r>
    </w:p>
    <w:p>
      <w:pPr>
        <w:spacing w:after="0" w:line="10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1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8"/>
        <w:spacing w:after="0" w:line="242" w:lineRule="auto"/>
        <w:tabs>
          <w:tab w:leader="none" w:pos="14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DeepGreen accelerate the vesting of the Option and the time for the fulfilment of any conditions or restrictions on such vesting; (ii) 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16"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TMC 2021 Incentive Equity Plan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Eligibility</w:t>
      </w:r>
    </w:p>
    <w:p>
      <w:pPr>
        <w:spacing w:after="0" w:line="156"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Shares Available for Issuance</w:t>
      </w:r>
    </w:p>
    <w:p>
      <w:pPr>
        <w:spacing w:after="0" w:line="14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TMC Incentive Equity Plan provides for the issuance of up to an aggregate of 70,262,856 common shares, which number includes 13,628,338 shares added to the plan in January 2025 pursuant to the plan’s evergreen provision, provided that 2,243,853 of the common shares available under the Plan will only be available to our non-employee directors. As of April 3, 2025, there were 28,998,905 common shares underlying restricted stock units outstanding and 4,440,000 common shares underlying options, and 43,565,373 common shares remained available for future issuance under this plan.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15"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09"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for director services in any calendar year may not exceed $500,000; increased to $750,000 in the year in which such non-employee director initially joins the board of directors. These $500,000 and $750,000 limitations are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7" w:lineRule="auto"/>
        <w:rPr>
          <w:sz w:val="20"/>
          <w:szCs w:val="20"/>
          <w:color w:val="auto"/>
        </w:rPr>
      </w:pPr>
      <w:r>
        <w:rPr>
          <w:rFonts w:ascii="Arial" w:cs="Arial" w:eastAsia="Arial" w:hAnsi="Arial"/>
          <w:sz w:val="18"/>
          <w:szCs w:val="18"/>
          <w:color w:val="auto"/>
        </w:rPr>
        <w:t>non-employee director for such director’s prior or current service to us or an affiliate of ours other than serving as a director, shall not be taken into account in applying such limitations.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Options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7"/>
          <w:szCs w:val="17"/>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3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Stock</w:t>
      </w:r>
    </w:p>
    <w:p>
      <w:pPr>
        <w:spacing w:after="0" w:line="156" w:lineRule="exact"/>
        <w:rPr>
          <w:sz w:val="20"/>
          <w:szCs w:val="20"/>
          <w:color w:val="auto"/>
        </w:rPr>
      </w:pPr>
    </w:p>
    <w:p>
      <w:pPr>
        <w:jc w:val="both"/>
        <w:ind w:left="1240" w:right="419" w:firstLine="360"/>
        <w:spacing w:after="0" w:line="272" w:lineRule="auto"/>
        <w:rPr>
          <w:sz w:val="20"/>
          <w:szCs w:val="20"/>
          <w:color w:val="auto"/>
        </w:rPr>
      </w:pPr>
      <w:r>
        <w:rPr>
          <w:rFonts w:ascii="Arial" w:cs="Arial" w:eastAsia="Arial" w:hAnsi="Arial"/>
          <w:sz w:val="17"/>
          <w:szCs w:val="17"/>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Share Units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Other Share-Based Awards and Performance-Based Awards</w:t>
      </w:r>
    </w:p>
    <w:p>
      <w:pPr>
        <w:spacing w:after="0" w:line="142" w:lineRule="exact"/>
        <w:rPr>
          <w:sz w:val="20"/>
          <w:szCs w:val="20"/>
          <w:color w:val="auto"/>
        </w:rPr>
      </w:pPr>
    </w:p>
    <w:p>
      <w:pPr>
        <w:jc w:val="both"/>
        <w:ind w:left="1240" w:right="419" w:firstLine="360"/>
        <w:spacing w:after="0" w:line="278" w:lineRule="auto"/>
        <w:rPr>
          <w:sz w:val="20"/>
          <w:szCs w:val="20"/>
          <w:color w:val="auto"/>
        </w:rPr>
      </w:pPr>
      <w:r>
        <w:rPr>
          <w:rFonts w:ascii="Arial" w:cs="Arial" w:eastAsia="Arial" w:hAnsi="Arial"/>
          <w:sz w:val="17"/>
          <w:szCs w:val="17"/>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Any dividends or dividend equivalents payable or credited to a participant with respect to any unvested performance-based award will be subject to the same performance goals as the shares or units underlying the performance-based award.</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Plan Administration</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Securities Exchange Act of 1934, as amended.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01"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Dividends and Stock Splits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Corporate Transactions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63" w:lineRule="exact"/>
        <w:rPr>
          <w:sz w:val="20"/>
          <w:szCs w:val="20"/>
          <w:color w:val="auto"/>
        </w:rPr>
      </w:pPr>
    </w:p>
    <w:p>
      <w:pPr>
        <w:ind w:left="1780" w:hanging="172"/>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all outstanding options will be assumed or substituted by the successor corporation;</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62" w:lineRule="exact"/>
        <w:rPr>
          <w:rFonts w:ascii="Arial" w:cs="Arial" w:eastAsia="Arial" w:hAnsi="Arial"/>
          <w:sz w:val="18"/>
          <w:szCs w:val="18"/>
          <w:color w:val="auto"/>
        </w:rPr>
      </w:pPr>
    </w:p>
    <w:p>
      <w:pPr>
        <w:jc w:val="both"/>
        <w:ind w:left="1780" w:right="419" w:hanging="172"/>
        <w:spacing w:after="0" w:line="259"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71"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44" w:lineRule="exact"/>
        <w:rPr>
          <w:rFonts w:ascii="Arial" w:cs="Arial" w:eastAsia="Arial" w:hAnsi="Arial"/>
          <w:sz w:val="18"/>
          <w:szCs w:val="18"/>
          <w:color w:val="auto"/>
        </w:rPr>
      </w:pPr>
    </w:p>
    <w:p>
      <w:pPr>
        <w:jc w:val="both"/>
        <w:ind w:left="1780" w:right="419" w:hanging="172"/>
        <w:spacing w:after="0" w:line="282" w:lineRule="auto"/>
        <w:tabs>
          <w:tab w:leader="none" w:pos="1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spacing w:after="0" w:line="268" w:lineRule="auto"/>
        <w:rPr>
          <w:sz w:val="20"/>
          <w:szCs w:val="20"/>
          <w:color w:val="auto"/>
        </w:rPr>
      </w:pPr>
      <w:r>
        <w:rPr>
          <w:rFonts w:ascii="Arial" w:cs="Arial" w:eastAsia="Arial" w:hAnsi="Arial"/>
          <w:sz w:val="18"/>
          <w:szCs w:val="18"/>
          <w:color w:val="auto"/>
        </w:rPr>
        <w:t>no longer subject to any forfeiture or repurchase rights then in effect or, at the discretion of the board of directors or an authorized committee, all forfeiture and repurchase rights being waived upon such transaction); and</w:t>
      </w:r>
    </w:p>
    <w:p>
      <w:pPr>
        <w:spacing w:after="0" w:line="63" w:lineRule="exact"/>
        <w:rPr>
          <w:sz w:val="20"/>
          <w:szCs w:val="20"/>
          <w:color w:val="auto"/>
        </w:rPr>
      </w:pPr>
    </w:p>
    <w:p>
      <w:pPr>
        <w:ind w:left="1780" w:right="419" w:hanging="172"/>
        <w:spacing w:after="0" w:line="287" w:lineRule="auto"/>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Amendment and Termination</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Duration of Plan</w:t>
      </w:r>
    </w:p>
    <w:p>
      <w:pPr>
        <w:spacing w:after="0" w:line="15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14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LTIP and other incentive awards for 2024 were made on February 26, 2025 at a regularly scheduled meeting of the compensation committee, and the compensation committee anticipates continuing to grant LTIP awards generally in February of each year going forward. The compensation committee and the board of directors does not time the grant of equity compensation with regards to the release of material nonpublic information, whether or not that information may favorably or unfavorably impact the price of our common shares. Similarly, we do not time the release of material nonpublic information based on equity award grant dates. Equity awards for the executive officers, including our Chief Executive Officer, are approved by the compensation committee. We did not grant options to any of our executive officers during 2024.</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347"/>
        </w:trPr>
        <w:tc>
          <w:tcPr>
            <w:tcW w:w="5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5520" w:type="dxa"/>
            <w:vAlign w:val="bottom"/>
          </w:tcPr>
          <w:p>
            <w:pPr>
              <w:spacing w:after="0"/>
              <w:rPr>
                <w:sz w:val="24"/>
                <w:szCs w:val="24"/>
                <w:color w:val="auto"/>
              </w:rPr>
            </w:pPr>
          </w:p>
        </w:tc>
        <w:tc>
          <w:tcPr>
            <w:tcW w:w="216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Retainer </w:t>
            </w:r>
            <w:r>
              <w:rPr>
                <w:rFonts w:ascii="Arial" w:cs="Arial" w:eastAsia="Arial" w:hAnsi="Arial"/>
                <w:sz w:val="28"/>
                <w:szCs w:val="28"/>
                <w:b w:val="1"/>
                <w:bCs w:val="1"/>
                <w:color w:val="auto"/>
                <w:vertAlign w:val="subscript"/>
              </w:rPr>
              <w:t>​</w:t>
            </w:r>
          </w:p>
        </w:tc>
      </w:tr>
      <w:tr>
        <w:trPr>
          <w:trHeight w:val="20"/>
        </w:trPr>
        <w:tc>
          <w:tcPr>
            <w:tcW w:w="5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10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​​$22,500​</w:t>
            </w:r>
          </w:p>
        </w:tc>
      </w:tr>
      <w:tr>
        <w:trPr>
          <w:trHeight w:val="25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In the fourth quarter of 2024, the majority of our directors agreed to a temporary change in the method of payment of their annual cash retainers and elected to receive RSUs in lieu of their cash retainers. The number of RSUs will be calculated by dividing the deferred cash compensation by the</w:t>
      </w:r>
    </w:p>
    <w:p>
      <w:pPr>
        <w:spacing w:after="0" w:line="38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303" w:lineRule="auto"/>
        <w:rPr>
          <w:sz w:val="20"/>
          <w:szCs w:val="20"/>
          <w:color w:val="auto"/>
        </w:rPr>
      </w:pPr>
      <w:r>
        <w:rPr>
          <w:rFonts w:ascii="Arial" w:cs="Arial" w:eastAsia="Arial" w:hAnsi="Arial"/>
          <w:sz w:val="18"/>
          <w:szCs w:val="18"/>
          <w:color w:val="auto"/>
        </w:rPr>
        <w:t>closing share price on the date of the upcoming Annual Meeting. These RSUs will vest immediately and will be granted on the first day following the upcoming Annual Meeting.</w:t>
      </w:r>
    </w:p>
    <w:p>
      <w:pPr>
        <w:spacing w:after="0" w:line="71"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00" w:lineRule="exact"/>
        <w:rPr>
          <w:sz w:val="20"/>
          <w:szCs w:val="20"/>
          <w:color w:val="auto"/>
        </w:rPr>
      </w:pPr>
    </w:p>
    <w:p>
      <w:pPr>
        <w:jc w:val="both"/>
        <w:ind w:left="1240" w:right="419" w:firstLine="360"/>
        <w:spacing w:after="0" w:line="264" w:lineRule="auto"/>
        <w:rPr>
          <w:sz w:val="20"/>
          <w:szCs w:val="20"/>
          <w:color w:val="auto"/>
        </w:rPr>
      </w:pPr>
      <w:r>
        <w:rPr>
          <w:rFonts w:ascii="Arial" w:cs="Arial" w:eastAsia="Arial" w:hAnsi="Arial"/>
          <w:sz w:val="18"/>
          <w:szCs w:val="18"/>
          <w:b w:val="1"/>
          <w:bCs w:val="1"/>
          <w:color w:val="auto"/>
        </w:rPr>
        <w:t xml:space="preserve">Initial Grant — </w:t>
      </w:r>
      <w:r>
        <w:rPr>
          <w:rFonts w:ascii="Arial" w:cs="Arial" w:eastAsia="Arial" w:hAnsi="Arial"/>
          <w:sz w:val="18"/>
          <w:szCs w:val="18"/>
          <w:color w:val="auto"/>
        </w:rPr>
        <w:t>In addition, we grant to new non-employee directors upon their initial election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 number of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23" w:lineRule="exact"/>
        <w:rPr>
          <w:sz w:val="20"/>
          <w:szCs w:val="20"/>
          <w:color w:val="auto"/>
        </w:rPr>
      </w:pPr>
    </w:p>
    <w:p>
      <w:pPr>
        <w:jc w:val="both"/>
        <w:ind w:left="1240" w:right="419" w:firstLine="360"/>
        <w:spacing w:after="0" w:line="264" w:lineRule="auto"/>
        <w:rPr>
          <w:sz w:val="20"/>
          <w:szCs w:val="20"/>
          <w:color w:val="auto"/>
        </w:rPr>
      </w:pPr>
      <w:r>
        <w:rPr>
          <w:rFonts w:ascii="Arial" w:cs="Arial" w:eastAsia="Arial" w:hAnsi="Arial"/>
          <w:sz w:val="18"/>
          <w:szCs w:val="18"/>
          <w:b w:val="1"/>
          <w:bCs w:val="1"/>
          <w:color w:val="auto"/>
        </w:rPr>
        <w:t xml:space="preserve">Annual Grant — </w:t>
      </w:r>
      <w:r>
        <w:rPr>
          <w:rFonts w:ascii="Arial" w:cs="Arial" w:eastAsia="Arial" w:hAnsi="Arial"/>
          <w:sz w:val="18"/>
          <w:szCs w:val="18"/>
          <w:color w:val="auto"/>
        </w:rPr>
        <w:t>We also grant each non-employee director annually a number of RSUs (each</w:t>
      </w:r>
      <w:r>
        <w:rPr>
          <w:rFonts w:ascii="Arial" w:cs="Arial" w:eastAsia="Arial" w:hAnsi="Arial"/>
          <w:sz w:val="18"/>
          <w:szCs w:val="18"/>
          <w:b w:val="1"/>
          <w:bCs w:val="1"/>
          <w:color w:val="auto"/>
        </w:rPr>
        <w:t xml:space="preserve"> </w:t>
      </w:r>
      <w:r>
        <w:rPr>
          <w:rFonts w:ascii="Arial" w:cs="Arial" w:eastAsia="Arial" w:hAnsi="Arial"/>
          <w:sz w:val="18"/>
          <w:szCs w:val="18"/>
          <w:color w:val="auto"/>
        </w:rPr>
        <w:t>RSU relating to one common share), having an aggregate fair market value equal to $100,000, determined by dividing (A) $100,000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123"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Pursuant to the terms of his consulting agreement, Mr. Jurvetson waived his right to any compensation he may have been entitled to for serving on the board of directors, including under our non-employee director compensation policy.</w:t>
      </w:r>
    </w:p>
    <w:p>
      <w:pPr>
        <w:spacing w:after="0" w:line="96" w:lineRule="exact"/>
        <w:rPr>
          <w:sz w:val="20"/>
          <w:szCs w:val="20"/>
          <w:color w:val="auto"/>
        </w:rPr>
      </w:pPr>
    </w:p>
    <w:p>
      <w:pPr>
        <w:jc w:val="both"/>
        <w:ind w:left="1240" w:right="419" w:firstLine="360"/>
        <w:spacing w:after="0" w:line="270" w:lineRule="auto"/>
        <w:rPr>
          <w:sz w:val="20"/>
          <w:szCs w:val="20"/>
          <w:color w:val="auto"/>
        </w:rPr>
      </w:pPr>
      <w:r>
        <w:rPr>
          <w:rFonts w:ascii="Arial" w:cs="Arial" w:eastAsia="Arial" w:hAnsi="Arial"/>
          <w:sz w:val="18"/>
          <w:szCs w:val="18"/>
          <w:color w:val="auto"/>
        </w:rPr>
        <w:t>The table below summarizes the compensation of each person serving as a non-employee director of TMC for the fiscal year ended December 31, 2024. Gerard Barron, our Chief Executive Officer, did not receive any additional compensation for his service as a director of TMC in 2024. The compensation of Mr. Barron as a NEO is set forth above under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See also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w:t>
      </w:r>
      <w:r>
        <w:rPr>
          <w:rFonts w:ascii="Arial" w:cs="Arial" w:eastAsia="Arial" w:hAnsi="Arial"/>
          <w:sz w:val="18"/>
          <w:szCs w:val="18"/>
          <w:color w:val="auto"/>
        </w:rPr>
        <w:t>” below for additional information about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between us and our directors.</w:t>
      </w:r>
    </w:p>
    <w:p>
      <w:pPr>
        <w:spacing w:after="0" w:line="151"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Fees</w:t>
            </w: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spacing w:after="0"/>
              <w:rPr>
                <w:sz w:val="18"/>
                <w:szCs w:val="18"/>
                <w:color w:val="auto"/>
              </w:rPr>
            </w:pPr>
          </w:p>
        </w:tc>
        <w:tc>
          <w:tcPr>
            <w:tcW w:w="2540" w:type="dxa"/>
            <w:vAlign w:val="bottom"/>
            <w:gridSpan w:val="2"/>
          </w:tcPr>
          <w:p>
            <w:pPr>
              <w:ind w:left="1600"/>
              <w:spacing w:after="0" w:line="211"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Earned ($)</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jc w:val="center"/>
              <w:ind w:right="57"/>
              <w:spacing w:after="0" w:line="211" w:lineRule="exact"/>
              <w:rPr>
                <w:sz w:val="20"/>
                <w:szCs w:val="20"/>
                <w:color w:val="auto"/>
              </w:rPr>
            </w:pPr>
            <w:r>
              <w:rPr>
                <w:rFonts w:ascii="Arial" w:cs="Arial" w:eastAsia="Arial" w:hAnsi="Arial"/>
                <w:sz w:val="24"/>
                <w:szCs w:val="24"/>
                <w:b w:val="1"/>
                <w:bCs w:val="1"/>
                <w:color w:val="auto"/>
                <w:w w:val="95"/>
                <w:vertAlign w:val="subscript"/>
              </w:rPr>
              <w:t>($)</w:t>
            </w:r>
            <w:r>
              <w:rPr>
                <w:rFonts w:ascii="Arial" w:cs="Arial" w:eastAsia="Arial" w:hAnsi="Arial"/>
                <w:sz w:val="8"/>
                <w:szCs w:val="8"/>
                <w:b w:val="1"/>
                <w:bCs w:val="1"/>
                <w:color w:val="auto"/>
                <w:w w:val="95"/>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​​$106,236​​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206,236</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​​$108,764​​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208,764​</w:t>
            </w:r>
          </w:p>
        </w:tc>
        <w:tc>
          <w:tcPr>
            <w:tcW w:w="0" w:type="dxa"/>
            <w:vAlign w:val="bottom"/>
          </w:tcPr>
          <w:p>
            <w:pPr>
              <w:spacing w:after="0"/>
              <w:rPr>
                <w:sz w:val="1"/>
                <w:szCs w:val="1"/>
                <w:color w:val="auto"/>
              </w:rPr>
            </w:pPr>
          </w:p>
        </w:tc>
      </w:tr>
      <w:tr>
        <w:trPr>
          <w:trHeight w:val="257"/>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​​$ 110,000​​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​​$ 95,000​​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7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​​$ 114,368​​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214,368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​​$125,000​​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$ 61,154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8"/>
                <w:szCs w:val="18"/>
                <w:color w:val="auto"/>
                <w:w w:val="93"/>
              </w:rPr>
              <w:t>200,000</w:t>
            </w:r>
            <w:r>
              <w:rPr>
                <w:rFonts w:ascii="Arial" w:cs="Arial" w:eastAsia="Arial" w:hAnsi="Arial"/>
                <w:sz w:val="23"/>
                <w:szCs w:val="23"/>
                <w:color w:val="auto"/>
                <w:w w:val="93"/>
                <w:vertAlign w:val="superscript"/>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261,154</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 w:type="dxa"/>
            <w:vAlign w:val="bottom"/>
            <w:shd w:val="clear" w:color="auto" w:fill="CCEEFF"/>
          </w:tcPr>
          <w:p>
            <w:pPr>
              <w:spacing w:after="0"/>
              <w:rPr>
                <w:sz w:val="4"/>
                <w:szCs w:val="4"/>
                <w:color w:val="auto"/>
              </w:rPr>
            </w:pPr>
          </w:p>
        </w:tc>
        <w:tc>
          <w:tcPr>
            <w:tcW w:w="3260" w:type="dxa"/>
            <w:vAlign w:val="bottom"/>
            <w:shd w:val="clear" w:color="auto" w:fill="CCEEFF"/>
          </w:tcPr>
          <w:p>
            <w:pPr>
              <w:spacing w:after="0"/>
              <w:rPr>
                <w:sz w:val="4"/>
                <w:szCs w:val="4"/>
                <w:color w:val="auto"/>
              </w:rPr>
            </w:pPr>
          </w:p>
        </w:tc>
        <w:tc>
          <w:tcPr>
            <w:tcW w:w="2540" w:type="dxa"/>
            <w:vAlign w:val="bottom"/>
            <w:gridSpan w:val="2"/>
            <w:shd w:val="clear" w:color="auto" w:fill="CCEEFF"/>
          </w:tcPr>
          <w:p>
            <w:pPr>
              <w:ind w:left="1600"/>
              <w:spacing w:after="0" w:line="54" w:lineRule="exact"/>
              <w:rPr>
                <w:sz w:val="20"/>
                <w:szCs w:val="20"/>
                <w:color w:val="auto"/>
              </w:rPr>
            </w:pPr>
            <w:r>
              <w:rPr>
                <w:rFonts w:ascii="Arial" w:cs="Arial" w:eastAsia="Arial" w:hAnsi="Arial"/>
                <w:sz w:val="6"/>
                <w:szCs w:val="6"/>
                <w:color w:val="auto"/>
              </w:rPr>
              <w:t>​ ​​</w:t>
            </w:r>
          </w:p>
        </w:tc>
        <w:tc>
          <w:tcPr>
            <w:tcW w:w="340" w:type="dxa"/>
            <w:vAlign w:val="bottom"/>
            <w:gridSpan w:val="2"/>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shd w:val="clear" w:color="auto" w:fill="CCEEFF"/>
          </w:tcPr>
          <w:p>
            <w:pPr>
              <w:ind w:left="20"/>
              <w:spacing w:after="0" w:line="54" w:lineRule="exact"/>
              <w:rPr>
                <w:sz w:val="20"/>
                <w:szCs w:val="20"/>
                <w:color w:val="auto"/>
              </w:rPr>
            </w:pPr>
            <w:r>
              <w:rPr>
                <w:rFonts w:ascii="Arial" w:cs="Arial" w:eastAsia="Arial" w:hAnsi="Arial"/>
                <w:sz w:val="6"/>
                <w:szCs w:val="6"/>
                <w:color w:val="auto"/>
              </w:rPr>
              <w:t>​​</w:t>
            </w:r>
          </w:p>
        </w:tc>
        <w:tc>
          <w:tcPr>
            <w:tcW w:w="6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137160</wp:posOffset>
            </wp:positionV>
            <wp:extent cx="685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62" w:lineRule="exact"/>
        <w:rPr>
          <w:sz w:val="20"/>
          <w:szCs w:val="20"/>
          <w:color w:val="auto"/>
        </w:rPr>
      </w:pPr>
    </w:p>
    <w:p>
      <w:pPr>
        <w:ind w:left="1600" w:right="439" w:hanging="352"/>
        <w:spacing w:after="0" w:line="305"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Annual Grant consists of 68,027 RSUs granted during the year ended December 31, 2024. The grant date fair value is computed based on the closing market price on the date of grant in accordance with ASC 718.</w:t>
      </w:r>
    </w:p>
    <w:p>
      <w:pPr>
        <w:spacing w:after="0" w:line="36" w:lineRule="exact"/>
        <w:rPr>
          <w:rFonts w:ascii="Arial" w:cs="Arial" w:eastAsia="Arial" w:hAnsi="Arial"/>
          <w:sz w:val="14"/>
          <w:szCs w:val="14"/>
          <w:color w:val="auto"/>
        </w:rPr>
      </w:pPr>
    </w:p>
    <w:p>
      <w:pPr>
        <w:ind w:left="1600" w:hanging="352"/>
        <w:spacing w:after="0"/>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May’s stock awards include the value of his Initial Grant on joining the board and his Annual Grant both issued in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lists all outstanding equity awards held by our non-employee directors as of</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December 31, 2024:</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Aggregate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jc w:val="center"/>
              <w:ind w:left="1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tcPr>
          <w:p>
            <w:pPr>
              <w:spacing w:after="0"/>
              <w:rPr>
                <w:sz w:val="17"/>
                <w:szCs w:val="17"/>
                <w:color w:val="auto"/>
              </w:rPr>
            </w:pPr>
          </w:p>
        </w:tc>
        <w:tc>
          <w:tcPr>
            <w:tcW w:w="1940" w:type="dxa"/>
            <w:vAlign w:val="bottom"/>
          </w:tcPr>
          <w:p>
            <w:pPr>
              <w:ind w:left="1780"/>
              <w:spacing w:after="0"/>
              <w:rPr>
                <w:sz w:val="20"/>
                <w:szCs w:val="20"/>
                <w:color w:val="auto"/>
              </w:rPr>
            </w:pPr>
            <w:r>
              <w:rPr>
                <w:rFonts w:ascii="Arial" w:cs="Arial" w:eastAsia="Arial" w:hAnsi="Arial"/>
                <w:sz w:val="14"/>
                <w:szCs w:val="14"/>
                <w:b w:val="1"/>
                <w:bCs w:val="1"/>
                <w:color w:val="auto"/>
              </w:rPr>
              <w:t>​ ​</w:t>
            </w:r>
          </w:p>
        </w:tc>
        <w:tc>
          <w:tcPr>
            <w:tcW w:w="780" w:type="dxa"/>
            <w:vAlign w:val="bottom"/>
          </w:tcPr>
          <w:p>
            <w:pPr>
              <w:jc w:val="center"/>
              <w:ind w:left="38"/>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7"/>
                <w:szCs w:val="17"/>
                <w:color w:val="auto"/>
              </w:rPr>
            </w:pPr>
          </w:p>
        </w:tc>
        <w:tc>
          <w:tcPr>
            <w:tcW w:w="1540" w:type="dxa"/>
            <w:vAlign w:val="bottom"/>
            <w:gridSpan w:val="4"/>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Have Not Vested</w:t>
            </w:r>
            <w:r>
              <w:rPr>
                <w:rFonts w:ascii="Arial" w:cs="Arial" w:eastAsia="Arial" w:hAnsi="Arial"/>
                <w:sz w:val="14"/>
                <w:szCs w:val="14"/>
                <w:b w:val="1"/>
                <w:bCs w:val="1"/>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r>
      <w:tr>
        <w:trPr>
          <w:trHeight w:val="27"/>
        </w:trPr>
        <w:tc>
          <w:tcPr>
            <w:tcW w:w="420" w:type="dxa"/>
            <w:vAlign w:val="bottom"/>
            <w:shd w:val="clear" w:color="auto" w:fill="000000"/>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38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769,020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99,773</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153,295</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128905</wp:posOffset>
            </wp:positionV>
            <wp:extent cx="6858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22" w:lineRule="exact"/>
        <w:rPr>
          <w:sz w:val="20"/>
          <w:szCs w:val="20"/>
          <w:color w:val="auto"/>
        </w:rPr>
      </w:pPr>
    </w:p>
    <w:p>
      <w:pPr>
        <w:jc w:val="both"/>
        <w:ind w:left="1600" w:right="419" w:hanging="352"/>
        <w:spacing w:after="0" w:line="275"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STIP options granted under the DeepGreen Plan which are fully vested, and have an exercise price ranging from $0.52 to $2.60 and expiration date between January 27,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5"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RSUs for Initial Grants, which vests in thirds on each anniversary of the grant date, and RSUs for Annual Grants which vest on the date of TMC’s annual general meeting following the grant date.</w:t>
      </w:r>
    </w:p>
    <w:p>
      <w:pPr>
        <w:spacing w:after="0" w:line="22" w:lineRule="exact"/>
        <w:rPr>
          <w:rFonts w:ascii="Arial" w:cs="Arial" w:eastAsia="Arial" w:hAnsi="Arial"/>
          <w:sz w:val="14"/>
          <w:szCs w:val="14"/>
          <w:color w:val="auto"/>
        </w:rPr>
      </w:pPr>
    </w:p>
    <w:p>
      <w:pPr>
        <w:jc w:val="both"/>
        <w:ind w:left="1600" w:right="419" w:hanging="352"/>
        <w:spacing w:after="0" w:line="293"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Does not include 17,241 RSUs granted to Mr. May pursuant to his previous consulting agreement with us that vested on March 1, 2025. See “Certain Relationships and Related Person Transactions — Robertsbridge and Brendan May Consulting Agreements”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2024.</w:t>
      </w:r>
    </w:p>
    <w:p>
      <w:pPr>
        <w:spacing w:after="0" w:line="14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spacing w:after="0"/>
              <w:rPr>
                <w:sz w:val="18"/>
                <w:szCs w:val="18"/>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ind w:right="579"/>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Number of securities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to be issued upon exercise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price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of outstanding options,</w:t>
            </w:r>
          </w:p>
        </w:tc>
        <w:tc>
          <w:tcPr>
            <w:tcW w:w="1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gridSpan w:val="2"/>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40" w:type="dxa"/>
            <w:vAlign w:val="bottom"/>
          </w:tcPr>
          <w:p>
            <w:pPr>
              <w:spacing w:after="0"/>
              <w:rPr>
                <w:sz w:val="16"/>
                <w:szCs w:val="16"/>
                <w:color w:val="auto"/>
              </w:rPr>
            </w:pPr>
          </w:p>
        </w:tc>
        <w:tc>
          <w:tcPr>
            <w:tcW w:w="1600" w:type="dxa"/>
            <w:vAlign w:val="bottom"/>
            <w:gridSpan w:val="4"/>
          </w:tcPr>
          <w:p>
            <w:pPr>
              <w:ind w:left="6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warrants and rights</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40" w:type="dxa"/>
            <w:vAlign w:val="bottom"/>
            <w:gridSpan w:val="3"/>
            <w:vMerge w:val="restart"/>
            <w:shd w:val="clear" w:color="auto" w:fill="CCEEFF"/>
          </w:tcPr>
          <w:p>
            <w:pPr>
              <w:ind w:left="440"/>
              <w:spacing w:after="0"/>
              <w:rPr>
                <w:sz w:val="20"/>
                <w:szCs w:val="20"/>
                <w:color w:val="auto"/>
              </w:rPr>
            </w:pPr>
            <w:r>
              <w:rPr>
                <w:rFonts w:ascii="Arial" w:cs="Arial" w:eastAsia="Arial" w:hAnsi="Arial"/>
                <w:sz w:val="18"/>
                <w:szCs w:val="18"/>
                <w:color w:val="auto"/>
              </w:rPr>
              <w:t>​62,198,105</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​$1.21</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48,518,993</w:t>
            </w:r>
            <w:r>
              <w:rPr>
                <w:rFonts w:ascii="Arial" w:cs="Arial" w:eastAsia="Arial" w:hAnsi="Arial"/>
                <w:sz w:val="23"/>
                <w:szCs w:val="23"/>
                <w:color w:val="auto"/>
                <w:vertAlign w:val="superscript"/>
              </w:rPr>
              <w:t>(3)</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6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approved by security holders ​ ​</w:t>
            </w:r>
          </w:p>
        </w:tc>
        <w:tc>
          <w:tcPr>
            <w:tcW w:w="1840" w:type="dxa"/>
            <w:vAlign w:val="bottom"/>
            <w:gridSpan w:val="3"/>
            <w:vMerge w:val="continue"/>
            <w:shd w:val="clear" w:color="auto" w:fill="CCEEFF"/>
          </w:tcPr>
          <w:p>
            <w:pPr>
              <w:spacing w:after="0"/>
              <w:rPr>
                <w:sz w:val="21"/>
                <w:szCs w:val="21"/>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80" w:type="dxa"/>
            <w:vAlign w:val="bottom"/>
            <w:gridSpan w:val="2"/>
            <w:vMerge w:val="continue"/>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248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approved by security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holders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 ​ —</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​62,198,105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48,518,993</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600" w:right="419" w:hanging="352"/>
        <w:spacing w:after="0" w:line="293"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23,945,450 shares to be issued upon exercise of outstanding options under the DeepGreen Plan, 34,312,655 shares to be issued upon settlement of outstanding RSUs under the TMC Incentive Equity Plan and (iii) 3,940,000 shares to be issued upon exercise of outstanding options under the TMC Incentive Equity Plan.</w:t>
      </w:r>
    </w:p>
    <w:p>
      <w:pPr>
        <w:spacing w:after="0" w:line="17" w:lineRule="exact"/>
        <w:rPr>
          <w:rFonts w:ascii="Arial" w:cs="Arial" w:eastAsia="Arial" w:hAnsi="Arial"/>
          <w:sz w:val="14"/>
          <w:szCs w:val="14"/>
          <w:color w:val="auto"/>
        </w:rPr>
      </w:pPr>
    </w:p>
    <w:p>
      <w:pPr>
        <w:ind w:left="1600" w:right="419" w:hanging="352"/>
        <w:spacing w:after="0" w:line="322"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23,945,450 options outstanding under the DeepGreen Plan and 3,940,000 options under the TMC Incentive Equity Plan on December 31, 2024.</w:t>
      </w:r>
    </w:p>
    <w:p>
      <w:pPr>
        <w:jc w:val="both"/>
        <w:ind w:left="1600" w:right="419" w:hanging="352"/>
        <w:spacing w:after="0" w:line="293"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37,870,371 shares under the TMC Incentive Equity Plan and 10,648,622 shares under the TMC 2021 Employee Stock Purchase Plan that remained available for future issuance as of December 31, 2024. No shares remained available for future issuance under the DeepGreen Plan as of December 31, 2024.</w:t>
      </w:r>
    </w:p>
    <w:p>
      <w:pPr>
        <w:spacing w:after="0" w:line="89"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has an evergreen provision that allows for an annual increase in the number of shares available for issuance under the TMC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administrator.</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2021 Employee Stock Purchase Plan has an annual increase provision that allows for an annual increase in the number of shares available for issuance under the TMC 2021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AUDIT COMMITTEE</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audit committee of our board of directors, which consists entirely of directors who meet the independence and experience requirements of Nasdaq, has furnished the following report:</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www.metals.co. This committee reviews and reassesses our Articles annually and recommends any changes to our board of directors for approval. The audit committee is responsible for overseeing our overall financial reporting process, and for the appointment, compensation, retention, and oversight of the work of Ernst &amp; Young LLP. In fulfilling its responsibilities for the financial statements for fiscal year December 31, 2024, the audit committee took the following actions:</w:t>
      </w:r>
    </w:p>
    <w:p>
      <w:pPr>
        <w:spacing w:after="0" w:line="73" w:lineRule="exact"/>
        <w:rPr>
          <w:sz w:val="20"/>
          <w:szCs w:val="20"/>
          <w:color w:val="auto"/>
        </w:rPr>
      </w:pPr>
    </w:p>
    <w:p>
      <w:pPr>
        <w:jc w:val="both"/>
        <w:ind w:left="1780" w:right="419" w:hanging="172"/>
        <w:spacing w:after="0" w:line="268" w:lineRule="auto"/>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2024 with management and Ernst &amp; Young LLP, our independent registered public accounting firm;</w:t>
      </w:r>
    </w:p>
    <w:p>
      <w:pPr>
        <w:spacing w:after="0" w:line="62"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in accordance with Auditing Standard No. 1301 — Communications with Audit committees; and</w:t>
      </w:r>
    </w:p>
    <w:p>
      <w:pPr>
        <w:spacing w:after="0" w:line="4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Received written disclosures and the letter from Ernst &amp; Young LLP regarding its independence as required by applicable requirements of the Public Company Accounting Oversight Board regarding Ernst &amp; Young LLP’s communications with the audit committee and the audit committee further discussed with Ernst &amp; Young LLP their independence. The audit committee also considered the status of pending litigation, taxation matters and other areas of oversight relating to the financial reporting and audit process that the committee determined appropriate.</w:t>
      </w:r>
    </w:p>
    <w:p>
      <w:pPr>
        <w:spacing w:after="0" w:line="11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Ernst &amp; Young LLP, the audit committee recommended to our board of directors that the audited financial statements be included in our Annual Report on Form 10-K for the year ended December 31, 2024 for filing with the SEC.</w:t>
      </w:r>
    </w:p>
    <w:p>
      <w:pPr>
        <w:spacing w:after="0" w:line="10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Members of the TMC the metals company Inc. Audit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Committee</w:t>
      </w: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Andrew Hall, Chairperson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Christian Madsbjerg</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Sheila Khama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In addition to the director and executive officer compensation arrangements discussed above in “Executive Officer and Director Compensation,” since January 1, 2023, we have engaged in the following transactions in which the amount involved exceeded $120,000 and in which any director, executive officer or holder of more than 5% of our voting securities, whom we refer to as our principal shareholders, or affiliates or immediate family members of our directors, executive officers and principal shareholders, had or will have a material interest. We believe that all of these transactions were on terms as favorable as could have been obtained from unrelated third parties.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2023 Registered Direct Offering</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August 14, 2023, we entered into a securities purchase agreement with certain investors, pursuant to which we agreed to sell and issue, in a registered direct offering (the “Registered Direct Offering”) 12,461,540 of our common shares and issue Class A warrants to purchase 6,230,770 common shares for expected gross proceeds to us of $24.9 million and expected net proceeds to us of $23.6 million, after deducting underwriting discounts and commissions and other offering expenses payable by us. The common share and the accompanying Class A warrant to purchase 0.5 of a common share were sold at a price of $2.00 per unit. The exercise price of the Class A warrants is $3.00, subject to adjustment as provided in the warrant agreement. The Registered Direct Offering initially closed in August 2023, with the final receipt of gross proceeds received in January 2024.</w:t>
      </w:r>
    </w:p>
    <w:p>
      <w:pPr>
        <w:spacing w:after="0" w:line="112"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ERAS Capital LLC, the family fund of our director, Andrei Karkar, agreed to purchase 5,000,000 common shares and accompanying Class A warrants to purchase 2,500,000 of our common shares for a total purchase price of $10 million. In addition, Allseas agreed to purchase 3,500,000 of our common shares and accompanying Class A warrants to purchase 1,750,000 common shares for a total purchase price of $7 million. Gerard Barron, Craig Shesky, and other members of the Company’s board of directors also agreed to purchase securities in the Registered Offering.</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Credit Facility with ERAS Capital LLC and Gerard Barron</w:t>
      </w:r>
    </w:p>
    <w:p>
      <w:pPr>
        <w:spacing w:after="0" w:line="156"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color w:val="auto"/>
        </w:rPr>
        <w:t>On March 22, 2024, we entered into an Unsecured Credit Facility (the “2024 Credit Facility”) with Gerard Barron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$50,000,000 in the aggregate (i) through the issuance of any of our or our subsidiaries’ debt or equity securities, or (ii) in prepayments under an off-take agreement or similar commercial agreement. As of the date of this Proxy Statement, the Company has drawn $2.5 million from the 2024 Credit Facility. On November 14, 2024, we entered into the Second Amendment to the 2024 Credit Facility, to increase the borrowing limit to $38 million in the aggregate ($19 million from each of the 2024 Lenders) and to extend the maturity of the 2024 Credit Facility to December 31, 2025.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 The Third Amendment also provides that the 2024 Lenders may extend the term of the 2024 Credit Facility by up to two additional one-year periods (until June 30, 2028 at the latest) and that the 2024 Lenders may terminate the 2024 Credit Facility upon certain company financings.</w:t>
      </w:r>
    </w:p>
    <w:p>
      <w:pPr>
        <w:spacing w:after="0" w:line="198"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Gregory Stone Consulting Agreement</w:t>
      </w:r>
    </w:p>
    <w:p>
      <w:pPr>
        <w:spacing w:after="0" w:line="14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Gregory Stone, our Chief Ocean Scientist, regularly provides consulting services to us through Ocean Renaissance LLC (“Ocean Renaissance”), where he is a principal. Consulting services during</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each of the years ended December 31, 2024 and 2023 totaled $200,000 and $331,000, respectively.</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Mr. Stone is no longer an executive officer.</w:t>
      </w:r>
    </w:p>
    <w:p>
      <w:pPr>
        <w:spacing w:after="0" w:line="20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Stephen Jurvetson Consulting Agreement</w:t>
      </w:r>
    </w:p>
    <w:p>
      <w:pPr>
        <w:spacing w:after="0" w:line="14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On April 9, 2024, we entered into a consulting agreement with Mr. Jurvetson. The consulting agreement provides, among other things, that Mr. Jurvetson will serve as a special advisor to our Chief Executive Officer for a term of five years. As the sole compensation for his advisory services, Mr. Jurvetson was granted a stock option to purchase 3,440,000 common shares, with an exercise price equal of $1.71 and expiry period of seven years. The stock options were issued under the TMC Incentive Equity Plan, and shall vest in three equal annual installments on the first, second and third anniversary of the date of grant of the options provided that Mr. Jurvetson is still providing services to us at such time. Pursuant to the terms of the consulting agreement, Mr. Jurvetson waived his right to any compensation he may have been entitled to for serving on the board of directors, including under our non-employee director compensation policy.</w:t>
      </w:r>
    </w:p>
    <w:p>
      <w:pPr>
        <w:spacing w:after="0" w:line="19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Robertsbridge and Brendan May Consulting Agreements</w:t>
      </w:r>
    </w:p>
    <w:p>
      <w:pPr>
        <w:spacing w:after="0" w:line="142"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On March 7, 2023, we entered into a consulting agreement with Robertsbridge Consultants Ltd, a consulting firm founded by Mr. May of which he is a director, which is owned by Stonehaven, of which Mr. May is Deputy Chairman, under which Robertsbridge provides environmental consulting services to us. Consulting services during each of the years ended December 31, 2024 and December 31, 2023 totaled $122,050 and $304,065, respectively.</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In addition, on February 26, 2024, we entered into a consulting agreement with Mr. May for certain consulting services which terminated at the 2024 Annual Meeting. Under this consulting agreement, we paid consulting fees to Mr. May of $8,750 per month and granted Mr. May RSUs for 17,241 common shares that vested on March 1, 2025.</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Allseas</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1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On March 16, 2022, Nauru Ocean Resources Inc.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would not have to make any payments related to the commercial system to Allseas until March 31, 2023. Once in production, NORI expected to pay Allseas a nodule collection and transshipment fee estimated at approximately EUR 150 per wet tonne in the first year of operations, which was expected to be reduced by more than 20% in the following years as Allseas scaled up production to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6" w:lineRule="auto"/>
        <w:rPr>
          <w:sz w:val="20"/>
          <w:szCs w:val="20"/>
          <w:color w:val="auto"/>
        </w:rPr>
      </w:pPr>
      <w:r>
        <w:rPr>
          <w:rFonts w:ascii="Arial" w:cs="Arial" w:eastAsia="Arial" w:hAnsi="Arial"/>
          <w:sz w:val="18"/>
          <w:szCs w:val="18"/>
          <w:color w:val="auto"/>
        </w:rPr>
        <w:t>similar to the Hidden Gem,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15"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On March 22, 2023, we entered into a Credit Facility with Argentum Credit Virtuti GCV, the parent of Allseas Investments S.A. and an affiliate of Allseas (the “Lender”) (the “2023 Credit Facility”), pursuant to which we may borrow from the Lender up to $25,000,000 in the aggregate, from time to time, subject to certain conditions set forth in the 2023 Credit Facility. All amounts drawn under the 2023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2023 Credit Facility. We have the right to pre-pay the entire amount outstanding under the 2023 Credit Facility at any time, before the Credit Facility’s maturity. The 2023 Credit Facility also contains customary events of default. On July 31, 2023, the Company entered into the First Amendment to the 2023 Credit Facility to extend same to November 30, 2024. The 2023 Credit Facility was then further amended on March 22, 2024 pursuant to the Second Amendment to the 2023 Credit Facility to further extend the same to August 31, 2025 and to provide that the underutilization fee thereunder shall cease to be payable after the date on which we or the lender gives notice of termination of the agreement. On August 16, 2024, the Company entered into the Third Amendment to the 2023 Credit Facility, to increase the borrowing limit of the 2023 Credit Facility to $27.5 million. On November 14, 2024, as a result of the 2024 registered direct offering the borrowing limit of the 2023 Credit Facility was returned to $25 million. Pursuant to the Letter Agreement entered into on March 24, 2025, discussed below, we agreed to cancel the 2023 Credit Facility with no outstanding amounts remaining, other than our obligation to pay Argentum Credit Virtuti GCV the underutilization fee thereunder.</w:t>
      </w:r>
    </w:p>
    <w:p>
      <w:pPr>
        <w:spacing w:after="0" w:line="107"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On May 27, 2024, we entered into a short-term loan agreement with Argentum Credit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spacing w:after="0" w:line="109" w:lineRule="exact"/>
        <w:rPr>
          <w:sz w:val="20"/>
          <w:szCs w:val="20"/>
          <w:color w:val="auto"/>
        </w:rPr>
      </w:pPr>
    </w:p>
    <w:p>
      <w:pPr>
        <w:jc w:val="both"/>
        <w:ind w:left="1240" w:right="419" w:firstLine="360"/>
        <w:spacing w:after="0" w:line="269" w:lineRule="auto"/>
        <w:rPr>
          <w:sz w:val="20"/>
          <w:szCs w:val="20"/>
          <w:color w:val="auto"/>
        </w:rPr>
      </w:pPr>
      <w:r>
        <w:rPr>
          <w:rFonts w:ascii="Arial" w:cs="Arial" w:eastAsia="Arial" w:hAnsi="Arial"/>
          <w:sz w:val="17"/>
          <w:szCs w:val="17"/>
          <w:color w:val="auto"/>
        </w:rPr>
        <w:t>On September 9, 2024, we entered into a working capital loan agreement (the “Working Capital Loan Agreement”) with Allseas Investments SA (the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agreement discussed above. The Working Capital Loan is payable on or before the earlier of (i) the occurrence of certain financing events and (ii) April 1, 2025 (the “Repayment Date”). The Working Capital Loan bears interest based on the 6-month Secured Overnight Financing Rate, 180-day average plus a margin of 4.0% per annum and is payable in two installments on January 2, 2025, and the Repayment Date (or plus a margin of 5.0% if all interest payments are deferred to the Repayment Date, at our election). On October 18, 2024, we entered into the First Amendment to the Working Capital Loan Agreement, resulting in a further draw of $2.5 million by us and a total Working Capital Loan drawn amount of $7.5 million. On March 24, 2025, we entered into a Letter Agreement with Allseas Investments and Argentum Credit Virtuti GCV, pursuant to which the Repayment Date for the Working Capital Loan was extended to September 30, 2025, with principal and interest now repayable on that date.</w:t>
      </w:r>
    </w:p>
    <w:p>
      <w:pPr>
        <w:spacing w:after="0" w:line="10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August 1, 2023, the Company entered into an Exclusive Vessel Use Agreement with Allseas pursuant to which Allseas will give exclusive use of the vessel (“Hidden Gem”) to the Company in support of the development of the Project Zero Offshore System until the system is completed or December 31, 2026, whichever is earlier. In consideration of the exclusivity term, the Company, on August 14, 2023, issued 4.15 million common shares to Allseas.</w:t>
      </w: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Through December 31, 2024, we have made the following payments to Allseas under the PMTA:</w:t>
      </w:r>
    </w:p>
    <w:p>
      <w:pPr>
        <w:spacing w:after="0" w:line="14" w:lineRule="exact"/>
        <w:rPr>
          <w:sz w:val="20"/>
          <w:szCs w:val="20"/>
          <w:color w:val="auto"/>
        </w:rPr>
      </w:pPr>
    </w:p>
    <w:p>
      <w:pPr>
        <w:jc w:val="both"/>
        <w:ind w:left="1240" w:right="419" w:firstLine="8"/>
        <w:spacing w:after="0" w:line="256" w:lineRule="auto"/>
        <w:tabs>
          <w:tab w:leader="none" w:pos="1530" w:val="left"/>
        </w:tabs>
        <w:numPr>
          <w:ilvl w:val="0"/>
          <w:numId w:val="39"/>
        </w:numPr>
        <w:rPr>
          <w:rFonts w:ascii="Arial" w:cs="Arial" w:eastAsia="Arial" w:hAnsi="Arial"/>
          <w:sz w:val="17"/>
          <w:szCs w:val="17"/>
          <w:color w:val="auto"/>
        </w:rPr>
      </w:pPr>
      <w:r>
        <w:rPr>
          <w:rFonts w:ascii="Arial" w:cs="Arial" w:eastAsia="Arial" w:hAnsi="Arial"/>
          <w:sz w:val="17"/>
          <w:szCs w:val="17"/>
          <w:color w:val="auto"/>
        </w:rPr>
        <w:t>$10 million in cash in February 2020, (b) $10 million through the issuance of 3.2 million common shares valued at $3.11 per share in February 2020, (c) issued Allseas a warrant to purchase 11.6 million common shares at a nominal exercise price per share in March 2021, which became exercisable in November 2022 with the successful completion of the pilot trial of the PMTS in the NORI Area D,</w:t>
      </w:r>
    </w:p>
    <w:p>
      <w:pPr>
        <w:spacing w:after="0" w:line="2" w:lineRule="exact"/>
        <w:rPr>
          <w:rFonts w:ascii="Arial" w:cs="Arial" w:eastAsia="Arial" w:hAnsi="Arial"/>
          <w:sz w:val="17"/>
          <w:szCs w:val="17"/>
          <w:color w:val="auto"/>
        </w:rPr>
      </w:pPr>
    </w:p>
    <w:p>
      <w:pPr>
        <w:jc w:val="both"/>
        <w:ind w:left="1240" w:right="419" w:firstLine="8"/>
        <w:spacing w:after="0" w:line="241" w:lineRule="auto"/>
        <w:tabs>
          <w:tab w:leader="none" w:pos="15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 million in cash in October 2021, following the closing of the Business Combination and meeting certain progress targets on the PMTS, (e) the second $10 million payment to Allseas under the PMTA on April 25, 2022, following the successful completion of the North Sea drive test and (f) the third and final $10 million payment to Allseas became due in November 2022 upon successful completion of the pilot trial of the PMTS in the NORI Area D, which we settled, along with certain other costs due to Allseas under the PMTA.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 In the last quarter of 2024, we paid EUR 0.4 million to an affiliate of Allseas for Nodule offloading and shipping charges.</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56"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7"/>
          <w:szCs w:val="17"/>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80" w:lineRule="exact"/>
        <w:rPr>
          <w:sz w:val="20"/>
          <w:szCs w:val="20"/>
          <w:color w:val="auto"/>
        </w:rPr>
      </w:pPr>
    </w:p>
    <w:p>
      <w:pPr>
        <w:jc w:val="both"/>
        <w:ind w:left="1240" w:right="419"/>
        <w:spacing w:after="0" w:line="294" w:lineRule="auto"/>
        <w:rPr>
          <w:sz w:val="20"/>
          <w:szCs w:val="20"/>
          <w:color w:val="auto"/>
        </w:rPr>
      </w:pPr>
      <w:r>
        <w:rPr>
          <w:rFonts w:ascii="Arial" w:cs="Arial" w:eastAsia="Arial" w:hAnsi="Arial"/>
          <w:sz w:val="18"/>
          <w:szCs w:val="18"/>
          <w:b w:val="1"/>
          <w:bCs w:val="1"/>
          <w:i w:val="1"/>
          <w:iCs w:val="1"/>
          <w:color w:val="auto"/>
        </w:rPr>
        <w:t>Indemnity Agreements with Officers and Directors and Directors’ and Officers’ Liability Insurance</w:t>
      </w:r>
    </w:p>
    <w:p>
      <w:pPr>
        <w:spacing w:after="0" w:line="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Company enters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86" w:lineRule="exact"/>
        <w:rPr>
          <w:sz w:val="20"/>
          <w:szCs w:val="20"/>
          <w:color w:val="auto"/>
        </w:rPr>
      </w:pPr>
    </w:p>
    <w:p>
      <w:pPr>
        <w:jc w:val="both"/>
        <w:ind w:left="1240" w:right="419" w:firstLine="360"/>
        <w:spacing w:after="0" w:line="263" w:lineRule="auto"/>
        <w:rPr>
          <w:sz w:val="20"/>
          <w:szCs w:val="20"/>
          <w:color w:val="auto"/>
        </w:rPr>
      </w:pPr>
      <w:r>
        <w:rPr>
          <w:rFonts w:ascii="Arial" w:cs="Arial" w:eastAsia="Arial" w:hAnsi="Arial"/>
          <w:sz w:val="17"/>
          <w:szCs w:val="17"/>
          <w:color w:val="auto"/>
        </w:rPr>
        <w:t>A “Related Person Transaction” is a transaction, arrangement or relationship in which the Company or any of its subsidiaries was, is or will be a participant, the amount of which involved exceeds the lesser of (i) $120,000, and (ii) one percent of the average of the Company’s total assets at year end for the last two completed fiscal years, which was $120,000 as of the end of 2024,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53" w:lineRule="exact"/>
        <w:rPr>
          <w:sz w:val="20"/>
          <w:szCs w:val="20"/>
          <w:color w:val="auto"/>
        </w:rPr>
      </w:pPr>
    </w:p>
    <w:p>
      <w:pPr>
        <w:ind w:left="1780" w:right="419" w:hanging="172"/>
        <w:spacing w:after="0" w:line="287"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31"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the Company’s last fiscal year;</w:t>
      </w:r>
    </w:p>
    <w:p>
      <w:pPr>
        <w:spacing w:after="0" w:line="31"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the Company’s voting securities (a “Significant Shareholder”); or</w:t>
      </w:r>
    </w:p>
    <w:p>
      <w:pPr>
        <w:spacing w:after="0" w:line="49"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Shareholder of the Company.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0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to supplement the voting restrictions with respect to certain conflicted transactions under the laws of British Columbia. Specifically, pursuant to its charter, the audit committee has the responsibility to review related party transactions.</w:t>
      </w:r>
    </w:p>
    <w:p>
      <w:pPr>
        <w:spacing w:after="0" w:line="10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1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68" w:lineRule="exact"/>
        <w:rPr>
          <w:sz w:val="20"/>
          <w:szCs w:val="20"/>
          <w:color w:val="auto"/>
        </w:rPr>
      </w:pPr>
    </w:p>
    <w:p>
      <w:pPr>
        <w:ind w:left="1780" w:hanging="172"/>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62" w:lineRule="exact"/>
        <w:rPr>
          <w:rFonts w:ascii="Arial" w:cs="Arial" w:eastAsia="Arial" w:hAnsi="Arial"/>
          <w:sz w:val="18"/>
          <w:szCs w:val="18"/>
          <w:color w:val="auto"/>
        </w:rPr>
      </w:pPr>
    </w:p>
    <w:p>
      <w:pPr>
        <w:ind w:left="1780" w:hanging="172"/>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03"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NOS. 1 AND 2</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Items 1 and 2)</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Number of Directors (Proposal No. 1)</w:t>
      </w:r>
    </w:p>
    <w:p>
      <w:pPr>
        <w:spacing w:after="0" w:line="14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 xml:space="preserve">Our Articles provide that our shareholders fix the number of directors to be elected to our board of directors by ordinary resolution. Our shareholders set the number of directors at eight at the 2023 annual meeting of shareholders held on May 30, 2023, and the directors appointed an additional director pursuant to the Articles 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in April 2024, increasing the number of directors to nine. As a result, our board of directors currently consists of nine members. The shareholders may increase or decrease the number of directors constituting the full board of directors, provided that such number may not be less than three. We are proposing that shareholders fix the number of directors to be elected at the Annual Meeting at eight.</w:t>
      </w:r>
    </w:p>
    <w:p>
      <w:pPr>
        <w:spacing w:after="0" w:line="117"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affirmative vote of a majority of the shares cast for this proposal is required to set the number of directors at eight.</w:t>
      </w:r>
    </w:p>
    <w:p>
      <w:pPr>
        <w:spacing w:after="0" w:line="85"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b w:val="1"/>
          <w:bCs w:val="1"/>
          <w:color w:val="auto"/>
        </w:rPr>
        <w:t>OUR BOARD OF DIRECTORS RECOMMENDS THAT THE NUMBER OF DIRECTORS BE SET AT EIGHT, AND PROXIES SOLICITED BY OUR BOARD OF DIRECTORS WILL BE VOTED IN FAVOR THEREOF UNLESS A SHAREHOLDER HAS INDICATED OTHERWISE ON THE PROXY.</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Election of Directors (Proposal No. 2)</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Our board of directors nominated Gerard Barron, Andrew Hall, Andrew Greig, Sheila Khama, Andrei Karkar, Christian Madsbjerg, Brendan May, and Stephen Jurvetson for election at the Annual Meeting. If they are elected, they will serve on our board of directors until the 2026 Annual Meeting of Shareholders or until their respective successors have been elected or appointed, unless their offices are earlier vacated. Amelia Kinahoi Siamomua is not up for re-election as director at the Annual Meeting and her term as director will end at the Annual Meeting.</w:t>
      </w:r>
    </w:p>
    <w:p>
      <w:pPr>
        <w:spacing w:after="0" w:line="11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 xml:space="preserve">Unless authority to vote for any of these nominees is withheld, the shares represented by the enclosed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Gerard Barron, Andrew Hall, Andrew Greig, Sheila Khama, Andrei Karkar, Christian Madsbjerg, Brendan May, and Stephen Jurvetson as directors. In the event that any nominee becomes unable or unwilling to serve, the shares represented by the enclosed proxy will be voted for the election of such other person as our board of directors may recommend in that nominee’s place. We have no reason to believe that any nominee will be unable or unwilling to serve as a director.</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7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b w:val="1"/>
          <w:bCs w:val="1"/>
          <w:color w:val="auto"/>
        </w:rPr>
        <w:t>OUR BOARD OF DIRECTORS RECOMMENDS THE ELECTION OF GERARD BARRON, ANDREW HALL, ANDREW GREIG, SHEILA KHAMA, ANDREI KARKAR, CHRISTIAN MADSBJERG, BRENDAN MAY, AND STEPHEN JURVETSON AS DIRECTORS, AND PROXIES SOLICITED BY OUR BOARD OF DIRECTORS WILL BE VOTED IN FAVOR THEREOF UNLESS A SHAREHOLDER HAS INDICATED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3</w:t>
      </w:r>
    </w:p>
    <w:p>
      <w:pPr>
        <w:spacing w:after="0" w:line="1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APPOINTMENT OF THE INDEPENDENT REGISTERED PUBLIC ACCOUNTING FIRM</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Item 3)</w:t>
      </w:r>
    </w:p>
    <w:p>
      <w:pPr>
        <w:spacing w:after="0" w:line="12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audit committee recommends appointment of Ernst &amp; Young LLP (“EY”), as our independent registered public accounting firm, to audit our financial statements for the fiscal year ending December 31, 2025. EY has served as our independent registered public accounting firm since 2012, including the period before the closing of the Business Combination in which EY was engaged by DeepGreen. Our board of directors proposes that the shareholders approve this appointment. EY audited our financial statements for the fiscal year ended December 31, 2024. We expect that representatives of EY will be present at the Annual Meeting, will be able to make a statement if they so desire, and will be available to respond to appropriate questions.</w:t>
      </w:r>
    </w:p>
    <w:p>
      <w:pPr>
        <w:spacing w:after="0" w:line="112"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deciding to appoint EY, the audit committee reviewed auditor independence issues and existing commercial relationships with EY and concluded that EY has no commercial relationship with the Company that would impair its independence for the fiscal year ending December 31, 2025.</w:t>
      </w:r>
    </w:p>
    <w:p>
      <w:pPr>
        <w:spacing w:after="0" w:line="94"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The following table presents fees for professional audit services rendered by EY for the audit of the Company’s annual financial statements for the years ended December 31, 2024, and 2023 and fees billed for other services rendered by EY during those periods.</w:t>
      </w:r>
    </w:p>
    <w:p>
      <w:pPr>
        <w:spacing w:after="0" w:line="2" w:lineRule="exact"/>
        <w:rPr>
          <w:sz w:val="20"/>
          <w:szCs w:val="20"/>
          <w:color w:val="auto"/>
        </w:rPr>
      </w:pPr>
    </w:p>
    <w:tbl>
      <w:tblPr>
        <w:tblLayout w:type="fixed"/>
        <w:tblInd w:w="1240" w:type="dxa"/>
        <w:tblCellMar>
          <w:top w:w="0" w:type="dxa"/>
          <w:left w:w="0" w:type="dxa"/>
          <w:bottom w:w="0" w:type="dxa"/>
          <w:right w:w="0" w:type="dxa"/>
        </w:tblCellMar>
      </w:tblPr>
      <w:tr>
        <w:trPr>
          <w:trHeight w:val="360"/>
        </w:trPr>
        <w:tc>
          <w:tcPr>
            <w:tcW w:w="6020" w:type="dxa"/>
            <w:vAlign w:val="bottom"/>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ind w:left="260"/>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2023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0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23"/>
                <w:szCs w:val="23"/>
                <w:b w:val="1"/>
                <w:bCs w:val="1"/>
                <w:color w:val="auto"/>
                <w:vertAlign w:val="superscript"/>
              </w:rPr>
              <w:t>(1)</w:t>
            </w:r>
          </w:p>
        </w:tc>
        <w:tc>
          <w:tcPr>
            <w:tcW w:w="42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20" w:type="dxa"/>
            <w:vAlign w:val="bottom"/>
            <w:vMerge w:val="continue"/>
            <w:shd w:val="clear" w:color="auto" w:fill="CCEEFF"/>
          </w:tcPr>
          <w:p>
            <w:pPr>
              <w:spacing w:after="0"/>
              <w:rPr>
                <w:sz w:val="24"/>
                <w:szCs w:val="24"/>
                <w:color w:val="auto"/>
              </w:rPr>
            </w:pPr>
          </w:p>
        </w:tc>
        <w:tc>
          <w:tcPr>
            <w:tcW w:w="2200" w:type="dxa"/>
            <w:vAlign w:val="bottom"/>
            <w:gridSpan w:val="7"/>
            <w:shd w:val="clear" w:color="auto" w:fill="CCEEFF"/>
          </w:tcPr>
          <w:p>
            <w:pPr>
              <w:ind w:left="260"/>
              <w:spacing w:after="0"/>
              <w:rPr>
                <w:sz w:val="20"/>
                <w:szCs w:val="20"/>
                <w:color w:val="auto"/>
              </w:rPr>
            </w:pPr>
            <w:r>
              <w:rPr>
                <w:rFonts w:ascii="Arial" w:cs="Arial" w:eastAsia="Arial" w:hAnsi="Arial"/>
                <w:sz w:val="18"/>
                <w:szCs w:val="18"/>
                <w:color w:val="auto"/>
              </w:rPr>
              <w:t>​ ​​$770,587​​ ​​$633,857</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 . . . . . . . . . . . . . . . . . . . . . . . . . . . . . . . . . . . . . . . . . .</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000" w:type="dxa"/>
            <w:vAlign w:val="bottom"/>
            <w:gridSpan w:val="4"/>
          </w:tcPr>
          <w:p>
            <w:pPr>
              <w:ind w:left="40"/>
              <w:spacing w:after="0"/>
              <w:rPr>
                <w:sz w:val="20"/>
                <w:szCs w:val="20"/>
                <w:color w:val="auto"/>
              </w:rPr>
            </w:pPr>
            <w:r>
              <w:rPr>
                <w:rFonts w:ascii="Arial" w:cs="Arial" w:eastAsia="Arial" w:hAnsi="Arial"/>
                <w:sz w:val="18"/>
                <w:szCs w:val="18"/>
                <w:color w:val="auto"/>
              </w:rPr>
              <w:t>40,113​​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17,419​</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 ​</w:t>
            </w:r>
          </w:p>
        </w:tc>
        <w:tc>
          <w:tcPr>
            <w:tcW w:w="3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602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 ​​ ​</w:t>
            </w:r>
          </w:p>
        </w:tc>
        <w:tc>
          <w:tcPr>
            <w:tcW w:w="380" w:type="dxa"/>
            <w:vAlign w:val="bottom"/>
          </w:tcPr>
          <w:p>
            <w:pPr>
              <w:spacing w:after="0"/>
              <w:rPr>
                <w:sz w:val="24"/>
                <w:szCs w:val="24"/>
                <w:color w:val="auto"/>
              </w:rPr>
            </w:pPr>
          </w:p>
        </w:tc>
        <w:tc>
          <w:tcPr>
            <w:tcW w:w="620" w:type="dxa"/>
            <w:vAlign w:val="bottom"/>
            <w:gridSpan w:val="3"/>
          </w:tcPr>
          <w:p>
            <w:pPr>
              <w:ind w:left="20"/>
              <w:spacing w:after="0"/>
              <w:rPr>
                <w:sz w:val="20"/>
                <w:szCs w:val="20"/>
                <w:color w:val="auto"/>
              </w:rPr>
            </w:pPr>
            <w:r>
              <w:rPr>
                <w:rFonts w:ascii="Arial" w:cs="Arial" w:eastAsia="Arial" w:hAnsi="Arial"/>
                <w:sz w:val="18"/>
                <w:szCs w:val="18"/>
                <w:color w:val="auto"/>
              </w:rPr>
              <w:t>—​​ ​​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-696595</wp:posOffset>
            </wp:positionV>
            <wp:extent cx="4714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100330</wp:posOffset>
            </wp:positionV>
            <wp:extent cx="6858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91" w:lineRule="exact"/>
        <w:rPr>
          <w:sz w:val="20"/>
          <w:szCs w:val="20"/>
          <w:color w:val="auto"/>
        </w:rPr>
      </w:pPr>
    </w:p>
    <w:p>
      <w:pPr>
        <w:jc w:val="both"/>
        <w:ind w:left="1600" w:right="419" w:hanging="352"/>
        <w:spacing w:after="0" w:line="282" w:lineRule="auto"/>
        <w:tabs>
          <w:tab w:leader="none" w:pos="16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 of aggregate fees for professional services provided in connection with the annual audits of our consolidated financial statements, the review of our quarterly condensed consolidated financial statements, and fees related to accounting matters that were addressed during the annual audit and quarterly reviews. This category also includes fees for services that were incurred in connection with regulatory filings or engagements.</w:t>
      </w:r>
    </w:p>
    <w:p>
      <w:pPr>
        <w:spacing w:after="0" w:line="97" w:lineRule="exact"/>
        <w:rPr>
          <w:rFonts w:ascii="Arial" w:cs="Arial" w:eastAsia="Arial" w:hAnsi="Arial"/>
          <w:sz w:val="14"/>
          <w:szCs w:val="14"/>
          <w:color w:val="auto"/>
        </w:rPr>
      </w:pPr>
    </w:p>
    <w:p>
      <w:pPr>
        <w:jc w:val="both"/>
        <w:ind w:left="1600" w:right="419" w:firstLine="368"/>
        <w:spacing w:after="0" w:line="252" w:lineRule="auto"/>
        <w:tabs>
          <w:tab w:leader="none" w:pos="2267"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include audit work performed in the preparation of financial statements,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work that generally only an independent registered public accounting firm can reasonably be expected to provide, including comfort letters, statutory audits, and attest services and consultation regarding financial accounting and/or reporting standards.</w:t>
      </w:r>
    </w:p>
    <w:p>
      <w:pPr>
        <w:spacing w:after="0" w:line="102" w:lineRule="exact"/>
        <w:rPr>
          <w:rFonts w:ascii="Arial" w:cs="Arial" w:eastAsia="Arial" w:hAnsi="Arial"/>
          <w:sz w:val="18"/>
          <w:szCs w:val="18"/>
          <w:color w:val="auto"/>
        </w:rPr>
      </w:pPr>
    </w:p>
    <w:p>
      <w:pPr>
        <w:jc w:val="both"/>
        <w:ind w:left="1600" w:right="419" w:firstLine="368"/>
        <w:spacing w:after="0" w:line="262" w:lineRule="auto"/>
        <w:tabs>
          <w:tab w:leader="none" w:pos="2280"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are for assurance and related services that are traditionally performed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an independent registered public accounting firm, including due diligence related to mergers and acquisitions, employee benefit plan audits, and special procedures required to meet certain regulatory requirements.</w:t>
      </w:r>
    </w:p>
    <w:p>
      <w:pPr>
        <w:spacing w:after="0" w:line="95" w:lineRule="exact"/>
        <w:rPr>
          <w:rFonts w:ascii="Arial" w:cs="Arial" w:eastAsia="Arial" w:hAnsi="Arial"/>
          <w:sz w:val="18"/>
          <w:szCs w:val="18"/>
          <w:color w:val="auto"/>
        </w:rPr>
      </w:pPr>
    </w:p>
    <w:p>
      <w:pPr>
        <w:jc w:val="both"/>
        <w:ind w:left="1600" w:right="419" w:firstLine="368"/>
        <w:spacing w:after="0" w:line="268" w:lineRule="auto"/>
        <w:tabs>
          <w:tab w:leader="none" w:pos="2321"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include all services performed by an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tax personnel except those services specifically related to the audit of the financial statements, and includes fees in the areas of tax compliance, tax planning, and tax advice.</w:t>
      </w:r>
    </w:p>
    <w:p>
      <w:pPr>
        <w:spacing w:after="0" w:line="103" w:lineRule="exact"/>
        <w:rPr>
          <w:rFonts w:ascii="Arial" w:cs="Arial" w:eastAsia="Arial" w:hAnsi="Arial"/>
          <w:sz w:val="18"/>
          <w:szCs w:val="18"/>
          <w:color w:val="auto"/>
        </w:rPr>
      </w:pPr>
    </w:p>
    <w:p>
      <w:pPr>
        <w:jc w:val="both"/>
        <w:ind w:left="1600" w:right="439" w:firstLine="368"/>
        <w:spacing w:after="0" w:line="268" w:lineRule="auto"/>
        <w:tabs>
          <w:tab w:leader="none" w:pos="2267"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are those associated with services not captured in the other categories.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generally does not request such services from our independent registered public accounting firm.</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Pre-Approval Policy and Procedures</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11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95"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A plurality of the shares cast for this proposal is required to appoint the independent registered public accounting firm. In the event the shareholders do not appoint EY as our independent registered public accounting firm, the audit committee will reconsider its appointment.</w:t>
      </w:r>
    </w:p>
    <w:p>
      <w:pPr>
        <w:spacing w:after="0" w:line="103"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8"/>
          <w:szCs w:val="18"/>
          <w:b w:val="1"/>
          <w:bCs w:val="1"/>
          <w:color w:val="auto"/>
        </w:rPr>
        <w:t>OUR BOARD OF DIRECTORS RECOMMENDS A VOTE TO APPOINT ERNST &amp; YOUNG LLP AS OUR INDEPENDENT REGISTERED PUBLIC ACCOUNTING FIRM, AND PROXIES SOLICITED BY OUR BOARD OF DIRECTORS WILL BE VOTED IN FAVOR OF SUCH APPOINTMENT UNLESS A SHAREHOLDER INDICATES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AMENDMENT TO THE ARTICLES OF THE COMPANY</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Item 4)</w:t>
      </w:r>
    </w:p>
    <w:p>
      <w:pPr>
        <w:spacing w:after="0" w:line="140"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The Board of Directors proposes that the Articles of the Company be amended to remove from Article 15.8 of the Articles the outdated address of the registered office of the Company in Vancouver, British Columbia, Canada, which recently changed from 595 Howe Street, 10th Floor, Vancouver, British Columbia, V6C 2T5 Canada to 1111 West Hastings Street, 15th Floor, Vancouver, British Columbia, V6E 2J3 Canada. Part 15 of the Articles sets out the “advance notice requirements” for shareholders to nominate persons for election as directors at a meeting of our shareholders and Article 15.8 stipulates the requirements for giving notices required by Part 15. The proposed amendment to the Articles of the Company in respect of this Proposal No. 4 is set out below, marked to show the proposed changes, which removes the reference to a specific address in the Articles to avoid needing to amend the Articles in the future if the registered address changes again.</w:t>
      </w:r>
    </w:p>
    <w:p>
      <w:pPr>
        <w:spacing w:after="0" w:line="104" w:lineRule="exact"/>
        <w:rPr>
          <w:sz w:val="20"/>
          <w:szCs w:val="20"/>
          <w:color w:val="auto"/>
        </w:rPr>
      </w:pPr>
    </w:p>
    <w:p>
      <w:pPr>
        <w:jc w:val="both"/>
        <w:ind w:left="1600" w:right="419"/>
        <w:spacing w:after="0" w:line="253" w:lineRule="auto"/>
        <w:rPr>
          <w:sz w:val="20"/>
          <w:szCs w:val="20"/>
          <w:color w:val="auto"/>
        </w:rPr>
      </w:pPr>
      <w:r>
        <w:rPr>
          <w:rFonts w:ascii="Arial" w:cs="Arial" w:eastAsia="Arial" w:hAnsi="Arial"/>
          <w:sz w:val="18"/>
          <w:szCs w:val="18"/>
          <w:b w:val="1"/>
          <w:bCs w:val="1"/>
          <w:color w:val="auto"/>
        </w:rPr>
        <w:t xml:space="preserve">“15.8 Delivery of Notice. </w:t>
      </w:r>
      <w:r>
        <w:rPr>
          <w:rFonts w:ascii="Arial" w:cs="Arial" w:eastAsia="Arial" w:hAnsi="Arial"/>
          <w:sz w:val="18"/>
          <w:szCs w:val="18"/>
          <w:color w:val="auto"/>
        </w:rPr>
        <w:t>Notwithstanding any other provision in this Part 15, notice given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Corporate Secretary of the Company pursuant to this Part 15 may only be given by personal delivery, facsimile transmission or email (provided that the Corporate Secretary has stipulated an e-mail address for purposes of this Part 15), and shall be deemed to have been given and received only at the time it is served by personal delivery or sent by facsimile </w:t>
      </w:r>
      <w:r>
        <w:rPr>
          <w:rFonts w:ascii="Arial" w:cs="Arial" w:eastAsia="Arial" w:hAnsi="Arial"/>
          <w:sz w:val="18"/>
          <w:szCs w:val="18"/>
          <w:b w:val="1"/>
          <w:bCs w:val="1"/>
          <w:color w:val="auto"/>
          <w:strike w:val="1"/>
        </w:rPr>
        <w:t>transaction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transmission</w:t>
      </w:r>
      <w:r>
        <w:rPr>
          <w:rFonts w:ascii="Arial" w:cs="Arial" w:eastAsia="Arial" w:hAnsi="Arial"/>
          <w:sz w:val="18"/>
          <w:szCs w:val="18"/>
          <w:color w:val="auto"/>
        </w:rPr>
        <w:t xml:space="preserve"> (provided that receipt of confirmation of such transmission has been received) or by e-mail (at the address as </w:t>
      </w:r>
      <w:r>
        <w:rPr>
          <w:rFonts w:ascii="Arial" w:cs="Arial" w:eastAsia="Arial" w:hAnsi="Arial"/>
          <w:sz w:val="18"/>
          <w:szCs w:val="18"/>
          <w:b w:val="1"/>
          <w:bCs w:val="1"/>
          <w:color w:val="auto"/>
          <w:strike w:val="1"/>
        </w:rPr>
        <w:t>foresaid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aforesaid</w:t>
      </w:r>
      <w:r>
        <w:rPr>
          <w:rFonts w:ascii="Arial" w:cs="Arial" w:eastAsia="Arial" w:hAnsi="Arial"/>
          <w:sz w:val="18"/>
          <w:szCs w:val="18"/>
          <w:color w:val="auto"/>
        </w:rPr>
        <w:t xml:space="preserve">) to the Corporate Secretary at the registered office of the Company </w:t>
      </w:r>
      <w:r>
        <w:rPr>
          <w:rFonts w:ascii="Arial" w:cs="Arial" w:eastAsia="Arial" w:hAnsi="Arial"/>
          <w:sz w:val="18"/>
          <w:szCs w:val="18"/>
          <w:b w:val="1"/>
          <w:bCs w:val="1"/>
          <w:color w:val="auto"/>
          <w:strike w:val="1"/>
        </w:rPr>
        <w:t>as follows: 10th Floor, 595 Howe Street, Vancouver, British Columbia, V6C 2T5 Canada Fax:</w:t>
      </w:r>
      <w:r>
        <w:rPr>
          <w:rFonts w:ascii="Arial" w:cs="Arial" w:eastAsia="Arial" w:hAnsi="Arial"/>
          <w:sz w:val="18"/>
          <w:szCs w:val="18"/>
          <w:b w:val="1"/>
          <w:bCs w:val="1"/>
          <w:u w:val="single" w:color="auto"/>
          <w:color w:val="auto"/>
          <w:strike w:val="1"/>
        </w:rPr>
        <w:t>,</w:t>
      </w:r>
      <w:r>
        <w:rPr>
          <w:rFonts w:ascii="Arial" w:cs="Arial" w:eastAsia="Arial" w:hAnsi="Arial"/>
          <w:sz w:val="18"/>
          <w:szCs w:val="18"/>
          <w:b w:val="1"/>
          <w:bCs w:val="1"/>
          <w:color w:val="auto"/>
          <w:strike w:val="1"/>
        </w:rPr>
        <w:t xml:space="preserve"> </w:t>
      </w:r>
      <w:r>
        <w:rPr>
          <w:rFonts w:ascii="Arial" w:cs="Arial" w:eastAsia="Arial" w:hAnsi="Arial"/>
          <w:sz w:val="18"/>
          <w:szCs w:val="18"/>
          <w:b w:val="1"/>
          <w:bCs w:val="1"/>
          <w:u w:val="single" w:color="auto"/>
          <w:color w:val="auto"/>
          <w:strike w:val="1"/>
        </w:rPr>
        <w:t>or if by facsimile at</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+1 604 687-8772, provided that if such delivery or electronic transmission is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made on a day which is not a business day or later than 5:00 p.m. (Vancouver time) on a day which is a business day, then such delivery or electronic transmission shall be deemed to have been made on the subsequent day that is a business day.”</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To approve the adoption of the following as an ordinary resolution.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BE IT RESOLVED AS AN ORDINARY RESOLUTION THAT:</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existing Articles of the Company be amended by deleting the existing Article 15.8 in its entirety and replacing it with the following Article 15.8:</w:t>
      </w:r>
    </w:p>
    <w:p>
      <w:pPr>
        <w:spacing w:after="0" w:line="72"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b w:val="1"/>
          <w:bCs w:val="1"/>
          <w:color w:val="auto"/>
        </w:rPr>
        <w:t xml:space="preserve">“15.8 Delivery of Notice. </w:t>
      </w:r>
      <w:r>
        <w:rPr>
          <w:rFonts w:ascii="Arial" w:cs="Arial" w:eastAsia="Arial" w:hAnsi="Arial"/>
          <w:sz w:val="18"/>
          <w:szCs w:val="18"/>
          <w:color w:val="auto"/>
        </w:rPr>
        <w:t>Notwithstanding any other provision in this Part 15, notice given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Secretary of the Company pursuant to this Part 15 may only be given by personal delivery, facsimile transmission or email (provided that the Corporate Secretary has stipulated an e-mail address for purposes of this Part 15), and shall be deemed to have been given and received only at the time it is served by personal delivery or sent by facsimile transmission (provided that receipt of confirmation of such transmission has been received) or by e-mail (at the address as aforesaid) to the Corporate Secretary at the registered office of the Company, or if by facsimile at +1 604 687-8772, provided that if such delivery or electronic transmission is made on a day which is not a business day or later than 5:00 p.m. (Vancouver time) on a day which is a business day, then such delivery or electronic transmission shall be deemed to have been made on the subsequent day that is a business day.”</w:t>
      </w:r>
    </w:p>
    <w:p>
      <w:pPr>
        <w:spacing w:after="0" w:line="118"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 xml:space="preserve">Pursuant to subsection 139(c)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Board of Directors of the Company are authorized to revoke this resolution or any part of it at any time before it is acted upon, without further approval of the shareholders of the Company.</w:t>
      </w:r>
    </w:p>
    <w:p>
      <w:pPr>
        <w:spacing w:after="0" w:line="103"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Any one Director or Officer of the Company is, and the agents of the Company are, hereby authorized and directed for and on behalf of the Company to execute and deliver, under the corporate seal of the Company or otherwise, the Articles and all such other documents and instruments and to do all such other acts and things as in his or her opinion may be necessary or desirable to give full effect to the above resolutions.</w:t>
      </w:r>
    </w:p>
    <w:p>
      <w:pPr>
        <w:spacing w:after="0" w:line="9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 copy of our current Articles prior to the proposed amendment of the Articles set forth in the foregoing resolutions is filed as Exhibit 3.2 to our Annual Report on Form 10-K for the year ended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December 31, 2024, as filed with the SEC and available at www.sec.gov, or in the “Investors — SEC Filings” section of our website at https://metals.co.</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proposed amendment to our Articles set forth in the foregoing resolutions is subject to the approval of a majority of the votes cast by shareholders voting shares that carry the right to vote at the Annual Meeting.</w:t>
      </w:r>
    </w:p>
    <w:p>
      <w:pPr>
        <w:spacing w:after="0" w:line="90" w:lineRule="exact"/>
        <w:rPr>
          <w:sz w:val="20"/>
          <w:szCs w:val="20"/>
          <w:color w:val="auto"/>
        </w:rPr>
      </w:pPr>
    </w:p>
    <w:p>
      <w:pPr>
        <w:jc w:val="both"/>
        <w:ind w:left="1240" w:right="419" w:firstLine="360"/>
        <w:spacing w:after="0" w:line="296" w:lineRule="auto"/>
        <w:rPr>
          <w:sz w:val="20"/>
          <w:szCs w:val="20"/>
          <w:color w:val="auto"/>
        </w:rPr>
      </w:pPr>
      <w:r>
        <w:rPr>
          <w:rFonts w:ascii="Arial" w:cs="Arial" w:eastAsia="Arial" w:hAnsi="Arial"/>
          <w:sz w:val="18"/>
          <w:szCs w:val="18"/>
          <w:b w:val="1"/>
          <w:bCs w:val="1"/>
          <w:color w:val="auto"/>
        </w:rPr>
        <w:t>OUR BOARD OF DIRECTORS RECOMMENDS A VOTE “FOR” THIS PROPOSAL TO APPROVE THE AMENDMENT TO ARTICLES OF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 Our code of business conduct is a “code of ethics,” as defined in Item 406(b) of Regulation S-K.</w:t>
      </w:r>
    </w:p>
    <w:p>
      <w:pPr>
        <w:spacing w:after="0" w:line="9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DELINQUENT SECTION 16(a) REPORTS</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Pursuant to Section 16 of the Securities Exchange Act of 1934, as amended, executive officers, directors, and holders of more than 10% of our common shares are required to file reports of their transactions our equity securities with the SEC. Based solely on a review of the copies of such reports received by us, or written representations from certain reporting persons, we believe that all filings required to be made by its reporting persons complied with all applicable Section 16 filing requirements during the year ended December 31, 2024, with the exception of a Form 4 filed on behalf of executive officer Erika Ilves on January 3, 2025 for a transaction that occurred on December 30, 2024.</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144"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To be considered for inclusion in the management information circular (or proxy statement) for the annual general meeting of shareholders to be held during 2026 pursuant to Rule 14a-8 under the Securities Exchange Act of 1934, as amended, we must receive shareholder proposals (other than for director nominations) no later than December 19, 2025. In addition, pursuant to Part 5, Division 7 of the Business Corporations Act (British Columbia), any notice of a shareholder’s proposal intended to be raised at the annual general meeting of our shareholders to be held during 2026, must be submitted to us at our registered office, on or before February 28, 2026 to be considered for inclusion in the proxy statement (or management information circular) for such meeting. Under and as further set out in our Articles, director nominations for election at the annual general meeting of our shareholders to be held during 2026, although not included in the management information circular (or proxy statement), must be made not less than 30 days prior to the date of the annual general meeting of our shareholders to be held during 2026; provided, that if the first public announcement of the date of the annual general meeting of our shareholders to be held during 2026 (the “Notice Date”) is less than 50 days before the date of such meeting, director nominations must be made not later than the close of business on the 10th day following the Notice Date. In addition to satisfying the foregoing advance notice requirements, to comply with the SEC’s universal proxy rules, shareholders who intend to solicit proxies in support of director nominees other than our nominees at the annual general meeting of our shareholders to be held during 2026 must follow the requirements set forth in Rule 14a-19 as promulgated under the Exchange Act, including the requirement that any notice under Rule 14a-19 must be postmarked or transmitted electronically to us at our principal executive office no later than March 30, 2026. Proposals that are not received in a timely manner will not be voted on at the annual general meeting of our shareholders to be held during 2026. If a proposal is received on time, the proxies that management solicits for the annual general meeting of our shareholders to be held during 2026 may still exercise discretionary voting authority on the proposal under circumstances consistent with the proxy rules of the SEC. All shareholder proposals should be marked for the attention of Corporate Secretary at our registered office located at: 1111 West Hastings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39"/>
        <w:spacing w:after="0" w:line="287" w:lineRule="auto"/>
        <w:rPr>
          <w:sz w:val="20"/>
          <w:szCs w:val="20"/>
          <w:color w:val="auto"/>
        </w:rPr>
      </w:pPr>
      <w:r>
        <w:rPr>
          <w:rFonts w:ascii="Arial" w:cs="Arial" w:eastAsia="Arial" w:hAnsi="Arial"/>
          <w:sz w:val="18"/>
          <w:szCs w:val="18"/>
          <w:color w:val="auto"/>
        </w:rPr>
        <w:t xml:space="preserve">Street, 15th Floor, Vancouver, British Columbia V6E 2J3, or as otherwise required by the Articles or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(British Columbia).</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TMC the metals company Inc.</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1111 West Hastings Street, 15th Floor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Vancouver, British Columbia V6E 2J3</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April 18,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7052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87052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93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2"/>
    </w:lvl>
    <w:lvl w:ilvl="1">
      <w:lvlJc w:val="left"/>
      <w:lvlText w:val="(%2)"/>
      <w:numFmt w:val="lowerRoman"/>
      <w:start w:val="1"/>
    </w:lvl>
  </w:abstractNum>
  <w:abstractNum w:abstractNumId="10">
    <w:nsid w:val="54E49EB4"/>
    <w:multiLevelType w:val="hybridMultilevel"/>
    <w:lvl w:ilvl="0">
      <w:lvlJc w:val="left"/>
      <w:lvlText w:val="%1"/>
      <w:numFmt w:val="decimal"/>
      <w:start w:val="1"/>
    </w:lvl>
    <w:lvl w:ilvl="1">
      <w:lvlJc w:val="left"/>
      <w:lvlText w:val="(%2)"/>
      <w:numFmt w:val="lowerRoman"/>
      <w:start w:val="3"/>
    </w:lvl>
  </w:abstractNum>
  <w:abstractNum w:abstractNumId="11">
    <w:nsid w:val="71F32454"/>
    <w:multiLevelType w:val="hybridMultilevel"/>
    <w:lvl w:ilvl="0">
      <w:lvlJc w:val="left"/>
      <w:lvlText w:val="(%1)"/>
      <w:numFmt w:val="decimal"/>
      <w:start w:val="4"/>
    </w:lvl>
    <w:lvl w:ilvl="1">
      <w:lvlJc w:val="left"/>
      <w:lvlText w:val="(%2)"/>
      <w:numFmt w:val="lowerRoman"/>
      <w:start w:val="5"/>
    </w:lvl>
  </w:abstractNum>
  <w:abstractNum w:abstractNumId="12">
    <w:nsid w:val="2CA88611"/>
    <w:multiLevelType w:val="hybridMultilevel"/>
    <w:lvl w:ilvl="0">
      <w:lvlJc w:val="left"/>
      <w:lvlText w:val="%1"/>
      <w:numFmt w:val="decimal"/>
      <w:start w:val="1"/>
    </w:lvl>
    <w:lvl w:ilvl="1">
      <w:lvlJc w:val="left"/>
      <w:lvlText w:val="(%2)"/>
      <w:numFmt w:val="lowerRoman"/>
      <w:start w:val="1"/>
    </w:lvl>
  </w:abstractNum>
  <w:abstractNum w:abstractNumId="13">
    <w:nsid w:val="836C40E"/>
    <w:multiLevelType w:val="hybridMultilevel"/>
    <w:lvl w:ilvl="0">
      <w:lvlJc w:val="left"/>
      <w:lvlText w:val="(%1)"/>
      <w:numFmt w:val="decimal"/>
      <w:start w:val="14"/>
    </w:lvl>
    <w:lvl w:ilvl="1">
      <w:lvlJc w:val="left"/>
      <w:lvlText w:val="(%2)"/>
      <w:numFmt w:val="lowerRoman"/>
      <w:start w:val="2"/>
    </w:lvl>
  </w:abstractNum>
  <w:abstractNum w:abstractNumId="14">
    <w:nsid w:val="2901D82"/>
    <w:multiLevelType w:val="hybridMultilevel"/>
    <w:lvl w:ilvl="0">
      <w:lvlJc w:val="left"/>
      <w:lvlText w:val="(%1)"/>
      <w:numFmt w:val="decimal"/>
      <w:start w:val="15"/>
    </w:lvl>
  </w:abstractNum>
  <w:abstractNum w:abstractNumId="15">
    <w:nsid w:val="3A95F874"/>
    <w:multiLevelType w:val="hybridMultilevel"/>
    <w:lvl w:ilvl="0">
      <w:lvlJc w:val="left"/>
      <w:lvlText w:val="&amp;"/>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4"/>
    </w:lvl>
  </w:abstractNum>
  <w:abstractNum w:abstractNumId="18">
    <w:nsid w:val="7C3DBD3D"/>
    <w:multiLevelType w:val="hybridMultilevel"/>
    <w:lvl w:ilvl="0">
      <w:lvlJc w:val="left"/>
      <w:lvlText w:val="(%1)"/>
      <w:numFmt w:val="decimal"/>
      <w:start w:val="3"/>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2"/>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Roman"/>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4"/>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2025-04-08T05:21:38Z</dcterms:created>
  <dcterms:modified xsi:type="dcterms:W3CDTF">2025-04-08T05:21:38Z</dcterms:modified>
</cp:coreProperties>
</file>