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299720</wp:posOffset>
            </wp:positionH>
            <wp:positionV relativeFrom="page">
              <wp:posOffset>833120</wp:posOffset>
            </wp:positionV>
            <wp:extent cx="8087995" cy="9304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87995" cy="9304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50"/>
          <w:szCs w:val="50"/>
          <w:color w:val="FFFFFF"/>
        </w:rPr>
        <w:t xml:space="preserve">annual report </w:t>
      </w:r>
      <w:r>
        <w:rPr>
          <w:rFonts w:ascii="Arial" w:cs="Arial" w:eastAsia="Arial" w:hAnsi="Arial"/>
          <w:sz w:val="61"/>
          <w:szCs w:val="61"/>
          <w:color w:val="F3D304"/>
        </w:rPr>
        <w:t>|</w:t>
      </w:r>
      <w:r>
        <w:rPr>
          <w:rFonts w:ascii="Arial" w:cs="Arial" w:eastAsia="Arial" w:hAnsi="Arial"/>
          <w:sz w:val="50"/>
          <w:szCs w:val="50"/>
          <w:color w:val="FFFFFF"/>
        </w:rPr>
        <w:t xml:space="preserve"> 2024</w:t>
      </w:r>
    </w:p>
    <w:p>
      <w:pPr>
        <w:sectPr>
          <w:pgSz w:w="13680" w:h="17280" w:orient="portrait"/>
          <w:cols w:equalWidth="0" w:num="1">
            <w:col w:w="1080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1456690</wp:posOffset>
            </wp:positionH>
            <wp:positionV relativeFrom="page">
              <wp:posOffset>228600</wp:posOffset>
            </wp:positionV>
            <wp:extent cx="159194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194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822960</wp:posOffset>
                </wp:positionH>
                <wp:positionV relativeFrom="paragraph">
                  <wp:posOffset>16510</wp:posOffset>
                </wp:positionV>
                <wp:extent cx="7524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2700">
                          <a:solidFill>
                            <a:srgbClr val="F3D304"/>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8pt,1.3pt" to="124.05pt,1.3pt" o:allowincell="f" strokecolor="#F3D304" strokeweight="1pt"/>
            </w:pict>
          </mc:Fallback>
        </mc:AlternateConten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Chairman &amp; CEO</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D"/>
        </w:rPr>
        <w:t>TMC Annual Report</w:t>
      </w:r>
      <w:r>
        <w:rPr>
          <w:sz w:val="20"/>
          <w:szCs w:val="20"/>
          <w:color w:val="auto"/>
        </w:rPr>
        <w:tab/>
      </w:r>
      <w:r>
        <w:rPr>
          <w:rFonts w:ascii="Arial" w:cs="Arial" w:eastAsia="Arial" w:hAnsi="Arial"/>
          <w:sz w:val="14"/>
          <w:szCs w:val="14"/>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3D304"/>
        </w:rPr>
        <w:t>2024 Annual Report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16510</wp:posOffset>
                </wp:positionV>
                <wp:extent cx="138620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6205" cy="4763"/>
                        </a:xfrm>
                        <a:prstGeom prst="line">
                          <a:avLst/>
                        </a:prstGeom>
                        <a:solidFill>
                          <a:srgbClr val="FFFFFF"/>
                        </a:solidFill>
                        <a:ln w="12700">
                          <a:solidFill>
                            <a:srgbClr val="F3D304"/>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pt" to="109.5pt,1.3pt" o:allowincell="f" strokecolor="#F3D304" strokeweight="1pt"/>
            </w:pict>
          </mc:Fallback>
        </mc:AlternateContent>
      </w:r>
    </w:p>
    <w:p>
      <w:pPr>
        <w:spacing w:after="0" w:line="13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2024, we took major steps toward delivering a new, lower-impact source of critical minerals for building infrastructure, power generation, transmission, and batteries. Building on more than a decade of scientific and technical work, we advanced our offshore system, validated our onshore processing flowsheet, and deepened our engagement with regulators, policymakers and partners around the world.</w:t>
      </w:r>
    </w:p>
    <w:p>
      <w:pPr>
        <w:spacing w:after="0" w:line="123"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It was also a year in which the disconnect between geopolitical urgency and multilateral process became impossible to ignore.</w:t>
      </w:r>
    </w:p>
    <w:p>
      <w:pPr>
        <w:spacing w:after="0" w:line="11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Despite working in good faith with the International Seabed Authority (ISA) for over a decade—and fulfilling all our regulatory obligations—progress toward a Mining Code remained elusive. As deadlines came and went, a vocal minority of states and NGOs continued to use the ISA as a platform to delay the responsible development of seafloor minerals. Meanwhile, the world’s demand for these minerals has only intensified.</w:t>
      </w:r>
    </w:p>
    <w:p>
      <w:pPr>
        <w:spacing w:after="0" w:line="111"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Amid that backdrop, our team stayed focused. In Japan, we successfully processed a 2,000-tonne sample of polymetallic nodules at PAMCO’s commercial-scale facility, producing high-grade nickel-cobalt-copper alloy and manganese silicate products. This achievement proves that nodules can be processed using existing infrastructure with minimal modifications, validating our capital-light approach.</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the request of the ISA, we completed our latest offshore environmental research campaign in the NORI-D area, assessing how the ecosystem has recovered in the year since test mining. With over 22 campaigns completed to date, we now have the most comprehensive deep-sea environmental dataset in the world containing more than a petabyte of data – more than all other contractors combined. This wealth of data forms the basis of the Environmental and Social Impact Assessment which we expect to submit on June 27, 2025, and which supports the case for responsible nodule collection.</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Our Board continues to develop in a manner that reflects the trajectory of the Company and we were pleased to welcome Steve Jurvetson and Brendan May in 2024, strengthening our commitment to innovation and responsible operations and providing exciting new opportunities to engage with the investment and sustainability communities alike.</w:t>
      </w:r>
    </w:p>
    <w:p>
      <w:pPr>
        <w:spacing w:after="0" w:line="10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Towards the end of last year, we became increasingly concerned that the ISA may not adopt the Exploitation Regulations in a timely manner. Then last month when Nauru, acting in good faith, sought clarity on the ISA application process and timeline, they were stonewalled, most notably by Chile, the world’s largest copper producer. We have waited for the ISA’s rules as they missed one deadline, then another, and most likely this July, another. Reflecting on years of ISA proceedings at its headquarters in Kingston, Jamaica, it became clear: private industry is not welcome at the ISA.</w:t>
      </w:r>
    </w:p>
    <w:p>
      <w:pPr>
        <w:spacing w:after="0" w:line="126"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response, we are now pursuing an alternative pathway under the existing U.S. seabed mining code and aim to submit applications in the second quarter of 2025. In the National Oceanic and Atmospheric Administration, the U.S. offers a stable and predictable regulatory regime and a regulator that is willing to engage and give us a fair hearing. We’ll have more to say about this in the months ahead.</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now, I want to thank our employees, partners, sponsoring states, and investors for their continued belief in our mission. The world needs new sources of critical metals—and we are committed to delivering them with urgency and responsibility.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1203325" cy="370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1203325"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17780</wp:posOffset>
                </wp:positionV>
                <wp:extent cx="71056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0565" cy="4763"/>
                        </a:xfrm>
                        <a:prstGeom prst="line">
                          <a:avLst/>
                        </a:prstGeom>
                        <a:solidFill>
                          <a:srgbClr val="FFFFFF"/>
                        </a:solidFill>
                        <a:ln w="12700">
                          <a:solidFill>
                            <a:srgbClr val="F3D304"/>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pt" to="56.3pt,1.4pt" o:allowincell="f" strokecolor="#F3D304" strokeweight="1pt"/>
            </w:pict>
          </mc:Fallback>
        </mc:AlternateConten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Chairman &amp; CEO</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April 18, 2025</w:t>
      </w:r>
    </w:p>
    <w:p>
      <w:pPr>
        <w:sectPr>
          <w:pgSz w:w="13680" w:h="17280" w:orient="portrait"/>
          <w:cols w:equalWidth="0" w:num="2">
            <w:col w:w="3060" w:space="720"/>
            <w:col w:w="7020"/>
          </w:cols>
          <w:pgMar w:left="1440" w:top="1440" w:right="1440" w:bottom="79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218440</wp:posOffset>
            </wp:positionH>
            <wp:positionV relativeFrom="page">
              <wp:posOffset>228600</wp:posOffset>
            </wp:positionV>
            <wp:extent cx="8250555" cy="10422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8250555" cy="10422890"/>
                    </a:xfrm>
                    <a:prstGeom prst="rect">
                      <a:avLst/>
                    </a:prstGeom>
                    <a:noFill/>
                  </pic:spPr>
                </pic:pic>
              </a:graphicData>
            </a:graphic>
          </wp:anchor>
        </w:drawing>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0"/>
          <w:szCs w:val="40"/>
          <w:color w:val="F3D304"/>
        </w:rPr>
        <w:t>Company Highlights</w:t>
      </w:r>
    </w:p>
    <w:p>
      <w:pPr>
        <w:spacing w:after="0" w:line="82" w:lineRule="exact"/>
        <w:rPr>
          <w:sz w:val="20"/>
          <w:szCs w:val="20"/>
          <w:color w:val="auto"/>
        </w:rPr>
      </w:pPr>
    </w:p>
    <w:p>
      <w:pPr>
        <w:ind w:left="1280" w:right="220"/>
        <w:spacing w:after="0" w:line="259" w:lineRule="auto"/>
        <w:rPr>
          <w:sz w:val="20"/>
          <w:szCs w:val="20"/>
          <w:color w:val="auto"/>
        </w:rPr>
      </w:pPr>
      <w:r>
        <w:rPr>
          <w:rFonts w:ascii="Arial" w:cs="Arial" w:eastAsia="Arial" w:hAnsi="Arial"/>
          <w:sz w:val="18"/>
          <w:szCs w:val="18"/>
          <w:color w:val="auto"/>
        </w:rPr>
        <w:t>Steve Jurvetson, a Renowned Silicon Valley Investor, Joins TMC’s Board of Directors as Vice Chairman and Special Advisor to the CEO</w:t>
      </w:r>
    </w:p>
    <w:p>
      <w:pPr>
        <w:spacing w:after="0" w:line="210" w:lineRule="exact"/>
        <w:rPr>
          <w:sz w:val="20"/>
          <w:szCs w:val="20"/>
          <w:color w:val="auto"/>
        </w:rPr>
      </w:pPr>
    </w:p>
    <w:p>
      <w:pPr>
        <w:ind w:left="1280" w:right="220"/>
        <w:spacing w:after="0" w:line="322" w:lineRule="auto"/>
        <w:rPr>
          <w:sz w:val="20"/>
          <w:szCs w:val="20"/>
          <w:color w:val="auto"/>
        </w:rPr>
      </w:pPr>
      <w:r>
        <w:rPr>
          <w:rFonts w:ascii="Arial" w:cs="Arial" w:eastAsia="Arial" w:hAnsi="Arial"/>
          <w:sz w:val="17"/>
          <w:szCs w:val="17"/>
          <w:color w:val="auto"/>
        </w:rPr>
        <w:t>On April 10, 2024, renowned Silicon Valley investor, Steve Jurvetson, joined our board of directors as Vice Chairman and special advisor to the CEO. Mr. Jurvetson is an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p>
      <w:pPr>
        <w:spacing w:after="0" w:line="299" w:lineRule="exact"/>
        <w:rPr>
          <w:sz w:val="20"/>
          <w:szCs w:val="20"/>
          <w:color w:val="auto"/>
        </w:rPr>
      </w:pPr>
    </w:p>
    <w:p>
      <w:pPr>
        <w:ind w:left="1280" w:right="100"/>
        <w:spacing w:after="0" w:line="294" w:lineRule="auto"/>
        <w:rPr>
          <w:sz w:val="20"/>
          <w:szCs w:val="20"/>
          <w:color w:val="auto"/>
        </w:rPr>
      </w:pPr>
      <w:r>
        <w:rPr>
          <w:rFonts w:ascii="Arial" w:cs="Arial" w:eastAsia="Arial" w:hAnsi="Arial"/>
          <w:sz w:val="17"/>
          <w:szCs w:val="17"/>
          <w:color w:val="auto"/>
        </w:rPr>
        <w:t>The Metals Company Welcomes Prominent Sustainability Strategist Brendan May to its Board of Directors</w:t>
      </w:r>
    </w:p>
    <w:p>
      <w:pPr>
        <w:spacing w:after="0" w:line="181" w:lineRule="exact"/>
        <w:rPr>
          <w:sz w:val="20"/>
          <w:szCs w:val="20"/>
          <w:color w:val="auto"/>
        </w:rPr>
      </w:pPr>
    </w:p>
    <w:p>
      <w:pPr>
        <w:ind w:left="1280" w:right="20"/>
        <w:spacing w:after="0" w:line="319" w:lineRule="auto"/>
        <w:rPr>
          <w:sz w:val="20"/>
          <w:szCs w:val="20"/>
          <w:color w:val="auto"/>
        </w:rPr>
      </w:pPr>
      <w:r>
        <w:rPr>
          <w:rFonts w:ascii="Arial" w:cs="Arial" w:eastAsia="Arial" w:hAnsi="Arial"/>
          <w:sz w:val="17"/>
          <w:szCs w:val="17"/>
          <w:color w:val="auto"/>
        </w:rPr>
        <w:t>On June 3, 2024, we announced the appointment of Brendan May to our Board of Directors. As a former Chief Executive of the Marine Stewardship Council (MSC) and European Chairman of the Rainforest Alliance, Mr. May has spent over two decades at the forefront of sustainability challenges in globally significant ecosystems. In 2010,</w:t>
      </w:r>
    </w:p>
    <w:p>
      <w:pPr>
        <w:spacing w:after="0" w:line="1" w:lineRule="exact"/>
        <w:rPr>
          <w:sz w:val="20"/>
          <w:szCs w:val="20"/>
          <w:color w:val="auto"/>
        </w:rPr>
      </w:pPr>
    </w:p>
    <w:p>
      <w:pPr>
        <w:ind w:left="1280"/>
        <w:spacing w:after="0" w:line="306" w:lineRule="auto"/>
        <w:rPr>
          <w:sz w:val="20"/>
          <w:szCs w:val="20"/>
          <w:color w:val="auto"/>
        </w:rPr>
      </w:pPr>
      <w:r>
        <w:rPr>
          <w:rFonts w:ascii="Arial" w:cs="Arial" w:eastAsia="Arial" w:hAnsi="Arial"/>
          <w:sz w:val="18"/>
          <w:szCs w:val="18"/>
          <w:color w:val="auto"/>
        </w:rPr>
        <w:t>he formed renowned global sustainability consultancy, Robertsbridge, whose counsel has been sought by leading companies and NGOs around the world.</w:t>
      </w:r>
    </w:p>
    <w:p>
      <w:pPr>
        <w:spacing w:after="0" w:line="308" w:lineRule="exact"/>
        <w:rPr>
          <w:sz w:val="20"/>
          <w:szCs w:val="20"/>
          <w:color w:val="auto"/>
        </w:rPr>
      </w:pPr>
    </w:p>
    <w:p>
      <w:pPr>
        <w:ind w:left="1280" w:right="280"/>
        <w:spacing w:after="0" w:line="264" w:lineRule="auto"/>
        <w:rPr>
          <w:sz w:val="20"/>
          <w:szCs w:val="20"/>
          <w:color w:val="auto"/>
        </w:rPr>
      </w:pPr>
      <w:r>
        <w:rPr>
          <w:rFonts w:ascii="Arial" w:cs="Arial" w:eastAsia="Arial" w:hAnsi="Arial"/>
          <w:sz w:val="18"/>
          <w:szCs w:val="18"/>
          <w:color w:val="auto"/>
        </w:rPr>
        <w:t>TMC and SGS Produce World-First Cobalt and Nickel Sulfate from Deep-Seafloor Polymetallic Nodules</w:t>
      </w:r>
    </w:p>
    <w:p>
      <w:pPr>
        <w:spacing w:after="0" w:line="205" w:lineRule="exact"/>
        <w:rPr>
          <w:sz w:val="20"/>
          <w:szCs w:val="20"/>
          <w:color w:val="auto"/>
        </w:rPr>
      </w:pPr>
    </w:p>
    <w:p>
      <w:pPr>
        <w:ind w:left="1280" w:right="40"/>
        <w:spacing w:after="0" w:line="343" w:lineRule="auto"/>
        <w:rPr>
          <w:sz w:val="20"/>
          <w:szCs w:val="20"/>
          <w:color w:val="auto"/>
        </w:rPr>
      </w:pPr>
      <w:r>
        <w:rPr>
          <w:rFonts w:ascii="Arial" w:cs="Arial" w:eastAsia="Arial" w:hAnsi="Arial"/>
          <w:sz w:val="16"/>
          <w:szCs w:val="16"/>
          <w:color w:val="auto"/>
        </w:rPr>
        <w:t>On June 12, 2024, we announced that we successfully produced the world’s first cobalt sulfate derived exclusively from seafloor polymetallic nodules. The cobalt sulfate was generated during bench-scale testing of our hydrometallurgical flowsheet design with SGS Canada Inc. Based on samples of nickel-cobalt-copper matte first produced by us in 2021, SGS tested our efficient flowsheet to process high-grade nickel-copper-cobalt matte directly to high-purity cobalt sulfate without making cobalt metal, while producing fertilizer byproducts instead of solid waste or tailings. The milestone followed the news in May 2024 of our</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D"/>
        </w:rPr>
        <w:t>TMC Annual Report</w:t>
      </w:r>
      <w:r>
        <w:rPr>
          <w:sz w:val="20"/>
          <w:szCs w:val="20"/>
          <w:color w:val="auto"/>
        </w:rPr>
        <w:tab/>
      </w:r>
      <w:r>
        <w:rPr>
          <w:rFonts w:ascii="Arial" w:cs="Arial" w:eastAsia="Arial" w:hAnsi="Arial"/>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306" w:lineRule="auto"/>
        <w:rPr>
          <w:sz w:val="20"/>
          <w:szCs w:val="20"/>
          <w:color w:val="auto"/>
        </w:rPr>
      </w:pPr>
      <w:r>
        <w:rPr>
          <w:rFonts w:ascii="Arial" w:cs="Arial" w:eastAsia="Arial" w:hAnsi="Arial"/>
          <w:sz w:val="18"/>
          <w:szCs w:val="18"/>
          <w:color w:val="auto"/>
        </w:rPr>
        <w:t>successful production of nickel sulfate, a key raw material input used in the production of energy-dense electric vehicle (EV) batteries.</w:t>
      </w:r>
    </w:p>
    <w:p>
      <w:pPr>
        <w:spacing w:after="0" w:line="3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World First: TMC and PAMCO Achieve Breakthrough in Commercial-Scale Processing of Polymetallic Nodules, Successfully Producing Calcine</w:t>
      </w:r>
    </w:p>
    <w:p>
      <w:pPr>
        <w:spacing w:after="0" w:line="210"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In September 2024, we announced that we had successfully produced high temperature material (calcine) during the first phase of a commercial-scale campaign to process a 2,000-tonne sample of deep-seafloor polymetallic nodules at our partner PAMCO’s Hachinohe Rotary Kiln Electric-Arc Furnace facility in Hachinohe, Japan. Approximately 500 tonnes of calcine were produced. On February 18, 2025, we announced that PAMCO had successfully smelted 450 tonnes of calcine into 35 tonnes of NiCuCo alloy and 320 tonnes of Mn silicate products.</w:t>
      </w:r>
    </w:p>
    <w:p>
      <w:pPr>
        <w:spacing w:after="0" w:line="31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TMC Announces June 27, 2025 Submission Date for Subsidiary NORI’s ISA Application and Expanded Company Strategy</w:t>
      </w:r>
    </w:p>
    <w:p>
      <w:pPr>
        <w:spacing w:after="0" w:line="210" w:lineRule="exact"/>
        <w:rPr>
          <w:sz w:val="20"/>
          <w:szCs w:val="20"/>
          <w:color w:val="auto"/>
        </w:rPr>
      </w:pPr>
    </w:p>
    <w:p>
      <w:pPr>
        <w:ind w:right="160"/>
        <w:spacing w:after="0" w:line="319" w:lineRule="auto"/>
        <w:rPr>
          <w:sz w:val="20"/>
          <w:szCs w:val="20"/>
          <w:color w:val="auto"/>
        </w:rPr>
      </w:pPr>
      <w:r>
        <w:rPr>
          <w:rFonts w:ascii="Arial" w:cs="Arial" w:eastAsia="Arial" w:hAnsi="Arial"/>
          <w:sz w:val="17"/>
          <w:szCs w:val="17"/>
          <w:color w:val="auto"/>
        </w:rPr>
        <w:t>NORI set the date of June 27, 2025 for its expected submission of its ISA exploitation application. According to the ISA Council’s decisions ISBA/28/C/24 and ISBA/28/C/25, if NORI submits an application for a plan of work for exploitation before the Rules, Regulations and Procedures (RRPs) have been adopted, the ISA Council at its next meeting, as a matter of priority, will consider the process for considering such an application. At the March 2025 meetings, Nauru’s proposed agenda item seeking clarity on the application process was strongly opposed by Chile, and it is unlikely that there will be</w:t>
      </w:r>
    </w:p>
    <w:p>
      <w:pPr>
        <w:spacing w:after="0" w:line="1"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auto"/>
        </w:rPr>
        <w:t>an agreed upon process until after an application is received. Subsequently, TMC announced that it will pursue exploration and commercial recovery permits under the existing U.S. seabed mining code, the Deep Seabed Hard Minerals Resources Act.</w:t>
      </w:r>
    </w:p>
    <w:p>
      <w:pPr>
        <w:sectPr>
          <w:pgSz w:w="13680" w:h="17280" w:orient="portrait"/>
          <w:cols w:equalWidth="0" w:num="2">
            <w:col w:w="5860" w:space="360"/>
            <w:col w:w="4580"/>
          </w:cols>
          <w:pgMar w:left="14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315595</wp:posOffset>
            </wp:positionH>
            <wp:positionV relativeFrom="page">
              <wp:posOffset>228600</wp:posOffset>
            </wp:positionV>
            <wp:extent cx="4320540" cy="10397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4320540" cy="10397490"/>
                    </a:xfrm>
                    <a:prstGeom prst="rect">
                      <a:avLst/>
                    </a:prstGeom>
                    <a:noFill/>
                  </pic:spPr>
                </pic:pic>
              </a:graphicData>
            </a:graphic>
          </wp:anchor>
        </w:drawing>
      </w:r>
    </w:p>
    <w:p>
      <w:pPr>
        <w:spacing w:after="0" w:line="3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0"/>
          <w:szCs w:val="40"/>
          <w:color w:val="F3D304"/>
        </w:rPr>
        <w:t>Research</w:t>
      </w:r>
    </w:p>
    <w:p>
      <w:pPr>
        <w:spacing w:after="0" w:line="90" w:lineRule="exact"/>
        <w:rPr>
          <w:sz w:val="20"/>
          <w:szCs w:val="20"/>
          <w:color w:val="auto"/>
        </w:rPr>
      </w:pPr>
    </w:p>
    <w:p>
      <w:pPr>
        <w:ind w:left="1280" w:right="480"/>
        <w:spacing w:after="0" w:line="264" w:lineRule="auto"/>
        <w:rPr>
          <w:sz w:val="20"/>
          <w:szCs w:val="20"/>
          <w:color w:val="auto"/>
        </w:rPr>
      </w:pPr>
      <w:r>
        <w:rPr>
          <w:rFonts w:ascii="Arial" w:cs="Arial" w:eastAsia="Arial" w:hAnsi="Arial"/>
          <w:sz w:val="18"/>
          <w:szCs w:val="18"/>
          <w:color w:val="auto"/>
        </w:rPr>
        <w:t>Extensive Submission of Deep-Sea Environmental Data to the ISA</w:t>
      </w:r>
    </w:p>
    <w:p>
      <w:pPr>
        <w:spacing w:after="0" w:line="205" w:lineRule="exact"/>
        <w:rPr>
          <w:sz w:val="20"/>
          <w:szCs w:val="20"/>
          <w:color w:val="auto"/>
        </w:rPr>
      </w:pPr>
    </w:p>
    <w:p>
      <w:pPr>
        <w:ind w:left="1280"/>
        <w:spacing w:after="0" w:line="322" w:lineRule="auto"/>
        <w:rPr>
          <w:sz w:val="20"/>
          <w:szCs w:val="20"/>
          <w:color w:val="auto"/>
        </w:rPr>
      </w:pPr>
      <w:r>
        <w:rPr>
          <w:rFonts w:ascii="Arial" w:cs="Arial" w:eastAsia="Arial" w:hAnsi="Arial"/>
          <w:sz w:val="17"/>
          <w:szCs w:val="17"/>
          <w:color w:val="auto"/>
        </w:rPr>
        <w:t>In May 2024, we announced that our subsidiary NORI had made a second submission of key environmental data from all prior environmental baseline campaigns conducted in the NORI-D exploration area up to January 2022 to DeepData, an open database of contractor data managed by the ISA. The submission of this massive batch of data includes an extensive set of geochemical and biological samples from throughout the water column.</w:t>
      </w:r>
    </w:p>
    <w:p>
      <w:pPr>
        <w:spacing w:after="0" w:line="3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NORI Environmental Synthesis Workshop 2024</w:t>
      </w:r>
    </w:p>
    <w:p>
      <w:pPr>
        <w:spacing w:after="0" w:line="233" w:lineRule="exact"/>
        <w:rPr>
          <w:sz w:val="20"/>
          <w:szCs w:val="20"/>
          <w:color w:val="auto"/>
        </w:rPr>
      </w:pPr>
    </w:p>
    <w:p>
      <w:pPr>
        <w:ind w:left="1280" w:right="180"/>
        <w:spacing w:after="0" w:line="302" w:lineRule="auto"/>
        <w:rPr>
          <w:sz w:val="20"/>
          <w:szCs w:val="20"/>
          <w:color w:val="auto"/>
        </w:rPr>
      </w:pPr>
      <w:r>
        <w:rPr>
          <w:rFonts w:ascii="Arial" w:cs="Arial" w:eastAsia="Arial" w:hAnsi="Arial"/>
          <w:sz w:val="18"/>
          <w:szCs w:val="18"/>
          <w:color w:val="auto"/>
        </w:rPr>
        <w:t>The largest component of NORI’s commercial nodule application is the Environmental Impact Statement. In January 2024, our environmental team met with key scientific partners and stakeholders to synthesize the wealth of environmental and physical oceanographic data collected over 12 years of offshore campaigns with preliminary results from our pilot system test.</w:t>
      </w:r>
    </w:p>
    <w:p>
      <w:pPr>
        <w:spacing w:after="0" w:line="316" w:lineRule="exact"/>
        <w:rPr>
          <w:sz w:val="20"/>
          <w:szCs w:val="20"/>
          <w:color w:val="auto"/>
        </w:rPr>
      </w:pPr>
    </w:p>
    <w:p>
      <w:pPr>
        <w:ind w:left="1280" w:right="760"/>
        <w:spacing w:after="0" w:line="264" w:lineRule="auto"/>
        <w:rPr>
          <w:sz w:val="20"/>
          <w:szCs w:val="20"/>
          <w:color w:val="auto"/>
        </w:rPr>
      </w:pPr>
      <w:r>
        <w:rPr>
          <w:rFonts w:ascii="Arial" w:cs="Arial" w:eastAsia="Arial" w:hAnsi="Arial"/>
          <w:sz w:val="18"/>
          <w:szCs w:val="18"/>
          <w:color w:val="auto"/>
        </w:rPr>
        <w:t>Scientific Community Pushes Back on Claims of Dark Oxygen</w:t>
      </w:r>
    </w:p>
    <w:p>
      <w:pPr>
        <w:spacing w:after="0" w:line="205" w:lineRule="exact"/>
        <w:rPr>
          <w:sz w:val="20"/>
          <w:szCs w:val="20"/>
          <w:color w:val="auto"/>
        </w:rPr>
      </w:pPr>
    </w:p>
    <w:p>
      <w:pPr>
        <w:ind w:left="1280" w:right="20"/>
        <w:spacing w:after="0" w:line="321" w:lineRule="auto"/>
        <w:rPr>
          <w:sz w:val="20"/>
          <w:szCs w:val="20"/>
          <w:color w:val="auto"/>
        </w:rPr>
      </w:pPr>
      <w:r>
        <w:rPr>
          <w:rFonts w:ascii="Arial" w:cs="Arial" w:eastAsia="Arial" w:hAnsi="Arial"/>
          <w:sz w:val="17"/>
          <w:szCs w:val="17"/>
          <w:color w:val="auto"/>
        </w:rPr>
        <w:t>In July 2024, Nature Geoscience published a paper claiming that seafloor nodules produce oxygen in the absence of sunlight. Since the paper’s publication, five rebuttals have been submitted to Nature warning of serious flaws with the paper’s methodology and claims, prompting calls for the paper to be retracted. Researchers at the Universities of Tokyo, Gothenburg and Aberdeen are among the experts that have submitted pre-print rebuttals to the article’s author. TMC’s rebuttal, published on September 19, 2024, notes selective reporting of data</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D"/>
        </w:rPr>
        <w:t>TMC Annual Report</w:t>
      </w:r>
      <w:r>
        <w:rPr>
          <w:sz w:val="20"/>
          <w:szCs w:val="20"/>
          <w:color w:val="auto"/>
        </w:rPr>
        <w:tab/>
      </w:r>
      <w:r>
        <w:rPr>
          <w:rFonts w:ascii="Arial" w:cs="Arial" w:eastAsia="Arial" w:hAnsi="Arial"/>
          <w:sz w:val="14"/>
          <w:szCs w:val="14"/>
          <w:color w:val="auto"/>
        </w:rPr>
        <w:t>4</w:t>
      </w:r>
    </w:p>
    <w:p>
      <w:pPr>
        <w:spacing w:after="0" w:line="366" w:lineRule="exact"/>
        <w:rPr>
          <w:sz w:val="20"/>
          <w:szCs w:val="20"/>
          <w:color w:val="auto"/>
        </w:rPr>
      </w:pPr>
    </w:p>
    <w:p>
      <w:pPr>
        <w:ind w:right="140"/>
        <w:spacing w:after="0" w:line="306" w:lineRule="auto"/>
        <w:rPr>
          <w:sz w:val="20"/>
          <w:szCs w:val="20"/>
          <w:color w:val="auto"/>
        </w:rPr>
      </w:pPr>
      <w:r>
        <w:rPr>
          <w:rFonts w:ascii="Arial" w:cs="Arial" w:eastAsia="Arial" w:hAnsi="Arial"/>
          <w:sz w:val="18"/>
          <w:szCs w:val="18"/>
          <w:color w:val="auto"/>
        </w:rPr>
        <w:t>and omission of key evidence, including experiments that show oxygen levels increasing without nodules, directly contradicting the authors’ claims.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End of Latest Offshore Research Campaign</w:t>
      </w:r>
    </w:p>
    <w:p>
      <w:pPr>
        <w:spacing w:after="0" w:line="233" w:lineRule="exact"/>
        <w:rPr>
          <w:sz w:val="20"/>
          <w:szCs w:val="20"/>
          <w:color w:val="auto"/>
        </w:rPr>
      </w:pPr>
    </w:p>
    <w:p>
      <w:pPr>
        <w:ind w:right="200"/>
        <w:spacing w:after="0" w:line="323" w:lineRule="auto"/>
        <w:rPr>
          <w:sz w:val="20"/>
          <w:szCs w:val="20"/>
          <w:color w:val="auto"/>
        </w:rPr>
      </w:pPr>
      <w:r>
        <w:rPr>
          <w:rFonts w:ascii="Arial" w:cs="Arial" w:eastAsia="Arial" w:hAnsi="Arial"/>
          <w:sz w:val="17"/>
          <w:szCs w:val="17"/>
          <w:color w:val="auto"/>
        </w:rPr>
        <w:t>At the end of 2023, TMC subsidiary NORI spent 28 research days on NORI-D assessing ecosystem function and recovery, one year after its pilot collection system test. Once analyzed by scientists, the samples gathered will further strengthen NORI’s environmental impact assessment. At the start of 2024, the team returned for a further 34 days to map and image the NORI area.</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3D304"/>
        </w:rPr>
        <w:t>Industry Updates</w:t>
      </w:r>
    </w:p>
    <w:p>
      <w:pPr>
        <w:spacing w:after="0" w:line="9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Launch of World-First ESG Handbook for Marine Minerals</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In August 2024, we celebrated the publication of the first ESG handbook for the marine minerals industry. Having worked over the past 18 months with a diverse group of stakeholders, including contractors, finance and science institutions, NGOs and regulators, to prepare this ESG disclosure guidance, we see it as a valuable tool to embed consistent ESG thinking and transparency into the industry before commercial operations begin.</w:t>
      </w:r>
    </w:p>
    <w:p>
      <w:pPr>
        <w:spacing w:after="0" w:line="3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Japan Looks Ahead to Nodule Collection System Trials in its Territorial Waters</w:t>
      </w:r>
    </w:p>
    <w:p>
      <w:pPr>
        <w:spacing w:after="0" w:line="205" w:lineRule="exact"/>
        <w:rPr>
          <w:sz w:val="20"/>
          <w:szCs w:val="20"/>
          <w:color w:val="auto"/>
        </w:rPr>
      </w:pPr>
    </w:p>
    <w:p>
      <w:pPr>
        <w:ind w:right="40"/>
        <w:spacing w:after="0" w:line="325" w:lineRule="auto"/>
        <w:rPr>
          <w:sz w:val="20"/>
          <w:szCs w:val="20"/>
          <w:color w:val="auto"/>
        </w:rPr>
      </w:pPr>
      <w:r>
        <w:rPr>
          <w:rFonts w:ascii="Arial" w:cs="Arial" w:eastAsia="Arial" w:hAnsi="Arial"/>
          <w:sz w:val="17"/>
          <w:szCs w:val="17"/>
          <w:color w:val="auto"/>
        </w:rPr>
        <w:t>In June 2024, there was yet more momentum for this new industry as Japan announced that it would conduct nodule collection system trials in its sovereign waters as a means to provide a stable, secure and abundant supply of the resources it needs for energy and national security.</w:t>
      </w:r>
    </w:p>
    <w:p>
      <w:pPr>
        <w:spacing w:after="0" w:line="29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India Successfully Completes Pilot Nodule Collection Trials in its EEZ</w:t>
      </w:r>
    </w:p>
    <w:p>
      <w:pPr>
        <w:spacing w:after="0" w:line="205" w:lineRule="exact"/>
        <w:rPr>
          <w:sz w:val="20"/>
          <w:szCs w:val="20"/>
          <w:color w:val="auto"/>
        </w:rPr>
      </w:pPr>
    </w:p>
    <w:p>
      <w:pPr>
        <w:ind w:right="320"/>
        <w:spacing w:after="0" w:line="304" w:lineRule="auto"/>
        <w:rPr>
          <w:sz w:val="20"/>
          <w:szCs w:val="20"/>
          <w:color w:val="auto"/>
        </w:rPr>
      </w:pPr>
      <w:r>
        <w:rPr>
          <w:rFonts w:ascii="Arial" w:cs="Arial" w:eastAsia="Arial" w:hAnsi="Arial"/>
          <w:sz w:val="18"/>
          <w:szCs w:val="18"/>
          <w:color w:val="auto"/>
        </w:rPr>
        <w:t>In October 2024, India’s National Institute of Ocean Technology announced the successful completion of nodule collection technology trials in the Andaman Sea within its Exclusive Economic Zone.</w:t>
      </w:r>
    </w:p>
    <w:p>
      <w:pPr>
        <w:spacing w:after="0" w:line="311"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TMC Applauds U.S. Congressional Mandate for 2025 Defense Department Feasibility Study on Nodule Refining</w:t>
      </w:r>
    </w:p>
    <w:p>
      <w:pPr>
        <w:spacing w:after="0" w:line="181" w:lineRule="exact"/>
        <w:rPr>
          <w:sz w:val="20"/>
          <w:szCs w:val="20"/>
          <w:color w:val="auto"/>
        </w:rPr>
      </w:pPr>
    </w:p>
    <w:p>
      <w:pPr>
        <w:ind w:right="20"/>
        <w:spacing w:after="0" w:line="324" w:lineRule="auto"/>
        <w:rPr>
          <w:sz w:val="20"/>
          <w:szCs w:val="20"/>
          <w:color w:val="auto"/>
        </w:rPr>
      </w:pPr>
      <w:r>
        <w:rPr>
          <w:rFonts w:ascii="Arial" w:cs="Arial" w:eastAsia="Arial" w:hAnsi="Arial"/>
          <w:sz w:val="17"/>
          <w:szCs w:val="17"/>
          <w:color w:val="auto"/>
        </w:rPr>
        <w:t>In December 2024, we welcomed the signing of legislation calling for financial support from the Defense Department’s Industrial Base Policy office to “assess the feasibility of improving domestic capabilities for refining polymetallic nodule-derived intermediates into high-purity nickel, cobalt sulfate, and copper.” The legislation, signed into law by</w:t>
      </w:r>
    </w:p>
    <w:p>
      <w:pPr>
        <w:sectPr>
          <w:pgSz w:w="13680" w:h="17280" w:orient="portrait"/>
          <w:cols w:equalWidth="0" w:num="2">
            <w:col w:w="5800" w:space="420"/>
            <w:col w:w="4580"/>
          </w:cols>
          <w:pgMar w:left="1440" w:top="1440" w:right="1440" w:bottom="861" w:gutter="0" w:footer="0" w:header="0"/>
        </w:sectPr>
      </w:pPr>
    </w:p>
    <w:bookmarkStart w:id="4" w:name="page5"/>
    <w:bookmarkEnd w:id="4"/>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342900</wp:posOffset>
            </wp:positionH>
            <wp:positionV relativeFrom="page">
              <wp:posOffset>228600</wp:posOffset>
            </wp:positionV>
            <wp:extent cx="800100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8001000" cy="10515600"/>
                    </a:xfrm>
                    <a:prstGeom prst="rect">
                      <a:avLst/>
                    </a:prstGeom>
                    <a:noFill/>
                  </pic:spPr>
                </pic:pic>
              </a:graphicData>
            </a:graphic>
          </wp:anchor>
        </w:drawing>
      </w:r>
    </w:p>
    <w:p>
      <w:pPr>
        <w:ind w:left="8980"/>
        <w:spacing w:after="0"/>
        <w:tabs>
          <w:tab w:leader="none" w:pos="10700" w:val="left"/>
        </w:tabs>
        <w:rPr>
          <w:sz w:val="20"/>
          <w:szCs w:val="20"/>
          <w:color w:val="auto"/>
        </w:rPr>
      </w:pPr>
      <w:r>
        <w:rPr>
          <w:rFonts w:ascii="Arial" w:cs="Arial" w:eastAsia="Arial" w:hAnsi="Arial"/>
          <w:sz w:val="16"/>
          <w:szCs w:val="16"/>
          <w:color w:val="A29E9D"/>
        </w:rPr>
        <w:t>TMC Annual Report</w:t>
      </w:r>
      <w:r>
        <w:rPr>
          <w:sz w:val="20"/>
          <w:szCs w:val="20"/>
          <w:color w:val="auto"/>
        </w:rPr>
        <w:tab/>
      </w:r>
      <w:r>
        <w:rPr>
          <w:rFonts w:ascii="Arial" w:cs="Arial" w:eastAsia="Arial" w:hAnsi="Arial"/>
          <w:sz w:val="14"/>
          <w:szCs w:val="14"/>
          <w:color w:val="auto"/>
        </w:rPr>
        <w:t>5</w:t>
      </w:r>
    </w:p>
    <w:p>
      <w:pPr>
        <w:sectPr>
          <w:pgSz w:w="13680" w:h="17280" w:orient="portrait"/>
          <w:cols w:equalWidth="0" w:num="1">
            <w:col w:w="10800"/>
          </w:cols>
          <w:pgMar w:left="1440" w:top="1440" w:right="1440" w:bottom="9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80"/>
        <w:spacing w:after="0" w:line="319" w:lineRule="auto"/>
        <w:rPr>
          <w:sz w:val="20"/>
          <w:szCs w:val="20"/>
          <w:color w:val="auto"/>
        </w:rPr>
      </w:pPr>
      <w:r>
        <w:rPr>
          <w:rFonts w:ascii="Arial" w:cs="Arial" w:eastAsia="Arial" w:hAnsi="Arial"/>
          <w:sz w:val="17"/>
          <w:szCs w:val="17"/>
          <w:color w:val="auto"/>
        </w:rPr>
        <w:t>President Biden on December 23, 2024, was led by the HASC and calls for the completion of a feasibility study by the end of 2025 for a nodule-derived intermediate refinery which would bring the U.S. closer to addressing the biggest vulnerability in its domestic battery supply chains – nickel refining – as identified in Executive Order 14017 from</w:t>
      </w:r>
    </w:p>
    <w:p>
      <w:pPr>
        <w:spacing w:after="0" w:line="1" w:lineRule="exact"/>
        <w:rPr>
          <w:sz w:val="20"/>
          <w:szCs w:val="20"/>
          <w:color w:val="auto"/>
        </w:rPr>
      </w:pPr>
    </w:p>
    <w:p>
      <w:pPr>
        <w:ind w:left="1280" w:right="40"/>
        <w:spacing w:after="0" w:line="327" w:lineRule="auto"/>
        <w:rPr>
          <w:sz w:val="20"/>
          <w:szCs w:val="20"/>
          <w:color w:val="auto"/>
        </w:rPr>
      </w:pPr>
      <w:r>
        <w:rPr>
          <w:rFonts w:ascii="Arial" w:cs="Arial" w:eastAsia="Arial" w:hAnsi="Arial"/>
          <w:sz w:val="17"/>
          <w:szCs w:val="17"/>
          <w:color w:val="auto"/>
        </w:rPr>
        <w:t>2021. In addition, our U.S. subsidiary has an outstanding application seeking a $9 million grant under the Defense Production Act Title III program for feasibility work on a domestic refinery for nodule-derived intermediate products.</w:t>
      </w:r>
    </w:p>
    <w:p>
      <w:pPr>
        <w:spacing w:after="0" w:line="294" w:lineRule="exact"/>
        <w:rPr>
          <w:sz w:val="20"/>
          <w:szCs w:val="20"/>
          <w:color w:val="auto"/>
        </w:rPr>
      </w:pPr>
    </w:p>
    <w:p>
      <w:pPr>
        <w:ind w:left="1280" w:right="260"/>
        <w:spacing w:after="0" w:line="257" w:lineRule="auto"/>
        <w:rPr>
          <w:sz w:val="20"/>
          <w:szCs w:val="20"/>
          <w:color w:val="auto"/>
        </w:rPr>
      </w:pPr>
      <w:r>
        <w:rPr>
          <w:rFonts w:ascii="Arial" w:cs="Arial" w:eastAsia="Arial" w:hAnsi="Arial"/>
          <w:sz w:val="18"/>
          <w:szCs w:val="18"/>
          <w:color w:val="auto"/>
        </w:rPr>
        <w:t>TMC Commends U.S. Congress on Bill to “Provide Financial, Diplomatic, or Other Forms of Support for Seafloor Nodule Collection, Processing and Refining” and Advancing International Regulations for Seafloor Resources</w:t>
      </w:r>
    </w:p>
    <w:p>
      <w:pPr>
        <w:spacing w:after="0" w:line="212" w:lineRule="exact"/>
        <w:rPr>
          <w:sz w:val="20"/>
          <w:szCs w:val="20"/>
          <w:color w:val="auto"/>
        </w:rPr>
      </w:pPr>
    </w:p>
    <w:p>
      <w:pPr>
        <w:ind w:left="1280" w:right="40"/>
        <w:spacing w:after="0" w:line="302" w:lineRule="auto"/>
        <w:rPr>
          <w:sz w:val="20"/>
          <w:szCs w:val="20"/>
          <w:color w:val="auto"/>
        </w:rPr>
      </w:pPr>
      <w:r>
        <w:rPr>
          <w:rFonts w:ascii="Arial" w:cs="Arial" w:eastAsia="Arial" w:hAnsi="Arial"/>
          <w:sz w:val="18"/>
          <w:szCs w:val="18"/>
          <w:color w:val="auto"/>
        </w:rPr>
        <w:t>In March 2024, the Responsible Use of Seafloor Resources Act (RUSRA) was introduced in the U.S. House of Representatives calling for the U.S. to “support international governance of seafloor resource exploration and responsible polymetallic nodule collection by allied partners,” and to “provide financial, diplomatic, or other forms of support for seafloor nodule collection, processing and refining.”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3D304"/>
        </w:rPr>
        <w:t>Sponsoring States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NORI-D Cultural &amp; Heritage Impact Assessment</w:t>
      </w:r>
    </w:p>
    <w:p>
      <w:pPr>
        <w:spacing w:after="0" w:line="233" w:lineRule="exact"/>
        <w:rPr>
          <w:sz w:val="20"/>
          <w:szCs w:val="20"/>
          <w:color w:val="auto"/>
        </w:rPr>
      </w:pPr>
    </w:p>
    <w:p>
      <w:pPr>
        <w:ind w:right="80"/>
        <w:spacing w:after="0" w:line="302" w:lineRule="auto"/>
        <w:rPr>
          <w:sz w:val="20"/>
          <w:szCs w:val="20"/>
          <w:color w:val="auto"/>
        </w:rPr>
      </w:pPr>
      <w:r>
        <w:rPr>
          <w:rFonts w:ascii="Arial" w:cs="Arial" w:eastAsia="Arial" w:hAnsi="Arial"/>
          <w:sz w:val="18"/>
          <w:szCs w:val="18"/>
          <w:color w:val="auto"/>
        </w:rPr>
        <w:t>Over two weeks in August 2024, NORI and independent consultants, SEARCH Inc. and B&amp;K Consulting Group, engaged with stakeholders in Tonga and Nauru for the Cultural &amp; Heritage Impact Assessment for the NORI-D Project. In both locations, we believe NORI gained valuable perspectives from a broad range of voices, including community leaders, fisherfolk, elders, various government departments, and local academic institutions. TMC has now completed its Cultural &amp; Heritage Impact Assessment and the preliminary findings show that there is no historic use of this area and, by current international standards, the necessity for Free, Prior and Informed Consent does not apply.</w:t>
      </w:r>
    </w:p>
    <w:p>
      <w:pPr>
        <w:spacing w:after="0" w:line="3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Statement by President Adeang of Nauru to UN General Assembly</w:t>
      </w:r>
    </w:p>
    <w:p>
      <w:pPr>
        <w:spacing w:after="0" w:line="205"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color w:val="auto"/>
        </w:rPr>
        <w:t>During a speech to the United Nations General Assembly, His Excellency President David Adeang of Nauru stated: “We, therefore, call on the international community not to ignore the science and progress we have made. Instead, we urge you and the International Seabed Authority</w:t>
      </w:r>
    </w:p>
    <w:p>
      <w:pPr>
        <w:sectPr>
          <w:pgSz w:w="13680" w:h="17280" w:orient="portrait"/>
          <w:cols w:equalWidth="0" w:num="2">
            <w:col w:w="5860" w:space="360"/>
            <w:col w:w="4580"/>
          </w:cols>
          <w:pgMar w:left="1440" w:top="1440" w:right="1440" w:bottom="901" w:gutter="0" w:footer="0" w:header="0"/>
          <w:type w:val="continuous"/>
        </w:sectPr>
      </w:pPr>
    </w:p>
    <w:bookmarkStart w:id="5" w:name="page6"/>
    <w:bookmarkEnd w:id="5"/>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1463040</wp:posOffset>
                </wp:positionH>
                <wp:positionV relativeFrom="page">
                  <wp:posOffset>228600</wp:posOffset>
                </wp:positionV>
                <wp:extent cx="0" cy="105156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156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5.2pt,18pt" to="115.2pt,846pt" o:allowincell="f" strokecolor="#000000" strokeweight="1pt">
                <w10:wrap anchorx="page" anchory="page"/>
              </v:line>
            </w:pict>
          </mc:Fallback>
        </mc:AlternateContent>
      </w:r>
    </w:p>
    <w:p>
      <w:pPr>
        <w:spacing w:after="0" w:line="354" w:lineRule="exact"/>
        <w:rPr>
          <w:sz w:val="20"/>
          <w:szCs w:val="20"/>
          <w:color w:val="auto"/>
        </w:rPr>
      </w:pPr>
    </w:p>
    <w:p>
      <w:pPr>
        <w:ind w:left="1320"/>
        <w:spacing w:after="0" w:line="319" w:lineRule="auto"/>
        <w:rPr>
          <w:sz w:val="20"/>
          <w:szCs w:val="20"/>
          <w:color w:val="auto"/>
        </w:rPr>
      </w:pPr>
      <w:r>
        <w:rPr>
          <w:rFonts w:ascii="Arial" w:cs="Arial" w:eastAsia="Arial" w:hAnsi="Arial"/>
          <w:sz w:val="17"/>
          <w:szCs w:val="17"/>
          <w:color w:val="auto"/>
        </w:rPr>
        <w:t>Council to work with us to establish and adopt robust regulations necessary for the conservation and sustainable use of marine resources. We have the science, we have the technology, and we have the imperative. Let us rise</w:t>
      </w:r>
    </w:p>
    <w:p>
      <w:pPr>
        <w:ind w:left="1320" w:right="160"/>
        <w:spacing w:after="0" w:line="306" w:lineRule="auto"/>
        <w:rPr>
          <w:sz w:val="20"/>
          <w:szCs w:val="20"/>
          <w:color w:val="auto"/>
        </w:rPr>
      </w:pPr>
      <w:r>
        <w:rPr>
          <w:rFonts w:ascii="Arial" w:cs="Arial" w:eastAsia="Arial" w:hAnsi="Arial"/>
          <w:sz w:val="18"/>
          <w:szCs w:val="18"/>
          <w:color w:val="auto"/>
        </w:rPr>
        <w:t>to the challenge and opportunity before us, employing our advancements for the good of all, and let the time for action be now.”</w:t>
      </w:r>
    </w:p>
    <w:p>
      <w:pPr>
        <w:spacing w:after="0" w:line="30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Termination of Marawa Agreement</w:t>
      </w:r>
    </w:p>
    <w:p>
      <w:pPr>
        <w:spacing w:after="0" w:line="233" w:lineRule="exact"/>
        <w:rPr>
          <w:sz w:val="20"/>
          <w:szCs w:val="20"/>
          <w:color w:val="auto"/>
        </w:rPr>
      </w:pPr>
    </w:p>
    <w:p>
      <w:pPr>
        <w:ind w:left="1320" w:right="20"/>
        <w:spacing w:after="0" w:line="321" w:lineRule="auto"/>
        <w:rPr>
          <w:sz w:val="20"/>
          <w:szCs w:val="20"/>
          <w:color w:val="auto"/>
        </w:rPr>
      </w:pPr>
      <w:r>
        <w:rPr>
          <w:rFonts w:ascii="Arial" w:cs="Arial" w:eastAsia="Arial" w:hAnsi="Arial"/>
          <w:sz w:val="17"/>
          <w:szCs w:val="17"/>
          <w:color w:val="auto"/>
        </w:rPr>
        <w:t>In November 2024, DeepGreen Engineering Pte. Ltd. (DeepGreen) delivered a formal termination notice to Marawa Research and Exploration Limited, ending the Services Agreement dated October 1, 2013, pursuant to DeepGreen’s right to terminate for convenience under the Agreement. The termination became effective on January 14, 2025, and we no longer have any exploration or other rights to the area of the Clarion Clipperton Zone (CCZ) that was covered by the agreement. The termination is not expected to have a material adverse effect on our financial position or operations, with non-material ongoing costs and no termination penalties applicable under the agreement.</w:t>
      </w:r>
    </w:p>
    <w:p>
      <w:pPr>
        <w:spacing w:after="0" w:line="30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News &amp; Reports</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 xml:space="preserve">The Economist </w:t>
      </w:r>
      <w:r>
        <w:rPr>
          <w:rFonts w:ascii="Arial" w:cs="Arial" w:eastAsia="Arial" w:hAnsi="Arial"/>
          <w:sz w:val="17"/>
          <w:szCs w:val="17"/>
          <w:color w:val="auto"/>
        </w:rPr>
        <w:t>—</w:t>
      </w:r>
      <w:r>
        <w:rPr>
          <w:rFonts w:ascii="Arial" w:cs="Arial" w:eastAsia="Arial" w:hAnsi="Arial"/>
          <w:sz w:val="17"/>
          <w:szCs w:val="17"/>
          <w:i w:val="1"/>
          <w:iCs w:val="1"/>
          <w:color w:val="auto"/>
        </w:rPr>
        <w:t xml:space="preserve"> China is itching to mine the ocean floor</w:t>
      </w:r>
    </w:p>
    <w:p>
      <w:pPr>
        <w:spacing w:after="0" w:line="198" w:lineRule="exact"/>
        <w:rPr>
          <w:sz w:val="20"/>
          <w:szCs w:val="20"/>
          <w:color w:val="auto"/>
        </w:rPr>
      </w:pPr>
    </w:p>
    <w:p>
      <w:pPr>
        <w:ind w:left="1320" w:right="100"/>
        <w:spacing w:after="0" w:line="321" w:lineRule="auto"/>
        <w:rPr>
          <w:sz w:val="20"/>
          <w:szCs w:val="20"/>
          <w:color w:val="auto"/>
        </w:rPr>
      </w:pPr>
      <w:r>
        <w:rPr>
          <w:rFonts w:ascii="Arial" w:cs="Arial" w:eastAsia="Arial" w:hAnsi="Arial"/>
          <w:sz w:val="17"/>
          <w:szCs w:val="17"/>
          <w:color w:val="auto"/>
        </w:rPr>
        <w:t>We shared our thoughts with The Economist in July on the United States’ growing interest in and prioritization of nodules to transform domestic supply chains. Such worries are a boon, however, to the Western businesses that are pushing for deep-sea mining. One of these is The Metals Company, a Canadian outfit that hopes to apply for a commercial-mining license from the ISA later this year. It gets a warm reception in Washington these days, says Gerard Barron, its founder. “People have latched on to the fact that China is going to potentially dominate this industry,” he says. “It’s a very motivating driver.”</w:t>
      </w:r>
    </w:p>
    <w:p>
      <w:pPr>
        <w:spacing w:after="0" w:line="116" w:lineRule="exact"/>
        <w:rPr>
          <w:sz w:val="20"/>
          <w:szCs w:val="20"/>
          <w:color w:val="auto"/>
        </w:rPr>
      </w:pPr>
    </w:p>
    <w:p>
      <w:pPr>
        <w:ind w:left="1320" w:right="340"/>
        <w:spacing w:after="0" w:line="311" w:lineRule="auto"/>
        <w:rPr>
          <w:sz w:val="20"/>
          <w:szCs w:val="20"/>
          <w:color w:val="auto"/>
        </w:rPr>
      </w:pPr>
      <w:r>
        <w:rPr>
          <w:rFonts w:ascii="Arial" w:cs="Arial" w:eastAsia="Arial" w:hAnsi="Arial"/>
          <w:sz w:val="18"/>
          <w:szCs w:val="18"/>
          <w:i w:val="1"/>
          <w:iCs w:val="1"/>
          <w:color w:val="auto"/>
        </w:rPr>
        <w:t>Federation of German Industries Calls for Germany to Engage on Responsible Collection of Nodules</w:t>
      </w:r>
    </w:p>
    <w:p>
      <w:pPr>
        <w:spacing w:after="0" w:line="117" w:lineRule="exact"/>
        <w:rPr>
          <w:sz w:val="20"/>
          <w:szCs w:val="20"/>
          <w:color w:val="auto"/>
        </w:rPr>
      </w:pPr>
    </w:p>
    <w:p>
      <w:pPr>
        <w:ind w:left="1320" w:right="20"/>
        <w:spacing w:after="0" w:line="321" w:lineRule="auto"/>
        <w:rPr>
          <w:sz w:val="20"/>
          <w:szCs w:val="20"/>
          <w:color w:val="auto"/>
        </w:rPr>
      </w:pPr>
      <w:r>
        <w:rPr>
          <w:rFonts w:ascii="Arial" w:cs="Arial" w:eastAsia="Arial" w:hAnsi="Arial"/>
          <w:sz w:val="17"/>
          <w:szCs w:val="17"/>
          <w:color w:val="auto"/>
        </w:rPr>
        <w:t>A new report by the Federation of Germany Industries (BDI) noted that Germany cannot afford to be left behind on deep-sea mineral exploitation and should engage in regulations to allow responsible operations. Citing the increased prioritization of deep-sea minerals by other major economies and industrialized nations, the report stated that “Germany cannot escape this trend” and that “it’s not a question of whether, but how” deep-sea mineral extraction will take place. The ‘Voice of German Industry,’ the BDI represents 39 industrial sector associations, including the German Association of the Automotive Industry.</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D"/>
        </w:rPr>
        <w:t>TMC Annual Report</w:t>
      </w:r>
      <w:r>
        <w:rPr>
          <w:sz w:val="20"/>
          <w:szCs w:val="20"/>
          <w:color w:val="auto"/>
        </w:rPr>
        <w:tab/>
      </w:r>
      <w:r>
        <w:rPr>
          <w:rFonts w:ascii="Arial" w:cs="Arial" w:eastAsia="Arial" w:hAnsi="Arial"/>
          <w:sz w:val="14"/>
          <w:szCs w:val="14"/>
          <w:color w:val="auto"/>
        </w:rPr>
        <w:t>6</w:t>
      </w:r>
    </w:p>
    <w:p>
      <w:pPr>
        <w:spacing w:after="0" w:line="359" w:lineRule="exact"/>
        <w:rPr>
          <w:sz w:val="20"/>
          <w:szCs w:val="20"/>
          <w:color w:val="auto"/>
        </w:rPr>
      </w:pPr>
    </w:p>
    <w:p>
      <w:pPr>
        <w:ind w:right="600"/>
        <w:spacing w:after="0" w:line="311" w:lineRule="auto"/>
        <w:rPr>
          <w:sz w:val="20"/>
          <w:szCs w:val="20"/>
          <w:color w:val="auto"/>
        </w:rPr>
      </w:pPr>
      <w:r>
        <w:rPr>
          <w:rFonts w:ascii="Arial" w:cs="Arial" w:eastAsia="Arial" w:hAnsi="Arial"/>
          <w:sz w:val="18"/>
          <w:szCs w:val="18"/>
          <w:i w:val="1"/>
          <w:iCs w:val="1"/>
          <w:color w:val="auto"/>
        </w:rPr>
        <w:t xml:space="preserve">The Breakthrough Institute </w:t>
      </w:r>
      <w:r>
        <w:rPr>
          <w:rFonts w:ascii="Arial" w:cs="Arial" w:eastAsia="Arial" w:hAnsi="Arial"/>
          <w:sz w:val="18"/>
          <w:szCs w:val="18"/>
          <w:color w:val="auto"/>
        </w:rPr>
        <w:t>—</w:t>
      </w:r>
      <w:r>
        <w:rPr>
          <w:rFonts w:ascii="Arial" w:cs="Arial" w:eastAsia="Arial" w:hAnsi="Arial"/>
          <w:sz w:val="18"/>
          <w:szCs w:val="18"/>
          <w:i w:val="1"/>
          <w:iCs w:val="1"/>
          <w:color w:val="auto"/>
        </w:rPr>
        <w:t xml:space="preserve"> Sparing the Land by Collecting Minerals at Sea</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8"/>
          <w:szCs w:val="18"/>
          <w:color w:val="auto"/>
        </w:rPr>
        <w:t>In a refreshing take on this new industry by the influential research team at The Breakthrough Institute, oceanographer and Co-Director of Climate and Energy, Seaver Wang, argues for open-mindedness towards seafloor nodule collection and that opposition claims around environmental impacts are often grossly exaggerated and seek to ban a promising technology that could offer a more responsible way to source metals for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2898775" cy="6629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2898775" cy="6629400"/>
                    </a:xfrm>
                    <a:prstGeom prst="rect">
                      <a:avLst/>
                    </a:prstGeom>
                    <a:noFill/>
                  </pic:spPr>
                </pic:pic>
              </a:graphicData>
            </a:graphic>
          </wp:anchor>
        </w:drawing>
      </w:r>
    </w:p>
    <w:p>
      <w:pPr>
        <w:sectPr>
          <w:pgSz w:w="13680" w:h="17280" w:orient="portrait"/>
          <w:cols w:equalWidth="0" w:num="2">
            <w:col w:w="5880" w:space="360"/>
            <w:col w:w="4560"/>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965200</wp:posOffset>
                </wp:positionH>
                <wp:positionV relativeFrom="page">
                  <wp:posOffset>1625600</wp:posOffset>
                </wp:positionV>
                <wp:extent cx="67532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6pt,128pt" to="607.75pt,128pt" o:allowincell="f" strokecolor="#000000" strokeweight="2.2869pt">
                <w10:wrap anchorx="page" anchory="page"/>
              </v:line>
            </w:pict>
          </mc:Fallback>
        </mc:AlternateContent>
        <mc:AlternateContent>
          <mc:Choice Requires="wps">
            <w:drawing>
              <wp:anchor simplePos="0" relativeHeight="251657728" behindDoc="1" locked="0" layoutInCell="0" allowOverlap="1">
                <wp:simplePos x="0" y="0"/>
                <wp:positionH relativeFrom="page">
                  <wp:posOffset>965200</wp:posOffset>
                </wp:positionH>
                <wp:positionV relativeFrom="page">
                  <wp:posOffset>1673225</wp:posOffset>
                </wp:positionV>
                <wp:extent cx="67532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6pt,131.75pt" to="607.75pt,131.75pt" o:allowincell="f" strokecolor="#000000" strokeweight="0.5709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UNITED STATES</w:t>
      </w:r>
    </w:p>
    <w:p>
      <w:pPr>
        <w:jc w:val="center"/>
        <w:spacing w:after="0" w:line="218" w:lineRule="auto"/>
        <w:rPr>
          <w:sz w:val="20"/>
          <w:szCs w:val="20"/>
          <w:color w:val="auto"/>
        </w:rPr>
      </w:pPr>
      <w:r>
        <w:rPr>
          <w:rFonts w:ascii="Arial" w:cs="Arial" w:eastAsia="Arial" w:hAnsi="Arial"/>
          <w:sz w:val="12"/>
          <w:szCs w:val="1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2"/>
          <w:szCs w:val="12"/>
          <w:color w:val="auto"/>
        </w:rPr>
        <w:t>(Mark One)</w:t>
      </w:r>
    </w:p>
    <w:p>
      <w:pPr>
        <w:spacing w:after="0" w:line="54" w:lineRule="exact"/>
        <w:rPr>
          <w:sz w:val="20"/>
          <w:szCs w:val="20"/>
          <w:color w:val="auto"/>
        </w:rPr>
      </w:pPr>
    </w:p>
    <w:p>
      <w:pPr>
        <w:ind w:left="360" w:hanging="280"/>
        <w:spacing w:after="0"/>
        <w:tabs>
          <w:tab w:leader="none" w:pos="3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58"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For the fiscal year ended December 31, 2024</w:t>
      </w:r>
    </w:p>
    <w:p>
      <w:pPr>
        <w:spacing w:after="0" w:line="56"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or</w:t>
      </w:r>
    </w:p>
    <w:p>
      <w:pPr>
        <w:spacing w:after="0" w:line="77" w:lineRule="exact"/>
        <w:rPr>
          <w:sz w:val="20"/>
          <w:szCs w:val="20"/>
          <w:color w:val="auto"/>
        </w:rPr>
      </w:pPr>
    </w:p>
    <w:p>
      <w:pPr>
        <w:ind w:left="360" w:hanging="280"/>
        <w:spacing w:after="0"/>
        <w:tabs>
          <w:tab w:leader="none" w:pos="3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58" w:lineRule="exact"/>
        <w:rPr>
          <w:sz w:val="20"/>
          <w:szCs w:val="20"/>
          <w:color w:val="auto"/>
        </w:rPr>
      </w:pPr>
    </w:p>
    <w:tbl>
      <w:tblPr>
        <w:tblLayout w:type="fixed"/>
        <w:tblInd w:w="4500" w:type="dxa"/>
        <w:tblCellMar>
          <w:top w:w="0" w:type="dxa"/>
          <w:left w:w="0" w:type="dxa"/>
          <w:bottom w:w="0" w:type="dxa"/>
          <w:right w:w="0" w:type="dxa"/>
        </w:tblCellMar>
      </w:tblPr>
      <w:tr>
        <w:trPr>
          <w:trHeight w:val="138"/>
        </w:trPr>
        <w:tc>
          <w:tcPr>
            <w:tcW w:w="1460" w:type="dxa"/>
            <w:vAlign w:val="bottom"/>
          </w:tcPr>
          <w:p>
            <w:pPr>
              <w:spacing w:after="0"/>
              <w:rPr>
                <w:sz w:val="20"/>
                <w:szCs w:val="20"/>
                <w:color w:val="auto"/>
              </w:rPr>
            </w:pPr>
            <w:r>
              <w:rPr>
                <w:rFonts w:ascii="Arial" w:cs="Arial" w:eastAsia="Arial" w:hAnsi="Arial"/>
                <w:sz w:val="12"/>
                <w:szCs w:val="12"/>
                <w:color w:val="auto"/>
                <w:w w:val="93"/>
              </w:rPr>
              <w:t>For the transition period from</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0"/>
                <w:szCs w:val="10"/>
                <w:color w:val="auto"/>
                <w:w w:val="71"/>
              </w:rPr>
              <w:t>to</w:t>
            </w:r>
          </w:p>
        </w:tc>
      </w:tr>
      <w:tr>
        <w:trPr>
          <w:trHeight w:val="210"/>
        </w:trPr>
        <w:tc>
          <w:tcPr>
            <w:tcW w:w="1980" w:type="dxa"/>
            <w:vAlign w:val="bottom"/>
            <w:gridSpan w:val="2"/>
          </w:tcPr>
          <w:p>
            <w:pPr>
              <w:ind w:left="140"/>
              <w:spacing w:after="0"/>
              <w:rPr>
                <w:sz w:val="20"/>
                <w:szCs w:val="20"/>
                <w:color w:val="auto"/>
              </w:rPr>
            </w:pPr>
            <w:r>
              <w:rPr>
                <w:rFonts w:ascii="Arial" w:cs="Arial" w:eastAsia="Arial" w:hAnsi="Arial"/>
                <w:sz w:val="12"/>
                <w:szCs w:val="12"/>
                <w:color w:val="auto"/>
                <w:w w:val="94"/>
              </w:rPr>
              <w:t>Commission file number: 001-39281</w:t>
            </w:r>
          </w:p>
        </w:tc>
        <w:tc>
          <w:tcPr>
            <w:tcW w:w="80" w:type="dxa"/>
            <w:vAlign w:val="bottom"/>
          </w:tcPr>
          <w:p>
            <w:pPr>
              <w:spacing w:after="0"/>
              <w:rPr>
                <w:sz w:val="18"/>
                <w:szCs w:val="18"/>
                <w:color w:val="auto"/>
              </w:rPr>
            </w:pPr>
          </w:p>
        </w:tc>
      </w:tr>
    </w:tbl>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6980" w:type="dxa"/>
            <w:vAlign w:val="bottom"/>
            <w:gridSpan w:val="2"/>
          </w:tcPr>
          <w:p>
            <w:pPr>
              <w:jc w:val="center"/>
              <w:ind w:left="3477"/>
              <w:spacing w:after="0"/>
              <w:rPr>
                <w:sz w:val="20"/>
                <w:szCs w:val="20"/>
                <w:color w:val="auto"/>
              </w:rPr>
            </w:pPr>
            <w:r>
              <w:rPr>
                <w:rFonts w:ascii="Arial" w:cs="Arial" w:eastAsia="Arial" w:hAnsi="Arial"/>
                <w:sz w:val="18"/>
                <w:szCs w:val="18"/>
                <w:b w:val="1"/>
                <w:bCs w:val="1"/>
                <w:color w:val="auto"/>
              </w:rPr>
              <w:t>TMC THE METALS COMPANY INC.</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980" w:type="dxa"/>
            <w:vAlign w:val="bottom"/>
            <w:gridSpan w:val="2"/>
          </w:tcPr>
          <w:p>
            <w:pPr>
              <w:jc w:val="center"/>
              <w:ind w:left="3477"/>
              <w:spacing w:after="0"/>
              <w:rPr>
                <w:sz w:val="20"/>
                <w:szCs w:val="20"/>
                <w:color w:val="auto"/>
              </w:rPr>
            </w:pPr>
            <w:r>
              <w:rPr>
                <w:rFonts w:ascii="Arial" w:cs="Arial" w:eastAsia="Arial" w:hAnsi="Arial"/>
                <w:sz w:val="12"/>
                <w:szCs w:val="12"/>
                <w:i w:val="1"/>
                <w:iCs w:val="1"/>
                <w:color w:val="auto"/>
                <w:w w:val="93"/>
              </w:rPr>
              <w:t>(Exact name of registrant as specified in its charter)</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tcPr>
          <w:p>
            <w:pPr>
              <w:jc w:val="center"/>
              <w:ind w:left="577"/>
              <w:spacing w:after="0"/>
              <w:rPr>
                <w:sz w:val="20"/>
                <w:szCs w:val="20"/>
                <w:color w:val="auto"/>
              </w:rPr>
            </w:pPr>
            <w:r>
              <w:rPr>
                <w:rFonts w:ascii="Arial" w:cs="Arial" w:eastAsia="Arial" w:hAnsi="Arial"/>
                <w:sz w:val="12"/>
                <w:szCs w:val="12"/>
                <w:b w:val="1"/>
                <w:bCs w:val="1"/>
                <w:color w:val="auto"/>
                <w:w w:val="93"/>
              </w:rPr>
              <w:t>British Columbia, Canada</w:t>
            </w:r>
          </w:p>
        </w:tc>
        <w:tc>
          <w:tcPr>
            <w:tcW w:w="2420" w:type="dxa"/>
            <w:vAlign w:val="bottom"/>
          </w:tcPr>
          <w:p>
            <w:pPr>
              <w:spacing w:after="0"/>
              <w:rPr>
                <w:sz w:val="14"/>
                <w:szCs w:val="14"/>
                <w:color w:val="auto"/>
              </w:rPr>
            </w:pPr>
          </w:p>
        </w:tc>
        <w:tc>
          <w:tcPr>
            <w:tcW w:w="2780" w:type="dxa"/>
            <w:vAlign w:val="bottom"/>
          </w:tcPr>
          <w:p>
            <w:pPr>
              <w:jc w:val="center"/>
              <w:ind w:right="859"/>
              <w:spacing w:after="0"/>
              <w:rPr>
                <w:sz w:val="20"/>
                <w:szCs w:val="20"/>
                <w:color w:val="auto"/>
              </w:rPr>
            </w:pPr>
            <w:r>
              <w:rPr>
                <w:rFonts w:ascii="Arial" w:cs="Arial" w:eastAsia="Arial" w:hAnsi="Arial"/>
                <w:sz w:val="12"/>
                <w:szCs w:val="12"/>
                <w:b w:val="1"/>
                <w:bCs w:val="1"/>
                <w:color w:val="auto"/>
                <w:w w:val="92"/>
              </w:rPr>
              <w:t>Not Applicable</w:t>
            </w:r>
          </w:p>
        </w:tc>
        <w:tc>
          <w:tcPr>
            <w:tcW w:w="0" w:type="dxa"/>
            <w:vAlign w:val="bottom"/>
          </w:tcPr>
          <w:p>
            <w:pPr>
              <w:spacing w:after="0"/>
              <w:rPr>
                <w:sz w:val="1"/>
                <w:szCs w:val="1"/>
                <w:color w:val="auto"/>
              </w:rPr>
            </w:pPr>
          </w:p>
        </w:tc>
      </w:tr>
      <w:tr>
        <w:trPr>
          <w:trHeight w:val="126"/>
        </w:trPr>
        <w:tc>
          <w:tcPr>
            <w:tcW w:w="4560" w:type="dxa"/>
            <w:vAlign w:val="bottom"/>
          </w:tcPr>
          <w:p>
            <w:pPr>
              <w:jc w:val="center"/>
              <w:ind w:left="577"/>
              <w:spacing w:after="0" w:line="126" w:lineRule="exact"/>
              <w:rPr>
                <w:sz w:val="20"/>
                <w:szCs w:val="20"/>
                <w:color w:val="auto"/>
              </w:rPr>
            </w:pPr>
            <w:r>
              <w:rPr>
                <w:rFonts w:ascii="Arial" w:cs="Arial" w:eastAsia="Arial" w:hAnsi="Arial"/>
                <w:sz w:val="12"/>
                <w:szCs w:val="12"/>
                <w:i w:val="1"/>
                <w:iCs w:val="1"/>
                <w:color w:val="auto"/>
                <w:w w:val="96"/>
              </w:rPr>
              <w:t>(State or other jurisdiction</w:t>
            </w:r>
          </w:p>
        </w:tc>
        <w:tc>
          <w:tcPr>
            <w:tcW w:w="2420" w:type="dxa"/>
            <w:vAlign w:val="bottom"/>
          </w:tcPr>
          <w:p>
            <w:pPr>
              <w:spacing w:after="0"/>
              <w:rPr>
                <w:sz w:val="10"/>
                <w:szCs w:val="10"/>
                <w:color w:val="auto"/>
              </w:rPr>
            </w:pPr>
          </w:p>
        </w:tc>
        <w:tc>
          <w:tcPr>
            <w:tcW w:w="2780" w:type="dxa"/>
            <w:vAlign w:val="bottom"/>
          </w:tcPr>
          <w:p>
            <w:pPr>
              <w:jc w:val="center"/>
              <w:ind w:right="859"/>
              <w:spacing w:after="0" w:line="126" w:lineRule="exact"/>
              <w:rPr>
                <w:sz w:val="20"/>
                <w:szCs w:val="20"/>
                <w:color w:val="auto"/>
              </w:rPr>
            </w:pPr>
            <w:r>
              <w:rPr>
                <w:rFonts w:ascii="Arial" w:cs="Arial" w:eastAsia="Arial" w:hAnsi="Arial"/>
                <w:sz w:val="12"/>
                <w:szCs w:val="12"/>
                <w:i w:val="1"/>
                <w:iCs w:val="1"/>
                <w:color w:val="auto"/>
                <w:w w:val="94"/>
              </w:rPr>
              <w:t>(I.R.S. Employer Identification No.)</w:t>
            </w:r>
          </w:p>
        </w:tc>
        <w:tc>
          <w:tcPr>
            <w:tcW w:w="0" w:type="dxa"/>
            <w:vAlign w:val="bottom"/>
          </w:tcPr>
          <w:p>
            <w:pPr>
              <w:spacing w:after="0"/>
              <w:rPr>
                <w:sz w:val="1"/>
                <w:szCs w:val="1"/>
                <w:color w:val="auto"/>
              </w:rPr>
            </w:pPr>
          </w:p>
        </w:tc>
      </w:tr>
      <w:tr>
        <w:trPr>
          <w:trHeight w:val="161"/>
        </w:trPr>
        <w:tc>
          <w:tcPr>
            <w:tcW w:w="4560" w:type="dxa"/>
            <w:vAlign w:val="bottom"/>
          </w:tcPr>
          <w:p>
            <w:pPr>
              <w:jc w:val="center"/>
              <w:ind w:left="577"/>
              <w:spacing w:after="0"/>
              <w:rPr>
                <w:sz w:val="20"/>
                <w:szCs w:val="20"/>
                <w:color w:val="auto"/>
              </w:rPr>
            </w:pPr>
            <w:r>
              <w:rPr>
                <w:rFonts w:ascii="Arial" w:cs="Arial" w:eastAsia="Arial" w:hAnsi="Arial"/>
                <w:sz w:val="12"/>
                <w:szCs w:val="12"/>
                <w:i w:val="1"/>
                <w:iCs w:val="1"/>
                <w:color w:val="auto"/>
                <w:w w:val="96"/>
              </w:rPr>
              <w:t>of incorporation or organization)</w:t>
            </w:r>
          </w:p>
        </w:tc>
        <w:tc>
          <w:tcPr>
            <w:tcW w:w="24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60" w:type="dxa"/>
            <w:vAlign w:val="bottom"/>
          </w:tcPr>
          <w:p>
            <w:pPr>
              <w:jc w:val="center"/>
              <w:ind w:left="557"/>
              <w:spacing w:after="0"/>
              <w:rPr>
                <w:sz w:val="20"/>
                <w:szCs w:val="20"/>
                <w:color w:val="auto"/>
              </w:rPr>
            </w:pPr>
            <w:r>
              <w:rPr>
                <w:rFonts w:ascii="Arial" w:cs="Arial" w:eastAsia="Arial" w:hAnsi="Arial"/>
                <w:sz w:val="12"/>
                <w:szCs w:val="12"/>
                <w:b w:val="1"/>
                <w:bCs w:val="1"/>
                <w:color w:val="auto"/>
                <w:w w:val="90"/>
              </w:rPr>
              <w:t>1111 West Hastings Street, 15th Floor</w:t>
            </w:r>
          </w:p>
        </w:tc>
        <w:tc>
          <w:tcPr>
            <w:tcW w:w="2420" w:type="dxa"/>
            <w:vAlign w:val="bottom"/>
          </w:tcPr>
          <w:p>
            <w:pPr>
              <w:spacing w:after="0"/>
              <w:rPr>
                <w:sz w:val="13"/>
                <w:szCs w:val="13"/>
                <w:color w:val="auto"/>
              </w:rPr>
            </w:pPr>
          </w:p>
        </w:tc>
        <w:tc>
          <w:tcPr>
            <w:tcW w:w="2780" w:type="dxa"/>
            <w:vAlign w:val="bottom"/>
            <w:vMerge w:val="restart"/>
          </w:tcPr>
          <w:p>
            <w:pPr>
              <w:jc w:val="center"/>
              <w:ind w:right="839"/>
              <w:spacing w:after="0"/>
              <w:rPr>
                <w:sz w:val="20"/>
                <w:szCs w:val="20"/>
                <w:color w:val="auto"/>
              </w:rPr>
            </w:pPr>
            <w:r>
              <w:rPr>
                <w:rFonts w:ascii="Arial" w:cs="Arial" w:eastAsia="Arial" w:hAnsi="Arial"/>
                <w:sz w:val="12"/>
                <w:szCs w:val="12"/>
                <w:b w:val="1"/>
                <w:bCs w:val="1"/>
                <w:color w:val="auto"/>
                <w:w w:val="95"/>
              </w:rPr>
              <w:t>V6E 2J3</w:t>
            </w:r>
          </w:p>
        </w:tc>
        <w:tc>
          <w:tcPr>
            <w:tcW w:w="0" w:type="dxa"/>
            <w:vAlign w:val="bottom"/>
          </w:tcPr>
          <w:p>
            <w:pPr>
              <w:spacing w:after="0"/>
              <w:rPr>
                <w:sz w:val="1"/>
                <w:szCs w:val="1"/>
                <w:color w:val="auto"/>
              </w:rPr>
            </w:pPr>
          </w:p>
        </w:tc>
      </w:tr>
      <w:tr>
        <w:trPr>
          <w:trHeight w:val="127"/>
        </w:trPr>
        <w:tc>
          <w:tcPr>
            <w:tcW w:w="4560" w:type="dxa"/>
            <w:vAlign w:val="bottom"/>
          </w:tcPr>
          <w:p>
            <w:pPr>
              <w:jc w:val="center"/>
              <w:ind w:left="577"/>
              <w:spacing w:after="0" w:line="127" w:lineRule="exact"/>
              <w:rPr>
                <w:sz w:val="20"/>
                <w:szCs w:val="20"/>
                <w:color w:val="auto"/>
              </w:rPr>
            </w:pPr>
            <w:r>
              <w:rPr>
                <w:rFonts w:ascii="Arial" w:cs="Arial" w:eastAsia="Arial" w:hAnsi="Arial"/>
                <w:sz w:val="12"/>
                <w:szCs w:val="12"/>
                <w:b w:val="1"/>
                <w:bCs w:val="1"/>
                <w:color w:val="auto"/>
                <w:w w:val="92"/>
              </w:rPr>
              <w:t>Vancouver, British Columbia</w:t>
            </w:r>
          </w:p>
        </w:tc>
        <w:tc>
          <w:tcPr>
            <w:tcW w:w="242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tcPr>
          <w:p>
            <w:pPr>
              <w:jc w:val="center"/>
              <w:ind w:left="577"/>
              <w:spacing w:after="0"/>
              <w:rPr>
                <w:sz w:val="20"/>
                <w:szCs w:val="20"/>
                <w:color w:val="auto"/>
              </w:rPr>
            </w:pPr>
            <w:r>
              <w:rPr>
                <w:rFonts w:ascii="Arial" w:cs="Arial" w:eastAsia="Arial" w:hAnsi="Arial"/>
                <w:sz w:val="12"/>
                <w:szCs w:val="12"/>
                <w:i w:val="1"/>
                <w:iCs w:val="1"/>
                <w:color w:val="auto"/>
                <w:w w:val="93"/>
              </w:rPr>
              <w:t>(Address of principal executive offices)</w:t>
            </w:r>
          </w:p>
        </w:tc>
        <w:tc>
          <w:tcPr>
            <w:tcW w:w="2420" w:type="dxa"/>
            <w:vAlign w:val="bottom"/>
            <w:vMerge w:val="restart"/>
          </w:tcPr>
          <w:p>
            <w:pPr>
              <w:jc w:val="center"/>
              <w:ind w:right="959"/>
              <w:spacing w:after="0"/>
              <w:rPr>
                <w:sz w:val="20"/>
                <w:szCs w:val="20"/>
                <w:color w:val="auto"/>
              </w:rPr>
            </w:pPr>
            <w:r>
              <w:rPr>
                <w:rFonts w:ascii="Arial" w:cs="Arial" w:eastAsia="Arial" w:hAnsi="Arial"/>
                <w:sz w:val="12"/>
                <w:szCs w:val="12"/>
                <w:b w:val="1"/>
                <w:bCs w:val="1"/>
                <w:color w:val="auto"/>
                <w:w w:val="92"/>
              </w:rPr>
              <w:t>(888) 458-3420</w:t>
            </w:r>
          </w:p>
        </w:tc>
        <w:tc>
          <w:tcPr>
            <w:tcW w:w="2780" w:type="dxa"/>
            <w:vAlign w:val="bottom"/>
          </w:tcPr>
          <w:p>
            <w:pPr>
              <w:jc w:val="center"/>
              <w:ind w:right="839"/>
              <w:spacing w:after="0"/>
              <w:rPr>
                <w:sz w:val="20"/>
                <w:szCs w:val="20"/>
                <w:color w:val="auto"/>
              </w:rPr>
            </w:pPr>
            <w:r>
              <w:rPr>
                <w:rFonts w:ascii="Arial" w:cs="Arial" w:eastAsia="Arial" w:hAnsi="Arial"/>
                <w:sz w:val="12"/>
                <w:szCs w:val="12"/>
                <w:i w:val="1"/>
                <w:iCs w:val="1"/>
                <w:color w:val="auto"/>
                <w:w w:val="91"/>
              </w:rPr>
              <w:t>(Zip Code)</w:t>
            </w:r>
          </w:p>
        </w:tc>
        <w:tc>
          <w:tcPr>
            <w:tcW w:w="0" w:type="dxa"/>
            <w:vAlign w:val="bottom"/>
          </w:tcPr>
          <w:p>
            <w:pPr>
              <w:spacing w:after="0"/>
              <w:rPr>
                <w:sz w:val="1"/>
                <w:szCs w:val="1"/>
                <w:color w:val="auto"/>
              </w:rPr>
            </w:pPr>
          </w:p>
        </w:tc>
      </w:tr>
      <w:tr>
        <w:trPr>
          <w:trHeight w:val="90"/>
        </w:trPr>
        <w:tc>
          <w:tcPr>
            <w:tcW w:w="456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980" w:type="dxa"/>
            <w:vAlign w:val="bottom"/>
            <w:gridSpan w:val="2"/>
          </w:tcPr>
          <w:p>
            <w:pPr>
              <w:jc w:val="center"/>
              <w:ind w:left="3457"/>
              <w:spacing w:after="0"/>
              <w:rPr>
                <w:sz w:val="20"/>
                <w:szCs w:val="20"/>
                <w:color w:val="auto"/>
              </w:rPr>
            </w:pPr>
            <w:r>
              <w:rPr>
                <w:rFonts w:ascii="Arial" w:cs="Arial" w:eastAsia="Arial" w:hAnsi="Arial"/>
                <w:sz w:val="12"/>
                <w:szCs w:val="12"/>
                <w:color w:val="auto"/>
                <w:w w:val="91"/>
              </w:rPr>
              <w:t>(Registrant’s telephone number, including area code)</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left="3477"/>
              <w:spacing w:after="0"/>
              <w:rPr>
                <w:sz w:val="20"/>
                <w:szCs w:val="20"/>
                <w:color w:val="auto"/>
              </w:rPr>
            </w:pPr>
            <w:r>
              <w:rPr>
                <w:rFonts w:ascii="Arial" w:cs="Arial" w:eastAsia="Arial" w:hAnsi="Arial"/>
                <w:sz w:val="12"/>
                <w:szCs w:val="12"/>
                <w:color w:val="auto"/>
                <w:w w:val="91"/>
              </w:rPr>
              <w:t>Securities registered pursuant to Section 12(b) of the Exchange Act:</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60" w:type="dxa"/>
            <w:vAlign w:val="bottom"/>
          </w:tcPr>
          <w:p>
            <w:pPr>
              <w:jc w:val="center"/>
              <w:ind w:right="257"/>
              <w:spacing w:after="0"/>
              <w:rPr>
                <w:sz w:val="20"/>
                <w:szCs w:val="20"/>
                <w:color w:val="auto"/>
              </w:rPr>
            </w:pPr>
            <w:r>
              <w:rPr>
                <w:rFonts w:ascii="Arial" w:cs="Arial" w:eastAsia="Arial" w:hAnsi="Arial"/>
                <w:sz w:val="12"/>
                <w:szCs w:val="12"/>
                <w:b w:val="1"/>
                <w:bCs w:val="1"/>
                <w:color w:val="auto"/>
                <w:w w:val="88"/>
              </w:rPr>
              <w:t>Title of each class</w:t>
            </w:r>
          </w:p>
        </w:tc>
        <w:tc>
          <w:tcPr>
            <w:tcW w:w="2420" w:type="dxa"/>
            <w:vAlign w:val="bottom"/>
          </w:tcPr>
          <w:p>
            <w:pPr>
              <w:jc w:val="center"/>
              <w:ind w:right="519"/>
              <w:spacing w:after="0"/>
              <w:rPr>
                <w:sz w:val="20"/>
                <w:szCs w:val="20"/>
                <w:color w:val="auto"/>
              </w:rPr>
            </w:pPr>
            <w:r>
              <w:rPr>
                <w:rFonts w:ascii="Arial" w:cs="Arial" w:eastAsia="Arial" w:hAnsi="Arial"/>
                <w:sz w:val="12"/>
                <w:szCs w:val="12"/>
                <w:b w:val="1"/>
                <w:bCs w:val="1"/>
                <w:color w:val="auto"/>
                <w:w w:val="91"/>
              </w:rPr>
              <w:t>Trading Symbol(s)</w:t>
            </w:r>
          </w:p>
        </w:tc>
        <w:tc>
          <w:tcPr>
            <w:tcW w:w="2780" w:type="dxa"/>
            <w:vAlign w:val="bottom"/>
          </w:tcPr>
          <w:p>
            <w:pPr>
              <w:jc w:val="center"/>
              <w:ind w:left="459"/>
              <w:spacing w:after="0"/>
              <w:rPr>
                <w:sz w:val="20"/>
                <w:szCs w:val="20"/>
                <w:color w:val="auto"/>
              </w:rPr>
            </w:pPr>
            <w:r>
              <w:rPr>
                <w:rFonts w:ascii="Arial" w:cs="Arial" w:eastAsia="Arial" w:hAnsi="Arial"/>
                <w:sz w:val="12"/>
                <w:szCs w:val="12"/>
                <w:b w:val="1"/>
                <w:bCs w:val="1"/>
                <w:color w:val="auto"/>
                <w:w w:val="89"/>
              </w:rPr>
              <w:t>Name of each exchange on which registered</w:t>
            </w:r>
          </w:p>
        </w:tc>
        <w:tc>
          <w:tcPr>
            <w:tcW w:w="0" w:type="dxa"/>
            <w:vAlign w:val="bottom"/>
          </w:tcPr>
          <w:p>
            <w:pPr>
              <w:spacing w:after="0"/>
              <w:rPr>
                <w:sz w:val="1"/>
                <w:szCs w:val="1"/>
                <w:color w:val="auto"/>
              </w:rPr>
            </w:pPr>
          </w:p>
        </w:tc>
      </w:tr>
      <w:tr>
        <w:trPr>
          <w:trHeight w:val="126"/>
        </w:trPr>
        <w:tc>
          <w:tcPr>
            <w:tcW w:w="4560" w:type="dxa"/>
            <w:vAlign w:val="bottom"/>
          </w:tcPr>
          <w:p>
            <w:pPr>
              <w:jc w:val="center"/>
              <w:ind w:right="257"/>
              <w:spacing w:after="0" w:line="126" w:lineRule="exact"/>
              <w:rPr>
                <w:sz w:val="20"/>
                <w:szCs w:val="20"/>
                <w:color w:val="auto"/>
              </w:rPr>
            </w:pPr>
            <w:r>
              <w:rPr>
                <w:rFonts w:ascii="Arial" w:cs="Arial" w:eastAsia="Arial" w:hAnsi="Arial"/>
                <w:sz w:val="12"/>
                <w:szCs w:val="12"/>
                <w:color w:val="auto"/>
                <w:w w:val="91"/>
              </w:rPr>
              <w:t>Common Shares, without par value</w:t>
            </w:r>
          </w:p>
        </w:tc>
        <w:tc>
          <w:tcPr>
            <w:tcW w:w="2420" w:type="dxa"/>
            <w:vAlign w:val="bottom"/>
          </w:tcPr>
          <w:p>
            <w:pPr>
              <w:jc w:val="center"/>
              <w:ind w:right="519"/>
              <w:spacing w:after="0" w:line="126" w:lineRule="exact"/>
              <w:rPr>
                <w:sz w:val="20"/>
                <w:szCs w:val="20"/>
                <w:color w:val="auto"/>
              </w:rPr>
            </w:pPr>
            <w:r>
              <w:rPr>
                <w:rFonts w:ascii="Arial" w:cs="Arial" w:eastAsia="Arial" w:hAnsi="Arial"/>
                <w:sz w:val="12"/>
                <w:szCs w:val="12"/>
                <w:color w:val="auto"/>
              </w:rPr>
              <w:t>TMC</w:t>
            </w:r>
          </w:p>
        </w:tc>
        <w:tc>
          <w:tcPr>
            <w:tcW w:w="2780" w:type="dxa"/>
            <w:vAlign w:val="bottom"/>
          </w:tcPr>
          <w:p>
            <w:pPr>
              <w:jc w:val="center"/>
              <w:ind w:left="459"/>
              <w:spacing w:after="0" w:line="126" w:lineRule="exact"/>
              <w:rPr>
                <w:sz w:val="20"/>
                <w:szCs w:val="20"/>
                <w:color w:val="auto"/>
              </w:rPr>
            </w:pPr>
            <w:r>
              <w:rPr>
                <w:rFonts w:ascii="Arial" w:cs="Arial" w:eastAsia="Arial" w:hAnsi="Arial"/>
                <w:sz w:val="12"/>
                <w:szCs w:val="12"/>
                <w:color w:val="auto"/>
                <w:w w:val="93"/>
              </w:rPr>
              <w:t>The Nasdaq Stock Market LLC</w:t>
            </w:r>
          </w:p>
        </w:tc>
        <w:tc>
          <w:tcPr>
            <w:tcW w:w="0" w:type="dxa"/>
            <w:vAlign w:val="bottom"/>
          </w:tcPr>
          <w:p>
            <w:pPr>
              <w:spacing w:after="0"/>
              <w:rPr>
                <w:sz w:val="1"/>
                <w:szCs w:val="1"/>
                <w:color w:val="auto"/>
              </w:rPr>
            </w:pPr>
          </w:p>
        </w:tc>
      </w:tr>
      <w:tr>
        <w:trPr>
          <w:trHeight w:val="126"/>
        </w:trPr>
        <w:tc>
          <w:tcPr>
            <w:tcW w:w="4560" w:type="dxa"/>
            <w:vAlign w:val="bottom"/>
          </w:tcPr>
          <w:p>
            <w:pPr>
              <w:jc w:val="center"/>
              <w:ind w:right="277"/>
              <w:spacing w:after="0" w:line="126" w:lineRule="exact"/>
              <w:rPr>
                <w:sz w:val="20"/>
                <w:szCs w:val="20"/>
                <w:color w:val="auto"/>
              </w:rPr>
            </w:pPr>
            <w:r>
              <w:rPr>
                <w:rFonts w:ascii="Arial" w:cs="Arial" w:eastAsia="Arial" w:hAnsi="Arial"/>
                <w:sz w:val="12"/>
                <w:szCs w:val="12"/>
                <w:color w:val="auto"/>
                <w:w w:val="90"/>
              </w:rPr>
              <w:t>Redeemable warrants, each whole warrant exercisable for one Common Share, each at</w:t>
            </w:r>
          </w:p>
        </w:tc>
        <w:tc>
          <w:tcPr>
            <w:tcW w:w="2420" w:type="dxa"/>
            <w:vAlign w:val="bottom"/>
          </w:tcPr>
          <w:p>
            <w:pPr>
              <w:jc w:val="center"/>
              <w:ind w:right="519"/>
              <w:spacing w:after="0" w:line="126" w:lineRule="exact"/>
              <w:rPr>
                <w:sz w:val="20"/>
                <w:szCs w:val="20"/>
                <w:color w:val="auto"/>
              </w:rPr>
            </w:pPr>
            <w:r>
              <w:rPr>
                <w:rFonts w:ascii="Arial" w:cs="Arial" w:eastAsia="Arial" w:hAnsi="Arial"/>
                <w:sz w:val="12"/>
                <w:szCs w:val="12"/>
                <w:color w:val="auto"/>
                <w:w w:val="98"/>
              </w:rPr>
              <w:t>TMCWW</w:t>
            </w:r>
          </w:p>
        </w:tc>
        <w:tc>
          <w:tcPr>
            <w:tcW w:w="2780" w:type="dxa"/>
            <w:vAlign w:val="bottom"/>
          </w:tcPr>
          <w:p>
            <w:pPr>
              <w:jc w:val="center"/>
              <w:ind w:left="459"/>
              <w:spacing w:after="0" w:line="126" w:lineRule="exact"/>
              <w:rPr>
                <w:sz w:val="20"/>
                <w:szCs w:val="20"/>
                <w:color w:val="auto"/>
              </w:rPr>
            </w:pPr>
            <w:r>
              <w:rPr>
                <w:rFonts w:ascii="Arial" w:cs="Arial" w:eastAsia="Arial" w:hAnsi="Arial"/>
                <w:sz w:val="12"/>
                <w:szCs w:val="12"/>
                <w:color w:val="auto"/>
                <w:w w:val="93"/>
              </w:rPr>
              <w:t>The Nasdaq Stock Market LLC</w:t>
            </w:r>
          </w:p>
        </w:tc>
        <w:tc>
          <w:tcPr>
            <w:tcW w:w="0" w:type="dxa"/>
            <w:vAlign w:val="bottom"/>
          </w:tcPr>
          <w:p>
            <w:pPr>
              <w:spacing w:after="0"/>
              <w:rPr>
                <w:sz w:val="1"/>
                <w:szCs w:val="1"/>
                <w:color w:val="auto"/>
              </w:rPr>
            </w:pPr>
          </w:p>
        </w:tc>
      </w:tr>
      <w:tr>
        <w:trPr>
          <w:trHeight w:val="163"/>
        </w:trPr>
        <w:tc>
          <w:tcPr>
            <w:tcW w:w="4560" w:type="dxa"/>
            <w:vAlign w:val="bottom"/>
          </w:tcPr>
          <w:p>
            <w:pPr>
              <w:jc w:val="center"/>
              <w:ind w:right="277"/>
              <w:spacing w:after="0"/>
              <w:rPr>
                <w:sz w:val="20"/>
                <w:szCs w:val="20"/>
                <w:color w:val="auto"/>
              </w:rPr>
            </w:pPr>
            <w:r>
              <w:rPr>
                <w:rFonts w:ascii="Arial" w:cs="Arial" w:eastAsia="Arial" w:hAnsi="Arial"/>
                <w:sz w:val="12"/>
                <w:szCs w:val="12"/>
                <w:color w:val="auto"/>
                <w:w w:val="89"/>
              </w:rPr>
              <w:t>an exercise price of $11.50 per share</w:t>
            </w:r>
          </w:p>
        </w:tc>
        <w:tc>
          <w:tcPr>
            <w:tcW w:w="2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60" w:right="3460" w:firstLine="3374"/>
        <w:spacing w:after="0" w:line="184" w:lineRule="exact"/>
        <w:rPr>
          <w:sz w:val="20"/>
          <w:szCs w:val="20"/>
          <w:color w:val="auto"/>
        </w:rPr>
      </w:pPr>
      <w:r>
        <w:rPr>
          <w:rFonts w:ascii="Arial" w:cs="Arial" w:eastAsia="Arial" w:hAnsi="Arial"/>
          <w:sz w:val="11"/>
          <w:szCs w:val="11"/>
          <w:color w:val="auto"/>
        </w:rPr>
        <w:t xml:space="preserve">Securities registered pursuant to Section 12(g) of the Exchange Act: None 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left="360"/>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1" w:lineRule="exact"/>
        <w:rPr>
          <w:sz w:val="20"/>
          <w:szCs w:val="20"/>
          <w:color w:val="auto"/>
        </w:rPr>
      </w:pPr>
    </w:p>
    <w:p>
      <w:pPr>
        <w:ind w:left="80" w:right="100" w:firstLine="274"/>
        <w:spacing w:after="0" w:line="17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left="80" w:right="80" w:firstLine="275"/>
        <w:spacing w:after="0" w:line="172"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left="80" w:right="80" w:firstLine="275"/>
        <w:spacing w:after="0" w:line="192" w:lineRule="exact"/>
        <w:rPr>
          <w:sz w:val="20"/>
          <w:szCs w:val="20"/>
          <w:color w:val="auto"/>
        </w:rPr>
      </w:pPr>
      <w:r>
        <w:rPr>
          <w:rFonts w:ascii="Arial" w:cs="Arial" w:eastAsia="Arial" w:hAnsi="Arial"/>
          <w:sz w:val="12"/>
          <w:szCs w:val="12"/>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95" w:lineRule="exact"/>
        <w:rPr>
          <w:sz w:val="20"/>
          <w:szCs w:val="20"/>
          <w:color w:val="auto"/>
        </w:rPr>
      </w:pPr>
    </w:p>
    <w:p>
      <w:pPr>
        <w:ind w:left="80" w:right="100" w:firstLine="274"/>
        <w:spacing w:after="0" w:line="17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80" w:right="100" w:firstLine="275"/>
        <w:spacing w:after="0" w:line="183"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ind w:left="80" w:right="80" w:firstLine="274"/>
        <w:spacing w:after="0" w:line="172"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ind w:left="80" w:right="80" w:firstLine="274"/>
        <w:spacing w:after="0" w:line="161"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0"/>
          <w:szCs w:val="20"/>
          <w:color w:val="auto"/>
        </w:rPr>
      </w:pPr>
    </w:p>
    <w:p>
      <w:pPr>
        <w:ind w:left="36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1" w:lineRule="exact"/>
        <w:rPr>
          <w:sz w:val="20"/>
          <w:szCs w:val="20"/>
          <w:color w:val="auto"/>
        </w:rPr>
      </w:pPr>
    </w:p>
    <w:p>
      <w:pPr>
        <w:ind w:left="80" w:right="80" w:firstLine="275"/>
        <w:spacing w:after="0" w:line="282" w:lineRule="auto"/>
        <w:rPr>
          <w:sz w:val="20"/>
          <w:szCs w:val="20"/>
          <w:color w:val="auto"/>
        </w:rPr>
      </w:pPr>
      <w:r>
        <w:rPr>
          <w:rFonts w:ascii="Arial" w:cs="Arial" w:eastAsia="Arial" w:hAnsi="Arial"/>
          <w:sz w:val="11"/>
          <w:szCs w:val="11"/>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$246,317,128.</w:t>
      </w:r>
    </w:p>
    <w:p>
      <w:pPr>
        <w:ind w:left="360"/>
        <w:spacing w:after="0"/>
        <w:rPr>
          <w:sz w:val="20"/>
          <w:szCs w:val="20"/>
          <w:color w:val="auto"/>
        </w:rPr>
      </w:pPr>
      <w:r>
        <w:rPr>
          <w:rFonts w:ascii="Arial" w:cs="Arial" w:eastAsia="Arial" w:hAnsi="Arial"/>
          <w:sz w:val="12"/>
          <w:szCs w:val="12"/>
          <w:color w:val="auto"/>
        </w:rPr>
        <w:t>As of March 20, 2025, the registrant had 347,910,742 common shares outstanding.</w:t>
      </w:r>
    </w:p>
    <w:p>
      <w:pPr>
        <w:spacing w:after="0" w:line="43"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DOCUMENTS INCORPORATED BY REFERENCE</w:t>
      </w:r>
    </w:p>
    <w:p>
      <w:pPr>
        <w:spacing w:after="0" w:line="47" w:lineRule="exact"/>
        <w:rPr>
          <w:sz w:val="20"/>
          <w:szCs w:val="20"/>
          <w:color w:val="auto"/>
        </w:rPr>
      </w:pPr>
    </w:p>
    <w:p>
      <w:pPr>
        <w:ind w:left="80" w:right="80" w:firstLine="274"/>
        <w:spacing w:after="0" w:line="261" w:lineRule="auto"/>
        <w:rPr>
          <w:sz w:val="20"/>
          <w:szCs w:val="20"/>
          <w:color w:val="auto"/>
        </w:rPr>
      </w:pPr>
      <w:r>
        <w:rPr>
          <w:rFonts w:ascii="Arial" w:cs="Arial" w:eastAsia="Arial" w:hAnsi="Arial"/>
          <w:sz w:val="12"/>
          <w:szCs w:val="12"/>
          <w:color w:val="auto"/>
        </w:rPr>
        <w:t>Portions of the registrant’s proxy statement in connection with the registrant’s annual meeting of shareholders, scheduled to be held on May 29, 2025, are incorporated by reference in Part III of this report. Except as expressly incorporated by reference, such proxy statement shall not be deemed to be part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398145</wp:posOffset>
                </wp:positionV>
                <wp:extent cx="67532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31.35pt" to="535.75pt,31.35pt" o:allowincell="f" strokecolor="#000000" strokeweight="1.1439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31115</wp:posOffset>
                </wp:positionV>
                <wp:extent cx="67532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45pt" to="535.75pt,2.4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78105</wp:posOffset>
                </wp:positionV>
                <wp:extent cx="675322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904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6.15pt" to="535.75pt,6.15pt" o:allowincell="f" strokecolor="#000000" strokeweight="2.287pt"/>
            </w:pict>
          </mc:Fallback>
        </mc:AlternateContent>
      </w:r>
    </w:p>
    <w:p>
      <w:pPr>
        <w:sectPr>
          <w:pgSz w:w="13680" w:h="17280" w:orient="portrait"/>
          <w:cols w:equalWidth="0" w:num="1">
            <w:col w:w="10800"/>
          </w:cols>
          <w:pgMar w:left="1440" w:top="1440"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180" w:type="dxa"/>
            <w:vAlign w:val="bottom"/>
          </w:tcPr>
          <w:p>
            <w:pPr>
              <w:ind w:left="660"/>
              <w:spacing w:after="0"/>
              <w:rPr>
                <w:sz w:val="20"/>
                <w:szCs w:val="20"/>
                <w:color w:val="auto"/>
              </w:rPr>
            </w:pPr>
            <w:r>
              <w:rPr>
                <w:rFonts w:ascii="Arial" w:cs="Arial" w:eastAsia="Arial" w:hAnsi="Arial"/>
                <w:sz w:val="15"/>
                <w:szCs w:val="15"/>
                <w:b w:val="1"/>
                <w:bCs w:val="1"/>
                <w:color w:val="auto"/>
              </w:rPr>
              <w:t>TABLE OF CONTENTS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580" w:type="dxa"/>
            <w:vAlign w:val="bottom"/>
            <w:gridSpan w:val="5"/>
            <w:vMerge w:val="restart"/>
          </w:tcPr>
          <w:p>
            <w:pPr>
              <w:spacing w:after="0"/>
              <w:rPr>
                <w:sz w:val="20"/>
                <w:szCs w:val="20"/>
                <w:color w:val="auto"/>
              </w:rPr>
            </w:pPr>
            <w:r>
              <w:rPr>
                <w:rFonts w:ascii="Arial" w:cs="Arial" w:eastAsia="Arial" w:hAnsi="Arial"/>
                <w:sz w:val="15"/>
                <w:szCs w:val="15"/>
                <w:color w:val="auto"/>
              </w:rPr>
              <w:t>PART I</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29"/>
        </w:trPr>
        <w:tc>
          <w:tcPr>
            <w:tcW w:w="58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0" w:type="dxa"/>
            <w:vAlign w:val="bottom"/>
          </w:tcPr>
          <w:p>
            <w:pPr>
              <w:spacing w:after="0"/>
              <w:rPr>
                <w:sz w:val="15"/>
                <w:szCs w:val="15"/>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5"/>
                <w:szCs w:val="15"/>
                <w:color w:val="auto"/>
                <w:w w:val="88"/>
              </w:rPr>
              <w:t>Item</w:t>
            </w:r>
          </w:p>
        </w:tc>
        <w:tc>
          <w:tcPr>
            <w:tcW w:w="140" w:type="dxa"/>
            <w:vAlign w:val="bottom"/>
          </w:tcPr>
          <w:p>
            <w:pPr>
              <w:ind w:left="20"/>
              <w:spacing w:after="0"/>
              <w:rPr>
                <w:sz w:val="20"/>
                <w:szCs w:val="20"/>
                <w:color w:val="auto"/>
              </w:rPr>
            </w:pPr>
            <w:r>
              <w:rPr>
                <w:rFonts w:ascii="Arial" w:cs="Arial" w:eastAsia="Arial" w:hAnsi="Arial"/>
                <w:sz w:val="15"/>
                <w:szCs w:val="15"/>
                <w:color w:val="auto"/>
                <w:w w:val="79"/>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0" w:type="dxa"/>
            <w:vAlign w:val="bottom"/>
            <w:gridSpan w:val="8"/>
          </w:tcPr>
          <w:p>
            <w:pPr>
              <w:spacing w:after="0"/>
              <w:rPr>
                <w:sz w:val="20"/>
                <w:szCs w:val="20"/>
                <w:color w:val="auto"/>
              </w:rPr>
            </w:pPr>
            <w:r>
              <w:rPr>
                <w:rFonts w:ascii="Arial" w:cs="Arial" w:eastAsia="Arial" w:hAnsi="Arial"/>
                <w:sz w:val="15"/>
                <w:szCs w:val="15"/>
                <w:color w:val="auto"/>
              </w:rPr>
              <w:t>Business</w:t>
            </w:r>
          </w:p>
        </w:tc>
        <w:tc>
          <w:tcPr>
            <w:tcW w:w="6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60" w:type="dxa"/>
            <w:vAlign w:val="bottom"/>
            <w:gridSpan w:val="4"/>
          </w:tcPr>
          <w:p>
            <w:pPr>
              <w:ind w:left="20"/>
              <w:spacing w:after="0" w:line="163" w:lineRule="exact"/>
              <w:rPr>
                <w:sz w:val="20"/>
                <w:szCs w:val="20"/>
                <w:color w:val="auto"/>
              </w:rPr>
            </w:pPr>
            <w:r>
              <w:rPr>
                <w:rFonts w:ascii="Arial" w:cs="Arial" w:eastAsia="Arial" w:hAnsi="Arial"/>
                <w:sz w:val="15"/>
                <w:szCs w:val="15"/>
                <w:color w:val="auto"/>
                <w:w w:val="88"/>
              </w:rPr>
              <w:t>1A.</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gridSpan w:val="8"/>
          </w:tcPr>
          <w:p>
            <w:pPr>
              <w:spacing w:after="0" w:line="163" w:lineRule="exact"/>
              <w:rPr>
                <w:sz w:val="20"/>
                <w:szCs w:val="20"/>
                <w:color w:val="auto"/>
              </w:rPr>
            </w:pPr>
            <w:r>
              <w:rPr>
                <w:rFonts w:ascii="Arial" w:cs="Arial" w:eastAsia="Arial" w:hAnsi="Arial"/>
                <w:sz w:val="15"/>
                <w:szCs w:val="15"/>
                <w:color w:val="auto"/>
              </w:rPr>
              <w:t>Risk Factors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60" w:type="dxa"/>
            <w:vAlign w:val="bottom"/>
            <w:tcBorders>
              <w:bottom w:val="single" w:sz="8" w:color="auto"/>
            </w:tcBorders>
            <w:gridSpan w:val="4"/>
          </w:tcPr>
          <w:p>
            <w:pPr>
              <w:ind w:left="20"/>
              <w:spacing w:after="0" w:line="163" w:lineRule="exact"/>
              <w:rPr>
                <w:sz w:val="20"/>
                <w:szCs w:val="20"/>
                <w:color w:val="auto"/>
              </w:rPr>
            </w:pPr>
            <w:r>
              <w:rPr>
                <w:rFonts w:ascii="Arial" w:cs="Arial" w:eastAsia="Arial" w:hAnsi="Arial"/>
                <w:sz w:val="15"/>
                <w:szCs w:val="15"/>
                <w:color w:val="auto"/>
                <w:w w:val="88"/>
              </w:rPr>
              <w:t>1B.</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bottom w:val="single" w:sz="8" w:color="auto"/>
            </w:tcBorders>
            <w:gridSpan w:val="6"/>
          </w:tcPr>
          <w:p>
            <w:pPr>
              <w:spacing w:after="0" w:line="163" w:lineRule="exact"/>
              <w:rPr>
                <w:sz w:val="20"/>
                <w:szCs w:val="20"/>
                <w:color w:val="auto"/>
              </w:rPr>
            </w:pPr>
            <w:r>
              <w:rPr>
                <w:rFonts w:ascii="Arial" w:cs="Arial" w:eastAsia="Arial" w:hAnsi="Arial"/>
                <w:sz w:val="15"/>
                <w:szCs w:val="15"/>
                <w:color w:val="auto"/>
                <w:w w:val="88"/>
              </w:rPr>
              <w:t>Unresolved Staff Comments</w:t>
            </w:r>
          </w:p>
        </w:tc>
        <w:tc>
          <w:tcPr>
            <w:tcW w:w="7120" w:type="dxa"/>
            <w:vAlign w:val="bottom"/>
            <w:gridSpan w:val="2"/>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420" w:type="dxa"/>
            <w:vAlign w:val="bottom"/>
            <w:gridSpan w:val="5"/>
          </w:tcPr>
          <w:p>
            <w:pPr>
              <w:ind w:left="20"/>
              <w:spacing w:after="0" w:line="163" w:lineRule="exact"/>
              <w:rPr>
                <w:sz w:val="20"/>
                <w:szCs w:val="20"/>
                <w:color w:val="auto"/>
              </w:rPr>
            </w:pPr>
            <w:r>
              <w:rPr>
                <w:rFonts w:ascii="Arial" w:cs="Arial" w:eastAsia="Arial" w:hAnsi="Arial"/>
                <w:sz w:val="15"/>
                <w:szCs w:val="15"/>
                <w:color w:val="auto"/>
              </w:rPr>
              <w:t>1C.</w:t>
            </w: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Cybersecurity</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top w:val="single" w:sz="8" w:color="auto"/>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Borders>
              <w:top w:val="single" w:sz="8" w:color="auto"/>
              <w:bottom w:val="single" w:sz="8" w:color="auto"/>
            </w:tcBorders>
          </w:tcPr>
          <w:p>
            <w:pPr>
              <w:ind w:left="20"/>
              <w:spacing w:after="0" w:line="163" w:lineRule="exact"/>
              <w:rPr>
                <w:sz w:val="20"/>
                <w:szCs w:val="20"/>
                <w:color w:val="auto"/>
              </w:rPr>
            </w:pPr>
            <w:r>
              <w:rPr>
                <w:rFonts w:ascii="Arial" w:cs="Arial" w:eastAsia="Arial" w:hAnsi="Arial"/>
                <w:sz w:val="15"/>
                <w:szCs w:val="15"/>
                <w:color w:val="auto"/>
                <w:w w:val="79"/>
              </w:rPr>
              <w:t>2.</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Properties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Borders>
              <w:bottom w:val="single" w:sz="8" w:color="auto"/>
            </w:tcBorders>
          </w:tcPr>
          <w:p>
            <w:pPr>
              <w:ind w:left="20"/>
              <w:spacing w:after="0" w:line="163" w:lineRule="exact"/>
              <w:rPr>
                <w:sz w:val="20"/>
                <w:szCs w:val="20"/>
                <w:color w:val="auto"/>
              </w:rPr>
            </w:pPr>
            <w:r>
              <w:rPr>
                <w:rFonts w:ascii="Arial" w:cs="Arial" w:eastAsia="Arial" w:hAnsi="Arial"/>
                <w:sz w:val="15"/>
                <w:szCs w:val="15"/>
                <w:color w:val="auto"/>
                <w:w w:val="79"/>
              </w:rPr>
              <w:t>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Legal Proceedings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Borders>
              <w:bottom w:val="single" w:sz="8" w:color="auto"/>
            </w:tcBorders>
          </w:tcPr>
          <w:p>
            <w:pPr>
              <w:ind w:left="20"/>
              <w:spacing w:after="0" w:line="163" w:lineRule="exact"/>
              <w:rPr>
                <w:sz w:val="20"/>
                <w:szCs w:val="20"/>
                <w:color w:val="auto"/>
              </w:rPr>
            </w:pPr>
            <w:r>
              <w:rPr>
                <w:rFonts w:ascii="Arial" w:cs="Arial" w:eastAsia="Arial" w:hAnsi="Arial"/>
                <w:sz w:val="15"/>
                <w:szCs w:val="15"/>
                <w:color w:val="auto"/>
                <w:w w:val="79"/>
              </w:rPr>
              <w:t>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Mine Safety Disclosures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346"/>
        </w:trPr>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w w:val="95"/>
              </w:rPr>
              <w:t>PART II</w:t>
            </w:r>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Borders>
              <w:bottom w:val="single" w:sz="8" w:color="auto"/>
            </w:tcBorders>
          </w:tcPr>
          <w:p>
            <w:pPr>
              <w:ind w:left="20"/>
              <w:spacing w:after="0" w:line="163" w:lineRule="exact"/>
              <w:rPr>
                <w:sz w:val="20"/>
                <w:szCs w:val="20"/>
                <w:color w:val="auto"/>
              </w:rPr>
            </w:pPr>
            <w:r>
              <w:rPr>
                <w:rFonts w:ascii="Arial" w:cs="Arial" w:eastAsia="Arial" w:hAnsi="Arial"/>
                <w:sz w:val="15"/>
                <w:szCs w:val="15"/>
                <w:color w:val="auto"/>
                <w:w w:val="79"/>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Market for Registrant’s Common Equity, Related Stockholder Matters and Issuer Purchases of Equity Securities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Pr>
          <w:p>
            <w:pPr>
              <w:ind w:left="20"/>
              <w:spacing w:after="0" w:line="163" w:lineRule="exact"/>
              <w:rPr>
                <w:sz w:val="20"/>
                <w:szCs w:val="20"/>
                <w:color w:val="auto"/>
              </w:rPr>
            </w:pPr>
            <w:r>
              <w:rPr>
                <w:rFonts w:ascii="Arial" w:cs="Arial" w:eastAsia="Arial" w:hAnsi="Arial"/>
                <w:sz w:val="15"/>
                <w:szCs w:val="15"/>
                <w:color w:val="auto"/>
                <w:w w:val="79"/>
              </w:rPr>
              <w:t>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color w:val="auto"/>
              </w:rPr>
              <w:t>[Reserved]</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Borders>
              <w:bottom w:val="single" w:sz="8" w:color="auto"/>
            </w:tcBorders>
          </w:tcPr>
          <w:p>
            <w:pPr>
              <w:ind w:left="20"/>
              <w:spacing w:after="0" w:line="163" w:lineRule="exact"/>
              <w:rPr>
                <w:sz w:val="20"/>
                <w:szCs w:val="20"/>
                <w:color w:val="auto"/>
              </w:rPr>
            </w:pPr>
            <w:r>
              <w:rPr>
                <w:rFonts w:ascii="Arial" w:cs="Arial" w:eastAsia="Arial" w:hAnsi="Arial"/>
                <w:sz w:val="15"/>
                <w:szCs w:val="15"/>
                <w:color w:val="auto"/>
                <w:w w:val="79"/>
              </w:rPr>
              <w:t>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Management’s Discussion and Analysis of Financial Condition and Results of Operations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420" w:type="dxa"/>
            <w:vAlign w:val="bottom"/>
            <w:gridSpan w:val="5"/>
          </w:tcPr>
          <w:p>
            <w:pPr>
              <w:ind w:left="20"/>
              <w:spacing w:after="0" w:line="163" w:lineRule="exact"/>
              <w:rPr>
                <w:sz w:val="20"/>
                <w:szCs w:val="20"/>
                <w:color w:val="auto"/>
              </w:rPr>
            </w:pPr>
            <w:r>
              <w:rPr>
                <w:rFonts w:ascii="Arial" w:cs="Arial" w:eastAsia="Arial" w:hAnsi="Arial"/>
                <w:sz w:val="15"/>
                <w:szCs w:val="15"/>
                <w:color w:val="auto"/>
              </w:rPr>
              <w:t>7A.</w:t>
            </w: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Quantitative and Qualitative Disclosures About Market Risk</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top w:val="single" w:sz="8" w:color="auto"/>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Borders>
              <w:top w:val="single" w:sz="8" w:color="auto"/>
              <w:bottom w:val="single" w:sz="8" w:color="auto"/>
            </w:tcBorders>
          </w:tcPr>
          <w:p>
            <w:pPr>
              <w:ind w:left="20"/>
              <w:spacing w:after="0" w:line="163" w:lineRule="exact"/>
              <w:rPr>
                <w:sz w:val="20"/>
                <w:szCs w:val="20"/>
                <w:color w:val="auto"/>
              </w:rPr>
            </w:pPr>
            <w:r>
              <w:rPr>
                <w:rFonts w:ascii="Arial" w:cs="Arial" w:eastAsia="Arial" w:hAnsi="Arial"/>
                <w:sz w:val="15"/>
                <w:szCs w:val="15"/>
                <w:color w:val="auto"/>
                <w:w w:val="79"/>
              </w:rPr>
              <w:t>8.</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Financial Statements and Supplementary Data</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140" w:type="dxa"/>
            <w:vAlign w:val="bottom"/>
            <w:tcBorders>
              <w:bottom w:val="single" w:sz="8" w:color="auto"/>
            </w:tcBorders>
          </w:tcPr>
          <w:p>
            <w:pPr>
              <w:ind w:left="20"/>
              <w:spacing w:after="0" w:line="163" w:lineRule="exact"/>
              <w:rPr>
                <w:sz w:val="20"/>
                <w:szCs w:val="20"/>
                <w:color w:val="auto"/>
              </w:rPr>
            </w:pPr>
            <w:r>
              <w:rPr>
                <w:rFonts w:ascii="Arial" w:cs="Arial" w:eastAsia="Arial" w:hAnsi="Arial"/>
                <w:sz w:val="15"/>
                <w:szCs w:val="15"/>
                <w:color w:val="auto"/>
                <w:w w:val="79"/>
              </w:rPr>
              <w:t>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Changes in and Disagreements With Accountants on Accounting and Financial Disclosure</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60" w:type="dxa"/>
            <w:vAlign w:val="bottom"/>
            <w:gridSpan w:val="4"/>
          </w:tcPr>
          <w:p>
            <w:pPr>
              <w:ind w:left="20"/>
              <w:spacing w:after="0" w:line="163" w:lineRule="exact"/>
              <w:rPr>
                <w:sz w:val="20"/>
                <w:szCs w:val="20"/>
                <w:color w:val="auto"/>
              </w:rPr>
            </w:pPr>
            <w:r>
              <w:rPr>
                <w:rFonts w:ascii="Arial" w:cs="Arial" w:eastAsia="Arial" w:hAnsi="Arial"/>
                <w:sz w:val="15"/>
                <w:szCs w:val="15"/>
                <w:color w:val="auto"/>
                <w:w w:val="88"/>
              </w:rPr>
              <w:t>9A.</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gridSpan w:val="8"/>
          </w:tcPr>
          <w:p>
            <w:pPr>
              <w:spacing w:after="0" w:line="163" w:lineRule="exact"/>
              <w:rPr>
                <w:sz w:val="20"/>
                <w:szCs w:val="20"/>
                <w:color w:val="auto"/>
              </w:rPr>
            </w:pPr>
            <w:r>
              <w:rPr>
                <w:rFonts w:ascii="Arial" w:cs="Arial" w:eastAsia="Arial" w:hAnsi="Arial"/>
                <w:sz w:val="15"/>
                <w:szCs w:val="15"/>
                <w:color w:val="auto"/>
              </w:rPr>
              <w:t>Controls and Procedures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top w:val="single" w:sz="8" w:color="auto"/>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60" w:type="dxa"/>
            <w:vAlign w:val="bottom"/>
            <w:tcBorders>
              <w:top w:val="single" w:sz="8" w:color="auto"/>
              <w:bottom w:val="single" w:sz="8" w:color="auto"/>
            </w:tcBorders>
            <w:gridSpan w:val="4"/>
          </w:tcPr>
          <w:p>
            <w:pPr>
              <w:ind w:left="20"/>
              <w:spacing w:after="0" w:line="163" w:lineRule="exact"/>
              <w:rPr>
                <w:sz w:val="20"/>
                <w:szCs w:val="20"/>
                <w:color w:val="auto"/>
              </w:rPr>
            </w:pPr>
            <w:r>
              <w:rPr>
                <w:rFonts w:ascii="Arial" w:cs="Arial" w:eastAsia="Arial" w:hAnsi="Arial"/>
                <w:sz w:val="15"/>
                <w:szCs w:val="15"/>
                <w:color w:val="auto"/>
                <w:w w:val="88"/>
              </w:rPr>
              <w:t>9B.</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bottom w:val="single" w:sz="8" w:color="auto"/>
            </w:tcBorders>
            <w:gridSpan w:val="4"/>
          </w:tcPr>
          <w:p>
            <w:pPr>
              <w:spacing w:after="0" w:line="163" w:lineRule="exact"/>
              <w:rPr>
                <w:sz w:val="20"/>
                <w:szCs w:val="20"/>
                <w:color w:val="auto"/>
              </w:rPr>
            </w:pPr>
            <w:r>
              <w:rPr>
                <w:rFonts w:ascii="Arial" w:cs="Arial" w:eastAsia="Arial" w:hAnsi="Arial"/>
                <w:sz w:val="15"/>
                <w:szCs w:val="15"/>
                <w:color w:val="auto"/>
                <w:w w:val="89"/>
              </w:rPr>
              <w:t>Other Information</w:t>
            </w:r>
          </w:p>
        </w:tc>
        <w:tc>
          <w:tcPr>
            <w:tcW w:w="380" w:type="dxa"/>
            <w:vAlign w:val="bottom"/>
            <w:tcBorders>
              <w:top w:val="single" w:sz="8" w:color="auto"/>
            </w:tcBorders>
          </w:tcPr>
          <w:p>
            <w:pPr>
              <w:spacing w:after="0"/>
              <w:rPr>
                <w:sz w:val="14"/>
                <w:szCs w:val="14"/>
                <w:color w:val="auto"/>
              </w:rPr>
            </w:pPr>
          </w:p>
        </w:tc>
        <w:tc>
          <w:tcPr>
            <w:tcW w:w="7360" w:type="dxa"/>
            <w:vAlign w:val="bottom"/>
            <w:gridSpan w:val="3"/>
          </w:tcPr>
          <w:p>
            <w:pPr>
              <w:spacing w:after="0"/>
              <w:rPr>
                <w:sz w:val="14"/>
                <w:szCs w:val="14"/>
                <w:color w:val="auto"/>
              </w:rPr>
            </w:pP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60" w:type="dxa"/>
            <w:vAlign w:val="bottom"/>
            <w:tcBorders>
              <w:bottom w:val="single" w:sz="8" w:color="auto"/>
            </w:tcBorders>
            <w:gridSpan w:val="4"/>
          </w:tcPr>
          <w:p>
            <w:pPr>
              <w:ind w:left="20"/>
              <w:spacing w:after="0" w:line="163" w:lineRule="exact"/>
              <w:rPr>
                <w:sz w:val="20"/>
                <w:szCs w:val="20"/>
                <w:color w:val="auto"/>
              </w:rPr>
            </w:pPr>
            <w:r>
              <w:rPr>
                <w:rFonts w:ascii="Arial" w:cs="Arial" w:eastAsia="Arial" w:hAnsi="Arial"/>
                <w:sz w:val="15"/>
                <w:szCs w:val="15"/>
                <w:color w:val="auto"/>
                <w:w w:val="85"/>
              </w:rPr>
              <w:t>9C.</w:t>
            </w: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Disclosure Regarding Foreign Jurisdictions that Prevent Inspections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346"/>
        </w:trPr>
        <w:tc>
          <w:tcPr>
            <w:tcW w:w="580" w:type="dxa"/>
            <w:vAlign w:val="bottom"/>
            <w:gridSpan w:val="5"/>
          </w:tcPr>
          <w:p>
            <w:pPr>
              <w:jc w:val="right"/>
              <w:ind w:right="20"/>
              <w:spacing w:after="0"/>
              <w:rPr>
                <w:sz w:val="20"/>
                <w:szCs w:val="20"/>
                <w:color w:val="auto"/>
              </w:rPr>
            </w:pPr>
            <w:r>
              <w:rPr>
                <w:rFonts w:ascii="Arial" w:cs="Arial" w:eastAsia="Arial" w:hAnsi="Arial"/>
                <w:sz w:val="15"/>
                <w:szCs w:val="15"/>
                <w:color w:val="auto"/>
                <w:w w:val="95"/>
              </w:rPr>
              <w:t>PART III</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vMerge w:val="restart"/>
          </w:tcPr>
          <w:p>
            <w:pPr>
              <w:ind w:left="20"/>
              <w:spacing w:after="0"/>
              <w:rPr>
                <w:sz w:val="20"/>
                <w:szCs w:val="20"/>
                <w:color w:val="auto"/>
              </w:rPr>
            </w:pPr>
            <w:r>
              <w:rPr>
                <w:rFonts w:ascii="Arial" w:cs="Arial" w:eastAsia="Arial" w:hAnsi="Arial"/>
                <w:sz w:val="15"/>
                <w:szCs w:val="15"/>
                <w:color w:val="auto"/>
                <w:w w:val="86"/>
              </w:rPr>
              <w:t>10.</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9"/>
            <w:vMerge w:val="restart"/>
          </w:tcPr>
          <w:p>
            <w:pPr>
              <w:ind w:left="160"/>
              <w:spacing w:after="0"/>
              <w:rPr>
                <w:sz w:val="20"/>
                <w:szCs w:val="20"/>
                <w:color w:val="auto"/>
              </w:rPr>
            </w:pPr>
            <w:r>
              <w:rPr>
                <w:rFonts w:ascii="Arial" w:cs="Arial" w:eastAsia="Arial" w:hAnsi="Arial"/>
                <w:sz w:val="15"/>
                <w:szCs w:val="15"/>
                <w:u w:val="single" w:color="auto"/>
                <w:color w:val="auto"/>
              </w:rPr>
              <w:t>Directors, Executive Officers and Corporate Governance</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2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00" w:type="dxa"/>
            <w:vAlign w:val="bottom"/>
            <w:tcBorders>
              <w:bottom w:val="single" w:sz="8" w:color="auto"/>
            </w:tcBorders>
            <w:gridSpan w:val="2"/>
          </w:tcPr>
          <w:p>
            <w:pPr>
              <w:ind w:left="20"/>
              <w:spacing w:after="0" w:line="163" w:lineRule="exact"/>
              <w:rPr>
                <w:sz w:val="20"/>
                <w:szCs w:val="20"/>
                <w:color w:val="auto"/>
              </w:rPr>
            </w:pPr>
            <w:r>
              <w:rPr>
                <w:rFonts w:ascii="Arial" w:cs="Arial" w:eastAsia="Arial" w:hAnsi="Arial"/>
                <w:sz w:val="15"/>
                <w:szCs w:val="15"/>
                <w:color w:val="auto"/>
                <w:w w:val="76"/>
              </w:rPr>
              <w:t>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Executive Compensation</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20" w:type="dxa"/>
            <w:vAlign w:val="bottom"/>
            <w:tcBorders>
              <w:bottom w:val="single" w:sz="8" w:color="auto"/>
            </w:tcBorders>
            <w:gridSpan w:val="3"/>
          </w:tcPr>
          <w:p>
            <w:pPr>
              <w:ind w:left="20"/>
              <w:spacing w:after="0" w:line="163" w:lineRule="exact"/>
              <w:rPr>
                <w:sz w:val="20"/>
                <w:szCs w:val="20"/>
                <w:color w:val="auto"/>
              </w:rPr>
            </w:pPr>
            <w:r>
              <w:rPr>
                <w:rFonts w:ascii="Arial" w:cs="Arial" w:eastAsia="Arial" w:hAnsi="Arial"/>
                <w:sz w:val="15"/>
                <w:szCs w:val="15"/>
                <w:color w:val="auto"/>
                <w:w w:val="86"/>
              </w:rPr>
              <w:t>12.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Security Ownership of Certain Beneficial Owners and Management and Related Stockholder Matters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20" w:type="dxa"/>
            <w:vAlign w:val="bottom"/>
            <w:tcBorders>
              <w:bottom w:val="single" w:sz="8" w:color="auto"/>
            </w:tcBorders>
            <w:gridSpan w:val="3"/>
          </w:tcPr>
          <w:p>
            <w:pPr>
              <w:ind w:left="20"/>
              <w:spacing w:after="0" w:line="163" w:lineRule="exact"/>
              <w:rPr>
                <w:sz w:val="20"/>
                <w:szCs w:val="20"/>
                <w:color w:val="auto"/>
              </w:rPr>
            </w:pPr>
            <w:r>
              <w:rPr>
                <w:rFonts w:ascii="Arial" w:cs="Arial" w:eastAsia="Arial" w:hAnsi="Arial"/>
                <w:sz w:val="15"/>
                <w:szCs w:val="15"/>
                <w:color w:val="auto"/>
                <w:w w:val="86"/>
              </w:rPr>
              <w:t>13.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Certain Relationships and Related Transactions, and Director Independence</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20" w:type="dxa"/>
            <w:vAlign w:val="bottom"/>
            <w:tcBorders>
              <w:bottom w:val="single" w:sz="8" w:color="auto"/>
            </w:tcBorders>
            <w:gridSpan w:val="3"/>
          </w:tcPr>
          <w:p>
            <w:pPr>
              <w:ind w:left="20"/>
              <w:spacing w:after="0" w:line="163" w:lineRule="exact"/>
              <w:rPr>
                <w:sz w:val="20"/>
                <w:szCs w:val="20"/>
                <w:color w:val="auto"/>
              </w:rPr>
            </w:pPr>
            <w:r>
              <w:rPr>
                <w:rFonts w:ascii="Arial" w:cs="Arial" w:eastAsia="Arial" w:hAnsi="Arial"/>
                <w:sz w:val="15"/>
                <w:szCs w:val="15"/>
                <w:color w:val="auto"/>
                <w:w w:val="86"/>
              </w:rPr>
              <w:t>14.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Principal Accounting Fees and Services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346"/>
        </w:trPr>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w w:val="95"/>
              </w:rPr>
              <w:t>PART IV</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20" w:type="dxa"/>
            <w:vAlign w:val="bottom"/>
            <w:tcBorders>
              <w:bottom w:val="single" w:sz="8" w:color="auto"/>
            </w:tcBorders>
            <w:gridSpan w:val="3"/>
          </w:tcPr>
          <w:p>
            <w:pPr>
              <w:ind w:left="20"/>
              <w:spacing w:after="0" w:line="163" w:lineRule="exact"/>
              <w:rPr>
                <w:sz w:val="20"/>
                <w:szCs w:val="20"/>
                <w:color w:val="auto"/>
              </w:rPr>
            </w:pPr>
            <w:r>
              <w:rPr>
                <w:rFonts w:ascii="Arial" w:cs="Arial" w:eastAsia="Arial" w:hAnsi="Arial"/>
                <w:sz w:val="15"/>
                <w:szCs w:val="15"/>
                <w:color w:val="auto"/>
                <w:w w:val="86"/>
              </w:rPr>
              <w:t>15.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Borders>
              <w:bottom w:val="single" w:sz="8" w:color="auto"/>
            </w:tcBorders>
            <w:gridSpan w:val="7"/>
          </w:tcPr>
          <w:p>
            <w:pPr>
              <w:spacing w:after="0" w:line="163" w:lineRule="exact"/>
              <w:rPr>
                <w:sz w:val="20"/>
                <w:szCs w:val="20"/>
                <w:color w:val="auto"/>
              </w:rPr>
            </w:pPr>
            <w:r>
              <w:rPr>
                <w:rFonts w:ascii="Arial" w:cs="Arial" w:eastAsia="Arial" w:hAnsi="Arial"/>
                <w:sz w:val="15"/>
                <w:szCs w:val="15"/>
                <w:color w:val="auto"/>
                <w:w w:val="88"/>
              </w:rPr>
              <w:t>Exhibits and Financial Statement Schedules</w:t>
            </w:r>
          </w:p>
        </w:tc>
        <w:tc>
          <w:tcPr>
            <w:tcW w:w="6180" w:type="dxa"/>
            <w:vAlign w:val="bottom"/>
          </w:tcPr>
          <w:p>
            <w:pPr>
              <w:spacing w:after="0"/>
              <w:rPr>
                <w:sz w:val="14"/>
                <w:szCs w:val="14"/>
                <w:color w:val="auto"/>
              </w:rPr>
            </w:pP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auto"/>
            </w:tcBorders>
            <w:gridSpan w:val="4"/>
          </w:tcPr>
          <w:p>
            <w:pPr>
              <w:jc w:val="right"/>
              <w:ind w:right="20"/>
              <w:spacing w:after="0" w:line="163" w:lineRule="exact"/>
              <w:rPr>
                <w:sz w:val="20"/>
                <w:szCs w:val="20"/>
                <w:color w:val="auto"/>
              </w:rPr>
            </w:pPr>
            <w:r>
              <w:rPr>
                <w:rFonts w:ascii="Arial" w:cs="Arial" w:eastAsia="Arial" w:hAnsi="Arial"/>
                <w:sz w:val="15"/>
                <w:szCs w:val="15"/>
                <w:color w:val="auto"/>
                <w:w w:val="88"/>
              </w:rPr>
              <w:t>Item</w:t>
            </w:r>
          </w:p>
        </w:tc>
        <w:tc>
          <w:tcPr>
            <w:tcW w:w="220" w:type="dxa"/>
            <w:vAlign w:val="bottom"/>
            <w:tcBorders>
              <w:bottom w:val="single" w:sz="8" w:color="auto"/>
            </w:tcBorders>
            <w:gridSpan w:val="3"/>
          </w:tcPr>
          <w:p>
            <w:pPr>
              <w:ind w:left="20"/>
              <w:spacing w:after="0" w:line="163" w:lineRule="exact"/>
              <w:rPr>
                <w:sz w:val="20"/>
                <w:szCs w:val="20"/>
                <w:color w:val="auto"/>
              </w:rPr>
            </w:pPr>
            <w:r>
              <w:rPr>
                <w:rFonts w:ascii="Arial" w:cs="Arial" w:eastAsia="Arial" w:hAnsi="Arial"/>
                <w:sz w:val="15"/>
                <w:szCs w:val="15"/>
                <w:color w:val="auto"/>
                <w:w w:val="86"/>
              </w:rPr>
              <w:t>16.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auto"/>
              </w:rPr>
              <w:t>Form 10-K Summary</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gridSpan w:val="9"/>
          </w:tcPr>
          <w:p>
            <w:pPr>
              <w:ind w:left="160"/>
              <w:spacing w:after="0"/>
              <w:rPr>
                <w:sz w:val="20"/>
                <w:szCs w:val="20"/>
                <w:color w:val="auto"/>
              </w:rPr>
            </w:pPr>
            <w:r>
              <w:rPr>
                <w:rFonts w:ascii="Arial" w:cs="Arial" w:eastAsia="Arial" w:hAnsi="Arial"/>
                <w:sz w:val="15"/>
                <w:szCs w:val="15"/>
                <w:u w:val="single" w:color="auto"/>
                <w:color w:val="auto"/>
              </w:rPr>
              <w:t>Signatures</w:t>
            </w:r>
          </w:p>
        </w:tc>
        <w:tc>
          <w:tcPr>
            <w:tcW w:w="620" w:type="dxa"/>
            <w:vAlign w:val="bottom"/>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926"/>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20" w:type="dxa"/>
            <w:vAlign w:val="bottom"/>
            <w:gridSpan w:val="9"/>
          </w:tcPr>
          <w:p>
            <w:pPr>
              <w:ind w:left="4280"/>
              <w:spacing w:after="0"/>
              <w:rPr>
                <w:sz w:val="20"/>
                <w:szCs w:val="20"/>
                <w:color w:val="auto"/>
              </w:rPr>
            </w:pPr>
            <w:r>
              <w:rPr>
                <w:rFonts w:ascii="Arial" w:cs="Arial" w:eastAsia="Arial" w:hAnsi="Arial"/>
                <w:sz w:val="15"/>
                <w:szCs w:val="15"/>
                <w:color w:val="auto"/>
              </w:rPr>
              <w:t>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In this Annual Report on form 10-K (“Annual Report”), the terms “we,” “us,” “our,” “Company” and “TMC” mean TMC the metals company Inc. and our subsidiaries (“TMC”). Our common shares and warrants to purchase common shares are traded on the Nasdaq Global Select Market (“Nasdaq”) under the symbols “TMC” and “TMCWW,” respectively.</w:t>
      </w:r>
    </w:p>
    <w:p>
      <w:pPr>
        <w:spacing w:after="0" w:line="32" w:lineRule="exact"/>
        <w:rPr>
          <w:sz w:val="20"/>
          <w:szCs w:val="20"/>
          <w:color w:val="auto"/>
        </w:rPr>
      </w:pPr>
    </w:p>
    <w:p>
      <w:pPr>
        <w:jc w:val="both"/>
        <w:ind w:left="80" w:right="80" w:firstLine="275"/>
        <w:spacing w:after="0" w:line="348" w:lineRule="auto"/>
        <w:rPr>
          <w:sz w:val="20"/>
          <w:szCs w:val="20"/>
          <w:color w:val="auto"/>
        </w:rPr>
      </w:pPr>
      <w:r>
        <w:rPr>
          <w:rFonts w:ascii="Arial" w:cs="Arial" w:eastAsia="Arial" w:hAnsi="Arial"/>
          <w:sz w:val="15"/>
          <w:szCs w:val="15"/>
          <w:color w:val="auto"/>
        </w:rPr>
        <w:t>As used in this Annual Report, “Mtpa” refers to millions of tonnes per year, “dmtu” refers to dry metric tonne unit, “TWh” refers to trillion-watt hours, “CO</w:t>
      </w:r>
      <w:r>
        <w:rPr>
          <w:rFonts w:ascii="Arial" w:cs="Arial" w:eastAsia="Arial" w:hAnsi="Arial"/>
          <w:sz w:val="22"/>
          <w:szCs w:val="22"/>
          <w:color w:val="auto"/>
          <w:vertAlign w:val="subscript"/>
        </w:rPr>
        <w:t>2</w:t>
      </w:r>
      <w:r>
        <w:rPr>
          <w:rFonts w:ascii="Arial" w:cs="Arial" w:eastAsia="Arial" w:hAnsi="Arial"/>
          <w:sz w:val="15"/>
          <w:szCs w:val="15"/>
          <w:color w:val="auto"/>
        </w:rPr>
        <w:t>e” refers to metric tonnes of carbon dioxide emissions equivalents and “w/w” refers to weight for weight.</w:t>
      </w:r>
    </w:p>
    <w:p>
      <w:pPr>
        <w:spacing w:after="0" w:line="48"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Unless otherwise indicated or required by the context, as used in this Annual Report, “critical metals” refers to the four metals contained in polymetallic nodules, nickel, copper, cobalt and manganese.</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Market and Industry Data</w:t>
      </w:r>
    </w:p>
    <w:p>
      <w:pPr>
        <w:spacing w:after="0" w:line="196"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Market and other statistical data included in this Annual Report were obtained from industry publications, market research and publicly available information as well as publications and research conducted by or on behalf of TMC.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we do not make any representation as to the accuracy of such information.</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Trademarks, Service marks and Trade Names</w:t>
      </w:r>
    </w:p>
    <w:p>
      <w:pPr>
        <w:spacing w:after="0" w:line="196"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All service marks, trademarks and trade names appearing in this Annual Report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Annual Report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96"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This Annual Report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Annual Report include, but are not limited to, statements about:</w:t>
      </w:r>
    </w:p>
    <w:p>
      <w:pPr>
        <w:spacing w:after="0" w:line="141" w:lineRule="exact"/>
        <w:rPr>
          <w:sz w:val="20"/>
          <w:szCs w:val="20"/>
          <w:color w:val="auto"/>
        </w:rPr>
      </w:pPr>
    </w:p>
    <w:p>
      <w:pPr>
        <w:ind w:left="660" w:hanging="283"/>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commercial and technical feasibility of seafloor polymetallic nodule collection and processing;</w:t>
      </w:r>
    </w:p>
    <w:p>
      <w:pPr>
        <w:spacing w:after="0" w:line="193" w:lineRule="exact"/>
        <w:rPr>
          <w:rFonts w:ascii="Arial" w:cs="Arial" w:eastAsia="Arial" w:hAnsi="Arial"/>
          <w:sz w:val="15"/>
          <w:szCs w:val="15"/>
          <w:color w:val="auto"/>
        </w:rPr>
      </w:pPr>
    </w:p>
    <w:p>
      <w:pPr>
        <w:jc w:val="both"/>
        <w:ind w:left="660" w:right="80" w:hanging="283"/>
        <w:spacing w:after="0" w:line="30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and our partners’ development and operational plans, including with respect to the planned uses of polymetallic nodules, where and how nodules will be obtained and processed, the expected environmental, social and governance (“ESG”) impacts thereof and our plans to assess these impacts and the timing and scope of these plans, including the timing and expectations with respect to our receipt of exploitation contracts and our commercialization plans;</w:t>
      </w:r>
    </w:p>
    <w:p>
      <w:pPr>
        <w:spacing w:after="0" w:line="117" w:lineRule="exact"/>
        <w:rPr>
          <w:rFonts w:ascii="Arial" w:cs="Arial" w:eastAsia="Arial" w:hAnsi="Arial"/>
          <w:sz w:val="14"/>
          <w:szCs w:val="14"/>
          <w:color w:val="auto"/>
        </w:rPr>
      </w:pPr>
    </w:p>
    <w:p>
      <w:pPr>
        <w:ind w:left="660" w:right="80" w:hanging="282"/>
        <w:spacing w:after="0" w:line="299"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supply and demand for nickel and cobalt (including critical metals and battery cathode feedstocks), steel-making feedstocks, copper cathode and manganese ores;</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future prices of nickel and cobalt (including critical metals and battery cathode feedstocks), steel-making feedstocks, copper cathode and manganese ores;</w:t>
      </w:r>
    </w:p>
    <w:p>
      <w:pPr>
        <w:spacing w:after="0" w:line="205" w:lineRule="exact"/>
        <w:rPr>
          <w:rFonts w:ascii="Arial" w:cs="Arial" w:eastAsia="Arial" w:hAnsi="Arial"/>
          <w:sz w:val="14"/>
          <w:szCs w:val="14"/>
          <w:color w:val="auto"/>
        </w:rPr>
      </w:pPr>
    </w:p>
    <w:p>
      <w:pPr>
        <w:jc w:val="both"/>
        <w:ind w:left="660" w:right="80" w:hanging="283"/>
        <w:spacing w:after="0" w:line="276"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and content of the final exploitation regulations of the International Seabed Authority’s (“ISA”) that will create the legal and technical framework for exploitation of polymetallic nodules in the Clarion Clipperton Zone of the Pacific Ocean (“CCZ”) under the United Nations Convention on the Law of the Sea (“UNCLOS”);</w:t>
      </w:r>
    </w:p>
    <w:p>
      <w:pPr>
        <w:spacing w:after="0" w:line="136" w:lineRule="exact"/>
        <w:rPr>
          <w:rFonts w:ascii="Arial" w:cs="Arial" w:eastAsia="Arial" w:hAnsi="Arial"/>
          <w:sz w:val="15"/>
          <w:szCs w:val="15"/>
          <w:color w:val="auto"/>
        </w:rPr>
      </w:pPr>
    </w:p>
    <w:p>
      <w:pPr>
        <w:ind w:left="660" w:hanging="283"/>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government regulation of mineral extraction from the deep seafloor and changes in mining laws and regulations;</w:t>
      </w:r>
    </w:p>
    <w:p>
      <w:pPr>
        <w:spacing w:after="0" w:line="193" w:lineRule="exact"/>
        <w:rPr>
          <w:rFonts w:ascii="Arial" w:cs="Arial" w:eastAsia="Arial" w:hAnsi="Arial"/>
          <w:sz w:val="15"/>
          <w:szCs w:val="15"/>
          <w:color w:val="auto"/>
        </w:rPr>
      </w:pPr>
    </w:p>
    <w:p>
      <w:pPr>
        <w:ind w:left="660" w:right="100" w:hanging="283"/>
        <w:spacing w:after="0" w:line="299"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technical, operational, environmental, social and governance risks of developing and deploying equipment to collect and ship polymetallic nodules at sea, and to process such nodules on land;</w:t>
      </w:r>
    </w:p>
    <w:p>
      <w:pPr>
        <w:spacing w:after="0" w:line="119" w:lineRule="exact"/>
        <w:rPr>
          <w:rFonts w:ascii="Arial" w:cs="Arial" w:eastAsia="Arial" w:hAnsi="Arial"/>
          <w:sz w:val="15"/>
          <w:szCs w:val="15"/>
          <w:color w:val="auto"/>
        </w:rPr>
      </w:pPr>
    </w:p>
    <w:p>
      <w:pPr>
        <w:ind w:left="660" w:right="80" w:hanging="282"/>
        <w:spacing w:after="0" w:line="299"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sources and timing of potential revenue as well as the timing and amount of estimated future production, costs of production, other expenses, capital expenditures and requirements for additional capital;</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cash flow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expected activities of our partners under our key strategic relationships;</w:t>
      </w:r>
    </w:p>
    <w:p>
      <w:pPr>
        <w:spacing w:after="0" w:line="193" w:lineRule="exact"/>
        <w:rPr>
          <w:rFonts w:ascii="Arial" w:cs="Arial" w:eastAsia="Arial" w:hAnsi="Arial"/>
          <w:sz w:val="15"/>
          <w:szCs w:val="15"/>
          <w:color w:val="auto"/>
        </w:rPr>
      </w:pPr>
    </w:p>
    <w:p>
      <w:pPr>
        <w:ind w:left="660" w:right="100" w:hanging="283"/>
        <w:spacing w:after="0" w:line="299"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sufficiency of our cash on hand to meet our working capital and capital expenditure requirements, the need for additional financing and our ability to continue as a going concern;</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raise financing in the future, the nature of any such financing and our plans with respect thereto;</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litigation to which we are a party;</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claims and limitations on insurance coverage;</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plans to mitigate our material weakness in our internal control over financial reporting;</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geological, metallurgical and geotechnical studies and opinions;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mineral resource estimates, and our ability to define and declare reserve estimates;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status as an emerging growth company, non-reporting Canadian issuer and passive foreign investment company (“PFIC”); and</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expected financial performance.</w:t>
      </w:r>
    </w:p>
    <w:p>
      <w:pPr>
        <w:spacing w:after="0" w:line="194" w:lineRule="exact"/>
        <w:rPr>
          <w:sz w:val="20"/>
          <w:szCs w:val="20"/>
          <w:color w:val="auto"/>
        </w:rPr>
      </w:pPr>
    </w:p>
    <w:p>
      <w:pPr>
        <w:jc w:val="both"/>
        <w:ind w:left="80" w:right="80" w:firstLine="275"/>
        <w:spacing w:after="0" w:line="280" w:lineRule="auto"/>
        <w:rPr>
          <w:sz w:val="20"/>
          <w:szCs w:val="20"/>
          <w:color w:val="auto"/>
        </w:rPr>
      </w:pPr>
      <w:r>
        <w:rPr>
          <w:rFonts w:ascii="Arial" w:cs="Arial" w:eastAsia="Arial" w:hAnsi="Arial"/>
          <w:sz w:val="14"/>
          <w:szCs w:val="14"/>
          <w:color w:val="auto"/>
        </w:rPr>
        <w:t>These forward-looking statements are based on information available as of the date of this Annual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 BUSINESS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Overview</w:t>
      </w:r>
    </w:p>
    <w:p>
      <w:pPr>
        <w:spacing w:after="0" w:line="196"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We are a deep-sea minerals exploration company focused on the collection, processing and refining of polymetallic nodules found on the seafloor in international waters of the Clarion Clipperton Zone (“CCZ”), approximately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w:t>
      </w:r>
    </w:p>
    <w:p>
      <w:pPr>
        <w:spacing w:after="0" w:line="145"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We believe these four metals contained in the polymetallic nodules are critical for energy infrastructure and industrial manufacturing. Our resource definition work to date shows that nodules in our contract areas represent the world’s largest estimated undeveloped resource of these critical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rising demand.</w:t>
      </w:r>
    </w:p>
    <w:p>
      <w:pPr>
        <w:spacing w:after="0" w:line="135" w:lineRule="exact"/>
        <w:rPr>
          <w:sz w:val="20"/>
          <w:szCs w:val="20"/>
          <w:color w:val="auto"/>
        </w:rPr>
      </w:pPr>
    </w:p>
    <w:p>
      <w:pPr>
        <w:jc w:val="both"/>
        <w:ind w:left="80" w:right="80" w:firstLine="276"/>
        <w:spacing w:after="0" w:line="280" w:lineRule="auto"/>
        <w:rPr>
          <w:sz w:val="20"/>
          <w:szCs w:val="20"/>
          <w:color w:val="auto"/>
        </w:rPr>
      </w:pPr>
      <w:r>
        <w:rPr>
          <w:rFonts w:ascii="Arial" w:cs="Arial" w:eastAsia="Arial" w:hAnsi="Arial"/>
          <w:sz w:val="14"/>
          <w:szCs w:val="14"/>
          <w:color w:val="auto"/>
        </w:rPr>
        <w:t>Exploration and exploitation of seabed minerals in international waters is regulated by the International Seabed Authority (“ISA”), an intergovernmental organization established pursuant to the 1994 Agreement Relating to the Implementation of UNCLOS. The ISA grants contracts to sovereign states or to private contractors who are sponsored by a sovereign state. The ISA requires that a contractor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two of the 17 polymetallic nodule contract areas in the CCZ through our subsidiaries Nauru Ocean Resources Inc. (“NORI”) and Tonga Offshore Mining Limited (“TOML”), sponsored by the Republic of Nauru (“Nauru”) and the Kingdom of Tonga (“Tonga”), respectively. We are also in the initial stages of considering the possibility of a U.S.-based regulatory pathway with the U.S. National Oceanic and Atmospheric Administration (“NOAA”) and the U.S. Department of Commerce under the U.S. Deep Seabed Hard Mineral Resources Act (“DSHMRA”) for the commercial production of deep-sea polymetallic nodules in the CCZ.</w:t>
      </w:r>
    </w:p>
    <w:p>
      <w:pPr>
        <w:spacing w:after="0" w:line="139"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We are still in the exploration phase and have not yet obtained any exploitation contracts from the ISA to commence commercial-scale polymetallic nodule collection in the CCZ. Additionally, we do not have the applicable environmental and/or other permits required to build and operate commercial-scale polymetallic nodule processing and refining plants on land.</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Polymetallic Nodules</w:t>
      </w:r>
    </w:p>
    <w:p>
      <w:pPr>
        <w:spacing w:after="0" w:line="196" w:lineRule="exact"/>
        <w:rPr>
          <w:sz w:val="20"/>
          <w:szCs w:val="20"/>
          <w:color w:val="auto"/>
        </w:rPr>
      </w:pPr>
    </w:p>
    <w:p>
      <w:pPr>
        <w:jc w:val="both"/>
        <w:ind w:left="80" w:right="100" w:firstLine="274"/>
        <w:spacing w:after="0" w:line="337" w:lineRule="auto"/>
        <w:rPr>
          <w:sz w:val="20"/>
          <w:szCs w:val="20"/>
          <w:color w:val="auto"/>
        </w:rPr>
      </w:pPr>
      <w:r>
        <w:rPr>
          <w:rFonts w:ascii="Arial" w:cs="Arial" w:eastAsia="Arial" w:hAnsi="Arial"/>
          <w:sz w:val="14"/>
          <w:szCs w:val="14"/>
          <w:color w:val="auto"/>
        </w:rPr>
        <w:t>Deep-sea polymetallic nodules form on and just below the sediment-covered seafloor of the abyssal plains. These nodules contain significant amounts of metals, and their unique characteristic compared to terrestrial deposits is the presence of the four critical metals, nickel, copper, cobalt and manganese, in one deposit.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pt"/>
            </w:pict>
          </mc:Fallback>
        </mc:AlternateContent>
      </w:r>
    </w:p>
    <w:p>
      <w:pPr>
        <w:sectPr>
          <w:pgSz w:w="13680" w:h="17280" w:orient="portrait"/>
          <w:cols w:equalWidth="0" w:num="1">
            <w:col w:w="10800"/>
          </w:cols>
          <w:pgMar w:left="1440" w:top="1440" w:right="1440"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90" w:type="dxa"/>
        <w:tblCellMar>
          <w:top w:w="0" w:type="dxa"/>
          <w:left w:w="0" w:type="dxa"/>
          <w:bottom w:w="0" w:type="dxa"/>
          <w:right w:w="0" w:type="dxa"/>
        </w:tblCellMar>
      </w:tblPr>
      <w:tr>
        <w:trPr>
          <w:trHeight w:val="211"/>
        </w:trPr>
        <w:tc>
          <w:tcPr>
            <w:tcW w:w="4960" w:type="dxa"/>
            <w:vAlign w:val="bottom"/>
          </w:tcPr>
          <w:p>
            <w:pPr>
              <w:spacing w:after="0"/>
              <w:rPr>
                <w:sz w:val="20"/>
                <w:szCs w:val="20"/>
                <w:color w:val="auto"/>
              </w:rPr>
            </w:pPr>
            <w:r>
              <w:rPr>
                <w:rFonts w:ascii="Arial" w:cs="Arial" w:eastAsia="Arial" w:hAnsi="Arial"/>
                <w:sz w:val="15"/>
                <w:szCs w:val="15"/>
                <w:b w:val="1"/>
                <w:bCs w:val="1"/>
                <w:color w:val="auto"/>
                <w:w w:val="97"/>
              </w:rPr>
              <w:t>Polymetallic nodules in the CCZ possess the following characteristics:</w:t>
            </w:r>
          </w:p>
        </w:tc>
        <w:tc>
          <w:tcPr>
            <w:tcW w:w="5680" w:type="dxa"/>
            <w:vAlign w:val="bottom"/>
          </w:tcPr>
          <w:p>
            <w:pPr>
              <w:spacing w:after="0"/>
              <w:rPr>
                <w:sz w:val="18"/>
                <w:szCs w:val="18"/>
                <w:color w:val="auto"/>
              </w:rPr>
            </w:pPr>
          </w:p>
        </w:tc>
      </w:tr>
      <w:tr>
        <w:trPr>
          <w:trHeight w:val="179"/>
        </w:trPr>
        <w:tc>
          <w:tcPr>
            <w:tcW w:w="496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tcPr>
          <w:p>
            <w:pPr>
              <w:spacing w:after="0"/>
              <w:rPr>
                <w:sz w:val="15"/>
                <w:szCs w:val="15"/>
                <w:color w:val="auto"/>
              </w:rPr>
            </w:pPr>
          </w:p>
        </w:tc>
      </w:tr>
      <w:tr>
        <w:trPr>
          <w:trHeight w:val="174"/>
        </w:trPr>
        <w:tc>
          <w:tcPr>
            <w:tcW w:w="496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5"/>
                <w:szCs w:val="15"/>
                <w:b w:val="1"/>
                <w:bCs w:val="1"/>
                <w:color w:val="auto"/>
              </w:rPr>
              <w:t>Characteristic</w:t>
            </w:r>
          </w:p>
        </w:tc>
        <w:tc>
          <w:tcPr>
            <w:tcW w:w="5680" w:type="dxa"/>
            <w:vAlign w:val="bottom"/>
            <w:tcBorders>
              <w:bottom w:val="single" w:sz="8" w:color="auto"/>
              <w:right w:val="single" w:sz="8" w:color="auto"/>
            </w:tcBorders>
          </w:tcPr>
          <w:p>
            <w:pPr>
              <w:ind w:left="2360"/>
              <w:spacing w:after="0"/>
              <w:rPr>
                <w:sz w:val="20"/>
                <w:szCs w:val="20"/>
                <w:color w:val="auto"/>
              </w:rPr>
            </w:pPr>
            <w:r>
              <w:rPr>
                <w:rFonts w:ascii="Arial" w:cs="Arial" w:eastAsia="Arial" w:hAnsi="Arial"/>
                <w:sz w:val="15"/>
                <w:szCs w:val="15"/>
                <w:b w:val="1"/>
                <w:bCs w:val="1"/>
                <w:color w:val="auto"/>
              </w:rPr>
              <w:t>What it means</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Far removed from human communities</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No need for social displacement</w:t>
            </w:r>
          </w:p>
        </w:tc>
      </w:tr>
      <w:tr>
        <w:trPr>
          <w:trHeight w:val="174"/>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No vegetation or other obstructions covering access to nodules</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No need to remove overburden, no rock cutting or blasting</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Unbound to the seafloor, 96% of nodule mass in the top 5 cm of seafloor</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No need for destructive rock cutting and excavation</w:t>
            </w:r>
          </w:p>
        </w:tc>
      </w:tr>
      <w:tr>
        <w:trPr>
          <w:trHeight w:val="174"/>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High grades of four critical metals in a single ore</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Less mass to process compared to land ores</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Low head-grade variability</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Potentially easy to process</w:t>
            </w:r>
          </w:p>
        </w:tc>
      </w:tr>
      <w:tr>
        <w:trPr>
          <w:trHeight w:val="174"/>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2-10 cm diameter</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Potentially easy to handle</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Microporous</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Potentially easy to smelt</w:t>
            </w:r>
          </w:p>
        </w:tc>
      </w:tr>
      <w:tr>
        <w:trPr>
          <w:trHeight w:val="153"/>
        </w:trPr>
        <w:tc>
          <w:tcPr>
            <w:tcW w:w="4960" w:type="dxa"/>
            <w:vAlign w:val="bottom"/>
            <w:tcBorders>
              <w:left w:val="single" w:sz="8" w:color="auto"/>
              <w:right w:val="single" w:sz="8" w:color="auto"/>
            </w:tcBorders>
            <w:shd w:val="clear" w:color="auto" w:fill="A29E9C"/>
          </w:tcPr>
          <w:p>
            <w:pPr>
              <w:ind w:left="20"/>
              <w:spacing w:after="0" w:line="153" w:lineRule="exact"/>
              <w:rPr>
                <w:sz w:val="20"/>
                <w:szCs w:val="20"/>
                <w:color w:val="auto"/>
              </w:rPr>
            </w:pPr>
            <w:r>
              <w:rPr>
                <w:rFonts w:ascii="Arial" w:cs="Arial" w:eastAsia="Arial" w:hAnsi="Arial"/>
                <w:sz w:val="15"/>
                <w:szCs w:val="15"/>
                <w:color w:val="auto"/>
              </w:rPr>
              <w:t>Very  low  concentrations  of  certain  hazardous  elements  like  arsenic,</w:t>
            </w:r>
          </w:p>
        </w:tc>
        <w:tc>
          <w:tcPr>
            <w:tcW w:w="5680" w:type="dxa"/>
            <w:vAlign w:val="bottom"/>
            <w:tcBorders>
              <w:right w:val="single" w:sz="8" w:color="auto"/>
            </w:tcBorders>
            <w:shd w:val="clear" w:color="auto" w:fill="A29E9C"/>
          </w:tcPr>
          <w:p>
            <w:pPr>
              <w:spacing w:after="0" w:line="153" w:lineRule="exact"/>
              <w:rPr>
                <w:sz w:val="20"/>
                <w:szCs w:val="20"/>
                <w:color w:val="auto"/>
              </w:rPr>
            </w:pPr>
            <w:r>
              <w:rPr>
                <w:rFonts w:ascii="Arial" w:cs="Arial" w:eastAsia="Arial" w:hAnsi="Arial"/>
                <w:sz w:val="15"/>
                <w:szCs w:val="15"/>
                <w:color w:val="auto"/>
                <w:w w:val="95"/>
              </w:rPr>
              <w:t>Potential to productize almost 100% of nodule mass and design a metallurgical flowsheet</w:t>
            </w:r>
          </w:p>
        </w:tc>
      </w:tr>
      <w:tr>
        <w:trPr>
          <w:trHeight w:val="205"/>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antimony and mercury</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that generates no tailings and leaves almost no solid waste streams behind</w:t>
            </w:r>
          </w:p>
        </w:tc>
      </w:tr>
    </w:tbl>
    <w:p>
      <w:pPr>
        <w:spacing w:after="0" w:line="162" w:lineRule="exact"/>
        <w:rPr>
          <w:sz w:val="20"/>
          <w:szCs w:val="20"/>
          <w:color w:val="auto"/>
        </w:rPr>
      </w:pPr>
    </w:p>
    <w:p>
      <w:pPr>
        <w:jc w:val="both"/>
        <w:ind w:left="80" w:right="80" w:firstLine="275"/>
        <w:spacing w:after="0" w:line="280" w:lineRule="auto"/>
        <w:rPr>
          <w:sz w:val="20"/>
          <w:szCs w:val="20"/>
          <w:color w:val="auto"/>
        </w:rPr>
      </w:pPr>
      <w:r>
        <w:rPr>
          <w:rFonts w:ascii="Arial" w:cs="Arial" w:eastAsia="Arial" w:hAnsi="Arial"/>
          <w:sz w:val="14"/>
          <w:szCs w:val="14"/>
          <w:color w:val="auto"/>
        </w:rPr>
        <w:t>The above characteristics of polymetallic nodules may provide an opportunity to compress lifecycle environmental and social impacts of producing the critical metals contained in nodules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the critical metals contained therein can help reduce several of these impacts associated with mining land ores. If our nodules are to be processed and refined in the United States (“U.S.”), we can also compress the current supply chain that some materials need to travel before reaching the U.S. from 50,000 miles down to 1,500 miles, while reducing dependency on China which dominates refining for critical metals such as nickel, cobalt and manganese.</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Market Opportunity</w:t>
      </w:r>
    </w:p>
    <w:p>
      <w:pPr>
        <w:spacing w:after="0" w:line="196"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Three of the four minerals contained in polymetallic nodules (nickel, copper and cobalt) are classified as critical in the world’s leading economies, meaning they are both essential to the country’s welfare and face considerable supply chain vulnerabilities. We also believe that manganese is critical for energy infrastructure and industrial manufacturing. Mining and, to a greater extent, processing of these metals are concentrated in or controlled by China. China is the largest producer of refined manganese, cobalt, and copper; while China is the second largest producer of refined nickel, it has substantial control of nickel processing in Indonesia, today’s leading global nickel supplier. An array of policies and agreements have been initiated in 2025 by the U.S. Government to combat critical mineral concentration including an executive order establishing a national energy emergency inclusive of mineral development and processing, plans to expedite mining and processing permitting, a variety of critical mineral agreements abroad, plans to locate metal refining on military bases, and an increase on tariffs for imported Chinese goods.</w:t>
      </w:r>
    </w:p>
    <w:p>
      <w:pPr>
        <w:spacing w:after="0" w:line="135"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Given the wide range of environmental and social impacts associated with conventional land-based mining, we believe it is important to ensure that these large amounts of critical metals contained in nodules are sourced with the lowest environmental, social, and economic impacts possible. As the global supply of high-grade ore remains limited and metal demand increases, we can expect a larger environmental and social footprint, potential supply shortages and volatility in metal prices should land ores remain the only viable source of the critical metals contained in nodules.</w:t>
      </w:r>
    </w:p>
    <w:p>
      <w:pPr>
        <w:spacing w:after="0" w:line="14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Industries which represent end-use segments that require the critical metals contained in nodules are of particular interest to us and represent potential market opportunities. Nodules contain metals that can be employed for: (i) infrastructure (nickel, cobalt and manganese alloys for steel, jet engines and turbines), copper cables and wiring for power generation and transmission, and electronics), (ii) energy storage (battery cathode precursors in the form of nickel, manganese and cobalt sulfates, or intermediary nickel-copper-cobalt matte, or nickel-copper-cobalt alloy) and copper cathode for wiring) and (iii) chemicals (cobalt and manganese catalysts for fuel refining, manganese sulfate for fertilizer). We believe the transition to more diversified supply chains for the critical metals contained in nodules, continued urbanization of developing economies and continued growth of energy systems and EVs will test the limits of the current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6">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pt"/>
            </w:pict>
          </mc:Fallback>
        </mc:AlternateContent>
      </w:r>
    </w:p>
    <w:p>
      <w:pPr>
        <w:sectPr>
          <w:pgSz w:w="13680" w:h="17280" w:orient="portrait"/>
          <w:cols w:equalWidth="0" w:num="1">
            <w:col w:w="10800"/>
          </w:cols>
          <w:pgMar w:left="1440" w:top="1440" w:right="1440"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80"/>
        <w:spacing w:after="0" w:line="289" w:lineRule="auto"/>
        <w:rPr>
          <w:sz w:val="20"/>
          <w:szCs w:val="20"/>
          <w:color w:val="auto"/>
        </w:rPr>
      </w:pPr>
      <w:r>
        <w:rPr>
          <w:rFonts w:ascii="Arial" w:cs="Arial" w:eastAsia="Arial" w:hAnsi="Arial"/>
          <w:sz w:val="14"/>
          <w:szCs w:val="14"/>
          <w:color w:val="auto"/>
        </w:rPr>
        <w:t xml:space="preserve">supply of certain metals. See the section entitled </w:t>
      </w:r>
      <w:r>
        <w:rPr>
          <w:rFonts w:ascii="Arial" w:cs="Arial" w:eastAsia="Arial" w:hAnsi="Arial"/>
          <w:sz w:val="14"/>
          <w:szCs w:val="14"/>
          <w:i w:val="1"/>
          <w:iCs w:val="1"/>
          <w:color w:val="auto"/>
        </w:rPr>
        <w:t>“Our Competitive Advantages”.</w:t>
      </w:r>
      <w:r>
        <w:rPr>
          <w:rFonts w:ascii="Arial" w:cs="Arial" w:eastAsia="Arial" w:hAnsi="Arial"/>
          <w:sz w:val="14"/>
          <w:szCs w:val="14"/>
          <w:color w:val="auto"/>
        </w:rPr>
        <w:t xml:space="preserve"> Manganese is used in nearly every steel manufactured process - there were 1.9 billion tonnes of steel manufactured in 2024. Both manganese and nickel are used in the manufacturing of stainless steel and high-performance specialty steels essential for maritime, aerospace and chemical uses. Steel demand is projected to rise 30% by 2050. Besides China, most regions particularly India, Africa and South-East Asia, will see an increase in demand. While end-uses driven by the energy transition represent a small fraction of the total use of the four metals contained in polymetallic nodules today, we believe that the relative use of these four metals by EVs and other energy transition systems is set to increase significantly over the next decades.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01"/>
        </w:trPr>
        <w:tc>
          <w:tcPr>
            <w:tcW w:w="1340" w:type="dxa"/>
            <w:vAlign w:val="bottom"/>
            <w:gridSpan w:val="2"/>
          </w:tcPr>
          <w:p>
            <w:pPr>
              <w:spacing w:after="0"/>
              <w:rPr>
                <w:sz w:val="20"/>
                <w:szCs w:val="20"/>
                <w:color w:val="auto"/>
              </w:rPr>
            </w:pPr>
            <w:r>
              <w:rPr>
                <w:rFonts w:ascii="Arial" w:cs="Arial" w:eastAsia="Arial" w:hAnsi="Arial"/>
                <w:sz w:val="15"/>
                <w:szCs w:val="15"/>
                <w:i w:val="1"/>
                <w:iCs w:val="1"/>
                <w:color w:val="auto"/>
              </w:rPr>
              <w:t>Metal</w:t>
            </w:r>
          </w:p>
        </w:tc>
        <w:tc>
          <w:tcPr>
            <w:tcW w:w="9300" w:type="dxa"/>
            <w:vAlign w:val="bottom"/>
          </w:tcPr>
          <w:p>
            <w:pPr>
              <w:spacing w:after="0"/>
              <w:rPr>
                <w:sz w:val="20"/>
                <w:szCs w:val="20"/>
                <w:color w:val="auto"/>
              </w:rPr>
            </w:pPr>
            <w:r>
              <w:rPr>
                <w:rFonts w:ascii="Arial" w:cs="Arial" w:eastAsia="Arial" w:hAnsi="Arial"/>
                <w:sz w:val="15"/>
                <w:szCs w:val="15"/>
                <w:i w:val="1"/>
                <w:iCs w:val="1"/>
                <w:color w:val="auto"/>
              </w:rPr>
              <w:t>Top end use segments</w:t>
            </w:r>
          </w:p>
        </w:tc>
      </w:tr>
      <w:tr>
        <w:trPr>
          <w:trHeight w:val="174"/>
        </w:trPr>
        <w:tc>
          <w:tcPr>
            <w:tcW w:w="20" w:type="dxa"/>
            <w:vAlign w:val="bottom"/>
          </w:tcPr>
          <w:p>
            <w:pPr>
              <w:spacing w:after="0"/>
              <w:rPr>
                <w:sz w:val="15"/>
                <w:szCs w:val="15"/>
                <w:color w:val="auto"/>
              </w:rPr>
            </w:pPr>
          </w:p>
        </w:tc>
        <w:tc>
          <w:tcPr>
            <w:tcW w:w="1320" w:type="dxa"/>
            <w:vAlign w:val="bottom"/>
            <w:tcBorders>
              <w:top w:val="single" w:sz="8" w:color="auto"/>
              <w:right w:val="single" w:sz="8" w:color="auto"/>
            </w:tcBorders>
          </w:tcPr>
          <w:p>
            <w:pPr>
              <w:spacing w:after="0" w:line="164" w:lineRule="exact"/>
              <w:rPr>
                <w:sz w:val="20"/>
                <w:szCs w:val="20"/>
                <w:color w:val="auto"/>
              </w:rPr>
            </w:pPr>
            <w:r>
              <w:rPr>
                <w:rFonts w:ascii="Arial" w:cs="Arial" w:eastAsia="Arial" w:hAnsi="Arial"/>
                <w:sz w:val="15"/>
                <w:szCs w:val="15"/>
                <w:i w:val="1"/>
                <w:iCs w:val="1"/>
                <w:color w:val="auto"/>
              </w:rPr>
              <w:t>Nickel</w:t>
            </w:r>
          </w:p>
        </w:tc>
        <w:tc>
          <w:tcPr>
            <w:tcW w:w="9300" w:type="dxa"/>
            <w:vAlign w:val="bottom"/>
            <w:tcBorders>
              <w:top w:val="single" w:sz="8" w:color="auto"/>
            </w:tcBorders>
            <w:shd w:val="clear" w:color="auto" w:fill="E6E6E6"/>
          </w:tcPr>
          <w:p>
            <w:pPr>
              <w:spacing w:after="0" w:line="164" w:lineRule="exact"/>
              <w:rPr>
                <w:sz w:val="20"/>
                <w:szCs w:val="20"/>
                <w:color w:val="auto"/>
              </w:rPr>
            </w:pPr>
            <w:r>
              <w:rPr>
                <w:rFonts w:ascii="Arial" w:cs="Arial" w:eastAsia="Arial" w:hAnsi="Arial"/>
                <w:sz w:val="15"/>
                <w:szCs w:val="15"/>
                <w:color w:val="auto"/>
              </w:rPr>
              <w:t>Stainless steel (64%), batteries (16%), aerospace &amp; superalloys (8%), electroplating (6%), other (6%)</w:t>
            </w:r>
          </w:p>
        </w:tc>
      </w:tr>
      <w:tr>
        <w:trPr>
          <w:trHeight w:val="164"/>
        </w:trPr>
        <w:tc>
          <w:tcPr>
            <w:tcW w:w="1340" w:type="dxa"/>
            <w:vAlign w:val="bottom"/>
            <w:tcBorders>
              <w:right w:val="single" w:sz="8" w:color="auto"/>
            </w:tcBorders>
            <w:gridSpan w:val="2"/>
          </w:tcPr>
          <w:p>
            <w:pPr>
              <w:spacing w:after="0" w:line="164" w:lineRule="exact"/>
              <w:rPr>
                <w:sz w:val="20"/>
                <w:szCs w:val="20"/>
                <w:color w:val="auto"/>
              </w:rPr>
            </w:pPr>
            <w:r>
              <w:rPr>
                <w:rFonts w:ascii="Arial" w:cs="Arial" w:eastAsia="Arial" w:hAnsi="Arial"/>
                <w:sz w:val="15"/>
                <w:szCs w:val="15"/>
                <w:i w:val="1"/>
                <w:iCs w:val="1"/>
                <w:color w:val="auto"/>
              </w:rPr>
              <w:t>Copper</w:t>
            </w:r>
          </w:p>
        </w:tc>
        <w:tc>
          <w:tcPr>
            <w:tcW w:w="9300" w:type="dxa"/>
            <w:vAlign w:val="bottom"/>
          </w:tcPr>
          <w:p>
            <w:pPr>
              <w:spacing w:after="0" w:line="164" w:lineRule="exact"/>
              <w:rPr>
                <w:sz w:val="20"/>
                <w:szCs w:val="20"/>
                <w:color w:val="auto"/>
              </w:rPr>
            </w:pPr>
            <w:r>
              <w:rPr>
                <w:rFonts w:ascii="Arial" w:cs="Arial" w:eastAsia="Arial" w:hAnsi="Arial"/>
                <w:sz w:val="15"/>
                <w:szCs w:val="15"/>
                <w:color w:val="auto"/>
                <w:w w:val="95"/>
              </w:rPr>
              <w:t>Construction (27%), utilities (17%), machinery (15%), consumer goods (12%), transport (11%), air conditioning and refrigeration (8%), other (10%).</w:t>
            </w:r>
          </w:p>
        </w:tc>
      </w:tr>
      <w:tr>
        <w:trPr>
          <w:trHeight w:val="202"/>
        </w:trPr>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5"/>
                <w:szCs w:val="15"/>
                <w:i w:val="1"/>
                <w:iCs w:val="1"/>
                <w:color w:val="auto"/>
              </w:rPr>
              <w:t>Cobalt</w:t>
            </w:r>
          </w:p>
        </w:tc>
        <w:tc>
          <w:tcPr>
            <w:tcW w:w="9300" w:type="dxa"/>
            <w:vAlign w:val="bottom"/>
            <w:shd w:val="clear" w:color="auto" w:fill="E6E6E6"/>
          </w:tcPr>
          <w:p>
            <w:pPr>
              <w:spacing w:after="0"/>
              <w:rPr>
                <w:sz w:val="20"/>
                <w:szCs w:val="20"/>
                <w:color w:val="auto"/>
              </w:rPr>
            </w:pPr>
            <w:r>
              <w:rPr>
                <w:rFonts w:ascii="Arial" w:cs="Arial" w:eastAsia="Arial" w:hAnsi="Arial"/>
                <w:sz w:val="15"/>
                <w:szCs w:val="15"/>
                <w:color w:val="auto"/>
                <w:w w:val="96"/>
              </w:rPr>
              <w:t>EV batteries (45%), portable device batteries (26%), superalloys (9%), hard metals (4%), catalysts (3%), pigments &amp; ceramics (3%), other (10%)</w:t>
            </w:r>
          </w:p>
        </w:tc>
      </w:tr>
      <w:tr>
        <w:trPr>
          <w:trHeight w:val="183"/>
        </w:trPr>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5"/>
                <w:szCs w:val="15"/>
                <w:i w:val="1"/>
                <w:iCs w:val="1"/>
                <w:color w:val="auto"/>
              </w:rPr>
              <w:t>Manganese</w:t>
            </w:r>
          </w:p>
        </w:tc>
        <w:tc>
          <w:tcPr>
            <w:tcW w:w="9300" w:type="dxa"/>
            <w:vAlign w:val="bottom"/>
          </w:tcPr>
          <w:p>
            <w:pPr>
              <w:spacing w:after="0"/>
              <w:rPr>
                <w:sz w:val="20"/>
                <w:szCs w:val="20"/>
                <w:color w:val="auto"/>
              </w:rPr>
            </w:pPr>
            <w:r>
              <w:rPr>
                <w:rFonts w:ascii="Arial" w:cs="Arial" w:eastAsia="Arial" w:hAnsi="Arial"/>
                <w:sz w:val="15"/>
                <w:szCs w:val="15"/>
                <w:color w:val="auto"/>
              </w:rPr>
              <w:t>Stainless steel (96%), batteries (3%), agricultural products (1%)</w:t>
            </w:r>
          </w:p>
        </w:tc>
      </w:tr>
    </w:tbl>
    <w:p>
      <w:pPr>
        <w:spacing w:after="0" w:line="162" w:lineRule="exact"/>
        <w:rPr>
          <w:sz w:val="20"/>
          <w:szCs w:val="20"/>
          <w:color w:val="auto"/>
        </w:rPr>
      </w:pPr>
    </w:p>
    <w:p>
      <w:pPr>
        <w:jc w:val="both"/>
        <w:ind w:left="80" w:right="100" w:firstLine="276"/>
        <w:spacing w:after="0" w:line="265" w:lineRule="auto"/>
        <w:rPr>
          <w:sz w:val="20"/>
          <w:szCs w:val="20"/>
          <w:color w:val="auto"/>
        </w:rPr>
      </w:pPr>
      <w:r>
        <w:rPr>
          <w:rFonts w:ascii="Arial" w:cs="Arial" w:eastAsia="Arial" w:hAnsi="Arial"/>
          <w:sz w:val="15"/>
          <w:szCs w:val="15"/>
          <w:color w:val="auto"/>
        </w:rPr>
        <w:t>The below charts published by the International Energy Agency show increasing global demand by end-use application for nickel, copper, cobalt and manganese, under the scenario that net zero emissions is achieved by 2050. The International Energy Agency provides global demand projections for 37 critical minerals needed for clean energy transitions across various target and technology scenarios. A 2024 study by the International Energy Agency shows that the production of energy transition minerals could increase by 300% by 2040 to meet the growing demand for low-carbon energy technologies required to keep global warming at 1.5°C with deficits in mined supply emerging for nickel, copper and cobalt before 2030.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Total demand outlook and mining requirements for Announced Pledges Scenario (APS) and Net Zero Emissions (NZE) by 2050:</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Nickel: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4091305</wp:posOffset>
                </wp:positionV>
                <wp:extent cx="676084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084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322.15pt" to="536.35pt,322.1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2828290</wp:posOffset>
                </wp:positionV>
                <wp:extent cx="676084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084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22.7pt" to="536.35pt,222.7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1390015</wp:posOffset>
                </wp:positionV>
                <wp:extent cx="676084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0845" cy="4763"/>
                        </a:xfrm>
                        <a:prstGeom prst="line">
                          <a:avLst/>
                        </a:prstGeom>
                        <a:solidFill>
                          <a:srgbClr val="FFFFFF"/>
                        </a:solidFill>
                        <a:ln w="7263">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09.45pt" to="536.35pt,109.45pt" o:allowincell="f" strokecolor="#000000" strokeweight="0.5719pt"/>
            </w:pict>
          </mc:Fallback>
        </mc:AlternateContent>
        <w:drawing>
          <wp:anchor simplePos="0" relativeHeight="251657728" behindDoc="1" locked="0" layoutInCell="0" allowOverlap="1">
            <wp:simplePos x="0" y="0"/>
            <wp:positionH relativeFrom="column">
              <wp:posOffset>51435</wp:posOffset>
            </wp:positionH>
            <wp:positionV relativeFrom="paragraph">
              <wp:posOffset>-100965</wp:posOffset>
            </wp:positionV>
            <wp:extent cx="6760845" cy="4197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extLst>
                    </a:blip>
                    <a:srcRect/>
                    <a:stretch>
                      <a:fillRect/>
                    </a:stretch>
                  </pic:blipFill>
                  <pic:spPr bwMode="auto">
                    <a:xfrm>
                      <a:off x="0" y="0"/>
                      <a:ext cx="6760845" cy="419735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-100965</wp:posOffset>
            </wp:positionV>
            <wp:extent cx="6760845" cy="4197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extLst>
                    </a:blip>
                    <a:srcRect/>
                    <a:stretch>
                      <a:fillRect/>
                    </a:stretch>
                  </pic:blipFill>
                  <pic:spPr bwMode="auto">
                    <a:xfrm>
                      <a:off x="0" y="0"/>
                      <a:ext cx="6760845" cy="419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Copper: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21590</wp:posOffset>
            </wp:positionV>
            <wp:extent cx="5554980" cy="1219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extLst>
                    </a:blip>
                    <a:srcRect/>
                    <a:stretch>
                      <a:fillRect/>
                    </a:stretch>
                  </pic:blipFill>
                  <pic:spPr bwMode="auto">
                    <a:xfrm>
                      <a:off x="0" y="0"/>
                      <a:ext cx="5554980" cy="121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Cobalt: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21590</wp:posOffset>
            </wp:positionV>
            <wp:extent cx="5402580" cy="1139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extLst>
                    </a:blip>
                    <a:srcRect/>
                    <a:stretch>
                      <a:fillRect/>
                    </a:stretch>
                  </pic:blipFill>
                  <pic:spPr bwMode="auto">
                    <a:xfrm>
                      <a:off x="0" y="0"/>
                      <a:ext cx="5402580" cy="113982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21590</wp:posOffset>
            </wp:positionV>
            <wp:extent cx="5402580" cy="1139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extLst>
                    </a:blip>
                    <a:srcRect/>
                    <a:stretch>
                      <a:fillRect/>
                    </a:stretch>
                  </pic:blipFill>
                  <pic:spPr bwMode="auto">
                    <a:xfrm>
                      <a:off x="0" y="0"/>
                      <a:ext cx="540258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Source: IEA Critical Minerals Outlook 2024 - IEA analysis based on 2024 U.S. Geological Survey commodity summary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Critical Metals and Global EV Market</w:t>
      </w:r>
    </w:p>
    <w:p>
      <w:pPr>
        <w:spacing w:after="0" w:line="192"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Battery chemistries that require metals contained in CCZ polymetallic nodules, nickel, cobalt and manganese, deliver high energy densities and are typically deployed in vehicles requiring long range (e.g., luxury and upmarket passenger cars) and power (trucks). In 2024, these battery chemistries accounted for 44% of overall battery manufacturing, which represented only a small portion of the overall use of nickel (~15% of nickel demand) and manganese (&lt;1% of manganese demand). In addition, while 2024 saw an uptick in iron-based cathodes (LFP) used in entry-level EVs, production and use of LFP for EVs are concentrated in China. With continued production by Korean, Japanese and European lithium-ion battery producers, nickel-based cathodes are forecasted to retain approximately 50% of overall market share in addition to capturing 85% of cell production capacity outside of China by 2030, with production increasingly pivoting towards high-nickel content longer term. We believe softer-than-expected demand and supply-side expansions have negatively impacted nickel prices, with current prices at their lowest level since 2020, battery nickel demand grew 27% year-on-year in 2024.</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205"/>
        </w:trPr>
        <w:tc>
          <w:tcPr>
            <w:tcW w:w="3860" w:type="dxa"/>
            <w:vAlign w:val="bottom"/>
          </w:tcPr>
          <w:p>
            <w:pPr>
              <w:spacing w:after="0"/>
              <w:rPr>
                <w:sz w:val="20"/>
                <w:szCs w:val="20"/>
                <w:color w:val="auto"/>
              </w:rPr>
            </w:pPr>
            <w:r>
              <w:rPr>
                <w:rFonts w:ascii="Arial" w:cs="Arial" w:eastAsia="Arial" w:hAnsi="Arial"/>
                <w:sz w:val="15"/>
                <w:szCs w:val="15"/>
                <w:color w:val="auto"/>
              </w:rPr>
              <w:t>Projected share of 2030 cathode pipeline</w:t>
            </w:r>
          </w:p>
        </w:tc>
        <w:tc>
          <w:tcPr>
            <w:tcW w:w="4680" w:type="dxa"/>
            <w:vAlign w:val="bottom"/>
          </w:tcPr>
          <w:p>
            <w:pPr>
              <w:ind w:left="1360"/>
              <w:spacing w:after="0"/>
              <w:rPr>
                <w:sz w:val="20"/>
                <w:szCs w:val="20"/>
                <w:color w:val="auto"/>
              </w:rPr>
            </w:pPr>
            <w:r>
              <w:rPr>
                <w:rFonts w:ascii="Arial" w:cs="Arial" w:eastAsia="Arial" w:hAnsi="Arial"/>
                <w:sz w:val="15"/>
                <w:szCs w:val="15"/>
                <w:color w:val="auto"/>
                <w:w w:val="92"/>
              </w:rPr>
              <w:t>2023 cathode product mix – major ex. China suppliers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-123190</wp:posOffset>
            </wp:positionV>
            <wp:extent cx="6760845" cy="1379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extLst>
                    </a:blip>
                    <a:srcRect/>
                    <a:stretch>
                      <a:fillRect/>
                    </a:stretch>
                  </pic:blipFill>
                  <pic:spPr bwMode="auto">
                    <a:xfrm>
                      <a:off x="0" y="0"/>
                      <a:ext cx="676084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15"/>
          <w:szCs w:val="15"/>
          <w:color w:val="auto"/>
        </w:rPr>
        <w:t>Source: Benchmark Mineral Intelligence Cobalt Market Report for Cobalt Institute at Cobalt Congress, New York City. 2024</w:t>
      </w:r>
    </w:p>
    <w:p>
      <w:pPr>
        <w:spacing w:after="0" w:line="194"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In addition, we believe an oversupply of nickel largely produced in Indonesia, slowed production of EVs and resulting inventory of EV batteries/cathodes drove down prices of nickel and cobalt in 2024. According to several analysts, these surpluses, however, could be temporary and we believe potential shortages in nickel and cobalt supply could return in the 2027/2028 timeframe, subject to developments in Indonesia and responses by the U.S. and the European Union where regulators could impose measures to differentiate between sources of metal based on the environmental and social impacts of these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102870</wp:posOffset>
            </wp:positionV>
            <wp:extent cx="4531360" cy="1793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extLst>
                    </a:blip>
                    <a:srcRect/>
                    <a:stretch>
                      <a:fillRect/>
                    </a:stretch>
                  </pic:blipFill>
                  <pic:spPr bwMode="auto">
                    <a:xfrm>
                      <a:off x="0" y="0"/>
                      <a:ext cx="4531360" cy="179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15"/>
          <w:szCs w:val="15"/>
          <w:color w:val="auto"/>
        </w:rPr>
        <w:t>Source: Benchmark Mineral Forecast presented at Benchmark Week 2023 on November 15 in Los Angeles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2570480</wp:posOffset>
            </wp:positionH>
            <wp:positionV relativeFrom="page">
              <wp:posOffset>1531620</wp:posOffset>
            </wp:positionV>
            <wp:extent cx="3543935" cy="2650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543935" cy="265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Based on 2023 data, the U.S. is the second largest consumer of battery nickel based on EV end-use.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150495</wp:posOffset>
            </wp:positionV>
            <wp:extent cx="4603750" cy="2134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extLst>
                    </a:blip>
                    <a:srcRect/>
                    <a:stretch>
                      <a:fillRect/>
                    </a:stretch>
                  </pic:blipFill>
                  <pic:spPr bwMode="auto">
                    <a:xfrm>
                      <a:off x="0" y="0"/>
                      <a:ext cx="4603750" cy="2134870"/>
                    </a:xfrm>
                    <a:prstGeom prst="rect">
                      <a:avLst/>
                    </a:prstGeom>
                    <a:noFill/>
                  </pic:spPr>
                </pic:pic>
              </a:graphicData>
            </a:graphic>
          </wp:anchor>
        </w:drawing>
      </w:r>
    </w:p>
    <w:p>
      <w:pPr>
        <w:sectPr>
          <w:pgSz w:w="13680" w:h="17280" w:orient="portrait"/>
          <w:cols w:equalWidth="0" w:num="1">
            <w:col w:w="1080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325120</wp:posOffset>
                </wp:positionV>
                <wp:extent cx="675322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6pt" to="535.75pt,25.6pt" o:allowincell="f" strokecolor="#000000" strokeweight="1.1439pt"/>
            </w:pict>
          </mc:Fallback>
        </mc:AlternateContent>
      </w:r>
    </w:p>
    <w:p>
      <w:pPr>
        <w:sectPr>
          <w:pgSz w:w="13680" w:h="17280" w:orient="portrait"/>
          <w:cols w:equalWidth="0" w:num="1">
            <w:col w:w="10800"/>
          </w:cols>
          <w:pgMar w:left="1440" w:top="1440" w:right="1440"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While the Trump Administration has rescinded EV mandates and suspended EV-related incentives under the Inflation Reduction Act of 2022 (the “IRA”), 92% of the $110 billion in EV value chain investments has been deployed in Republican states and the continuation of technical and supply chain leadership for batteries is recognized as central to broader energy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100330</wp:posOffset>
            </wp:positionV>
            <wp:extent cx="2077085" cy="1553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a:extLst>
                        <a:ext uri="{28A0092B-C50C-407E-A947-70E740481C1C}"/>
                      </a:extLst>
                    </a:blip>
                    <a:srcRect/>
                    <a:stretch>
                      <a:fillRect/>
                    </a:stretch>
                  </pic:blipFill>
                  <pic:spPr bwMode="auto">
                    <a:xfrm>
                      <a:off x="0" y="0"/>
                      <a:ext cx="2077085" cy="1553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Increased Interest in Nodules from the United States</w:t>
      </w:r>
    </w:p>
    <w:p>
      <w:pPr>
        <w:spacing w:after="0" w:line="192"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 xml:space="preserve">The U.S. Congress made several signals supporting the collection and processing of polymetallic nodules in 2024. In March 2024, members of the House of Representatives introduced H.R. 7636, the </w:t>
      </w:r>
      <w:r>
        <w:rPr>
          <w:rFonts w:ascii="Arial" w:cs="Arial" w:eastAsia="Arial" w:hAnsi="Arial"/>
          <w:sz w:val="15"/>
          <w:szCs w:val="15"/>
          <w:i w:val="1"/>
          <w:iCs w:val="1"/>
          <w:color w:val="auto"/>
        </w:rPr>
        <w:t>Responsible Use of Seafloor Resources Act of 2024</w:t>
      </w:r>
      <w:r>
        <w:rPr>
          <w:rFonts w:ascii="Arial" w:cs="Arial" w:eastAsia="Arial" w:hAnsi="Arial"/>
          <w:sz w:val="15"/>
          <w:szCs w:val="15"/>
          <w:color w:val="auto"/>
        </w:rPr>
        <w:t xml:space="preserve"> which calls for political and financial support for domestic nodule collection and processing capacity, now with seven bill sponsors. The legislation was endorsed by the National Ocean Industries Association, the Breakthrough Institute, the Critical Ocean Minerals Research Center and industry players. In December 2024, the U.S. Congress passed the 2025 National Defense Authorization Act (NDAA) which directs the Secretary of Defense, in coordination with the Assistant Secretary of Defense for Industrial Base Policy, to complete a “Feasibility study of domestic refining of deep-sea critical mineral intermediates” within calendar year 2025. Our U.S. subsidiary’s application to the Defense Production Act Title III program for support with a site-specific feasibility study for its planned nodule-intermediate refinery remains active with the Department of Defense. The report from the Assistant Secretary of Defense for Industrial Base Policy to the House Armed Services Committee (the “HASC”) prescribed in the fiscal year 2024 NDAA “Critical and Strategic Minerals and Materials Sourcing from Seafloor Resources” has yet to be made publicly available.</w:t>
      </w:r>
    </w:p>
    <w:p>
      <w:pPr>
        <w:spacing w:after="0" w:line="149"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Environmental Opportunity</w:t>
      </w:r>
    </w:p>
    <w:p>
      <w:pPr>
        <w:spacing w:after="0" w:line="124"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All nickel, copper, cobalt and manganese today are produced from land ores or recycled metal stock. Existing metal stocks available for recycling are insufficient to meet current demand. Even with high end-of-life product recycling rates, most of the new demand over the coming decades will have to be met by new mining. We believe the land-based mining sector is fundamentally challenged: ore grades are falling, production is moving to some of the more biodiverse and conflict-prone regions in the world,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a real challenge on seismically active and wet tropical islands in countries like Indonesia that accounts for most of the growth in nickel supply.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6pt"/>
            </w:pict>
          </mc:Fallback>
        </mc:AlternateContent>
      </w:r>
    </w:p>
    <w:p>
      <w:pPr>
        <w:sectPr>
          <w:pgSz w:w="13680" w:h="17280" w:orient="portrait"/>
          <w:cols w:equalWidth="0" w:num="1">
            <w:col w:w="10800"/>
          </w:cols>
          <w:pgMar w:left="1440" w:top="1440" w:right="1440"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80" w:firstLine="274"/>
        <w:spacing w:after="0" w:line="288" w:lineRule="auto"/>
        <w:rPr>
          <w:sz w:val="20"/>
          <w:szCs w:val="20"/>
          <w:color w:val="auto"/>
        </w:rPr>
      </w:pPr>
      <w:r>
        <w:rPr>
          <w:rFonts w:ascii="Arial" w:cs="Arial" w:eastAsia="Arial" w:hAnsi="Arial"/>
          <w:sz w:val="14"/>
          <w:szCs w:val="14"/>
          <w:color w:val="auto"/>
        </w:rPr>
        <w:t>As a result of a vigorous campaign by several non-governmental organizations, some participants in the EV supply chain have called for a general moratorium on all forms of deep seabed mining until there is more knowledge about marine impacts of nodule collection operations. While our Environmental and Social Impact Assessment (“ESIA”) and Cultural Heritage Impact Assessment (“CHIA”) for offshore nodule collection segment of the NORI Area D project is still ongoing, based on already completed research into lifecycle impacts of critical metal production specifically from deep-sea polymetallic nodules, we identified how nodules can potentially provide an opportunity to significantly compress most lifecycle ESG impacts associated with conventional metal production from land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97155</wp:posOffset>
            </wp:positionV>
            <wp:extent cx="4603750" cy="2781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a:extLst>
                        <a:ext uri="{28A0092B-C50C-407E-A947-70E740481C1C}"/>
                      </a:extLst>
                    </a:blip>
                    <a:srcRect/>
                    <a:stretch>
                      <a:fillRect/>
                    </a:stretch>
                  </pic:blipFill>
                  <pic:spPr bwMode="auto">
                    <a:xfrm>
                      <a:off x="0" y="0"/>
                      <a:ext cx="4603750" cy="278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80" w:right="80" w:firstLine="275"/>
        <w:spacing w:after="0" w:line="301" w:lineRule="auto"/>
        <w:rPr>
          <w:sz w:val="20"/>
          <w:szCs w:val="20"/>
          <w:color w:val="auto"/>
        </w:rPr>
      </w:pPr>
      <w:r>
        <w:rPr>
          <w:rFonts w:ascii="Arial" w:cs="Arial" w:eastAsia="Arial" w:hAnsi="Arial"/>
          <w:sz w:val="13"/>
          <w:szCs w:val="13"/>
          <w:color w:val="auto"/>
        </w:rPr>
        <w:t>To quantify environmental footprints of metal production from nodules as compared to conventional land ores, we commissioned several lifecycle assessments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independent LCA compliant with the International Organization for Standardization Standard 14040 on our NORI Area D project was conducted by Benchmark Minerals Intelligence (“Benchmark”) and released in March 2023. Based on these LCA assessments that we commissioned, we believe that we are positioned to become one of the lowest ESG footprint metal companies in the industry. The March 2023 LCA by Benchmark shows that the NORI Area D project model performed better in each impact category analyzed than all the land-based processing routes chosen for comparison, except for the global warming potential (“GWP”) and water consumption of producing cobalt sulfate, in which one land-based route performed better. While most of these reductions are attributable to the unique characteristics of the polymetallic nodule resource as described above, the elimination of solid processing waste streams onshore is due to our investment in a near-zero-waste flowsheet design and part of the low carbon emissions are due to our strong preference to locate onshore processing facilities in places with access to low-carbon power.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2040255</wp:posOffset>
            </wp:positionH>
            <wp:positionV relativeFrom="page">
              <wp:posOffset>1647825</wp:posOffset>
            </wp:positionV>
            <wp:extent cx="4603750" cy="255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60375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Benchmark modeled the land-based processing routes with background ecoinvent data and foreground data from two expert chemical engineers in the nickel and cobalt industry. The NORI Area D Project data is based on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included in this Annual Report for additional information about the 2021 economic analysis of NORI Area D.</w:t>
      </w:r>
    </w:p>
    <w:p>
      <w:pPr>
        <w:spacing w:after="0" w:line="145"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As part of the ESIA conducted by NORI in partnership with world leading deep-sea research institutions and contractors, we are currently assessing the impacts of the NORI Area D Project on marine ecosystem function and services, including biodiversity. The CCZ abyssal plains are one of the most common and least populated habitats on the planet, akin to deserts on land. The CCZ abyssal seafloor is plant-free, food-poor and dominated by bacterial life forms. It has been studied extensively since the 1960s with over 150,000 papers published on polymetallic nodules in general and over 40,000 on CCZ nodules in particular.</w:t>
      </w:r>
    </w:p>
    <w:p>
      <w:pPr>
        <w:spacing w:after="0" w:line="126" w:lineRule="exact"/>
        <w:rPr>
          <w:sz w:val="20"/>
          <w:szCs w:val="20"/>
          <w:color w:val="auto"/>
        </w:rPr>
      </w:pPr>
    </w:p>
    <w:p>
      <w:pPr>
        <w:jc w:val="both"/>
        <w:ind w:left="80" w:right="80" w:firstLine="274"/>
        <w:spacing w:after="0" w:line="234" w:lineRule="auto"/>
        <w:rPr>
          <w:sz w:val="20"/>
          <w:szCs w:val="20"/>
          <w:color w:val="auto"/>
        </w:rPr>
      </w:pPr>
      <w:r>
        <w:rPr>
          <w:rFonts w:ascii="Arial" w:cs="Arial" w:eastAsia="Arial" w:hAnsi="Arial"/>
          <w:sz w:val="15"/>
          <w:szCs w:val="15"/>
          <w:color w:val="auto"/>
        </w:rPr>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of habitat, is easier to measure and compare. Based on available data we have reviewed, we believe that the CCZ is one of lowest biomass locations on the planet. Metal production from nodules could reduce biomass at risk by over 90% compared to producing the same amount of metals from conventional land ores.</w:t>
      </w:r>
    </w:p>
    <w:p>
      <w:pPr>
        <w:spacing w:after="0" w:line="164" w:lineRule="exact"/>
        <w:rPr>
          <w:sz w:val="20"/>
          <w:szCs w:val="20"/>
          <w:color w:val="auto"/>
        </w:rPr>
      </w:pPr>
    </w:p>
    <w:p>
      <w:pPr>
        <w:jc w:val="both"/>
        <w:ind w:left="80" w:right="80" w:firstLine="275"/>
        <w:spacing w:after="0" w:line="253" w:lineRule="auto"/>
        <w:rPr>
          <w:sz w:val="20"/>
          <w:szCs w:val="20"/>
          <w:color w:val="auto"/>
        </w:rPr>
      </w:pPr>
      <w:r>
        <w:rPr>
          <w:rFonts w:ascii="Arial" w:cs="Arial" w:eastAsia="Arial" w:hAnsi="Arial"/>
          <w:sz w:val="14"/>
          <w:szCs w:val="14"/>
          <w:color w:val="auto"/>
        </w:rPr>
        <w:t>In contrast, land-based mining for nickel and cobalt occurs in diverse countries as identified by Benchmark in a study commissioned by us and published in November 2023. In both Indonesia and the Democratic Republic of the Congo (the “DRC”), which are the world’s largest producers of nickel and cobalt respectively, the extraction of metal ores through open pit mines requires the complete removal of overlying ecosystems and contained carbon sinks, in turn eliminating the carbon sequestration. The study found that 1 kilogram of nickel mined from saprolite and limonite ore in Sulawesi, Indonesia removes forests containing carbon stock equivalent to 7.0 and 9.4 kilograms of CO</w:t>
      </w:r>
      <w:r>
        <w:rPr>
          <w:rFonts w:ascii="Arial" w:cs="Arial" w:eastAsia="Arial" w:hAnsi="Arial"/>
          <w:sz w:val="20"/>
          <w:szCs w:val="20"/>
          <w:color w:val="auto"/>
          <w:vertAlign w:val="subscript"/>
        </w:rPr>
        <w:t>2</w:t>
      </w:r>
      <w:r>
        <w:rPr>
          <w:rFonts w:ascii="Arial" w:cs="Arial" w:eastAsia="Arial" w:hAnsi="Arial"/>
          <w:sz w:val="14"/>
          <w:szCs w:val="14"/>
          <w:color w:val="auto"/>
        </w:rPr>
        <w:t>e, and 3.6 kilograms of CO</w:t>
      </w:r>
      <w:r>
        <w:rPr>
          <w:rFonts w:ascii="Arial" w:cs="Arial" w:eastAsia="Arial" w:hAnsi="Arial"/>
          <w:sz w:val="20"/>
          <w:szCs w:val="20"/>
          <w:color w:val="auto"/>
          <w:vertAlign w:val="subscript"/>
        </w:rPr>
        <w:t>2</w:t>
      </w:r>
      <w:r>
        <w:rPr>
          <w:rFonts w:ascii="Arial" w:cs="Arial" w:eastAsia="Arial" w:hAnsi="Arial"/>
          <w:sz w:val="14"/>
          <w:szCs w:val="14"/>
          <w:color w:val="auto"/>
        </w:rPr>
        <w:t>e in the case of cobalt mined in Katanga, DRC. Due to the resulting vegetation change, mining activities cause carbon sequestration services loss of 4.8 grams and 6.5 grams of CO</w:t>
      </w:r>
      <w:r>
        <w:rPr>
          <w:rFonts w:ascii="Arial" w:cs="Arial" w:eastAsia="Arial" w:hAnsi="Arial"/>
          <w:sz w:val="20"/>
          <w:szCs w:val="20"/>
          <w:color w:val="auto"/>
          <w:vertAlign w:val="subscript"/>
        </w:rPr>
        <w:t>2</w:t>
      </w:r>
      <w:r>
        <w:rPr>
          <w:rFonts w:ascii="Arial" w:cs="Arial" w:eastAsia="Arial" w:hAnsi="Arial"/>
          <w:sz w:val="14"/>
          <w:szCs w:val="14"/>
          <w:color w:val="auto"/>
        </w:rPr>
        <w:t>e respectively for nickel, and 9.3 grams of CO</w:t>
      </w:r>
      <w:r>
        <w:rPr>
          <w:rFonts w:ascii="Arial" w:cs="Arial" w:eastAsia="Arial" w:hAnsi="Arial"/>
          <w:sz w:val="20"/>
          <w:szCs w:val="20"/>
          <w:color w:val="auto"/>
          <w:vertAlign w:val="subscript"/>
        </w:rPr>
        <w:t>2</w:t>
      </w:r>
      <w:r>
        <w:rPr>
          <w:rFonts w:ascii="Arial" w:cs="Arial" w:eastAsia="Arial" w:hAnsi="Arial"/>
          <w:sz w:val="14"/>
          <w:szCs w:val="14"/>
          <w:color w:val="auto"/>
        </w:rPr>
        <w:t>e for cobalt per year.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2040255</wp:posOffset>
            </wp:positionH>
            <wp:positionV relativeFrom="page">
              <wp:posOffset>1647825</wp:posOffset>
            </wp:positionV>
            <wp:extent cx="4603750" cy="40303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603750"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80" w:right="80" w:firstLine="275"/>
        <w:spacing w:after="0" w:line="262" w:lineRule="auto"/>
        <w:rPr>
          <w:sz w:val="20"/>
          <w:szCs w:val="20"/>
          <w:color w:val="auto"/>
        </w:rPr>
      </w:pPr>
      <w:r>
        <w:rPr>
          <w:rFonts w:ascii="Arial" w:cs="Arial" w:eastAsia="Arial" w:hAnsi="Arial"/>
          <w:sz w:val="15"/>
          <w:szCs w:val="15"/>
          <w:color w:val="auto"/>
        </w:rPr>
        <w:t>As a precautionary environmental management and protection measure, the ISA has already set aside 43% of the CCZ or 1.97 million square kilometers as protected areas, or Areas of Particular Environmental Interest (APEIs), aiming to ensure that all types of habitats that could be impacted by exploitation are represented and preserved within APEIs. For comparison, only approximately 8.2%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If the entire CCZ area currently under exploration (1.28 million square kilometers) were to be exploited over a 30-year period (which we believe is unlikely), these nodule collection operations would impact 42,500 square kilometers of the abyssal seafloor per year in one of the least productive areas of the ocean (with respect to the abundance of marine life). This is less than 1% of the estimated 4,900,000 square kilometers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102870</wp:posOffset>
            </wp:positionV>
            <wp:extent cx="4603750" cy="2984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a:extLst>
                        <a:ext uri="{28A0092B-C50C-407E-A947-70E740481C1C}"/>
                      </a:extLst>
                    </a:blip>
                    <a:srcRect/>
                    <a:stretch>
                      <a:fillRect/>
                    </a:stretch>
                  </pic:blipFill>
                  <pic:spPr bwMode="auto">
                    <a:xfrm>
                      <a:off x="0" y="0"/>
                      <a:ext cx="460375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80" w:right="80" w:firstLine="275"/>
        <w:spacing w:after="0" w:line="280" w:lineRule="auto"/>
        <w:rPr>
          <w:sz w:val="20"/>
          <w:szCs w:val="20"/>
          <w:color w:val="auto"/>
        </w:rPr>
      </w:pPr>
      <w:r>
        <w:rPr>
          <w:rFonts w:ascii="Arial" w:cs="Arial" w:eastAsia="Arial" w:hAnsi="Arial"/>
          <w:sz w:val="14"/>
          <w:szCs w:val="14"/>
          <w:color w:val="auto"/>
        </w:rPr>
        <w:t>Potential future commercial-scale nodule collection operations in the CCZ are likely to disturb marine wildlife in the operating area. We have completed studies baselining wildlife and ecosystem function, piloting the nodule collection system and assessing impacts arising from the use of this system immediately following the collector test and 12 months after the collector test. In total, almost 1 petabyte of environmental data has been collected and processed. For comparison, the world’s largest library, the Library of Congress, manages 21 petabytes of digital content. Assessment of impacts based on collected data is currently in progress. Given the significant volume of deep water and the difficulty of sampling or retrieving biological specimens in the CCZ, a complete biological inventory might never be established. Accordingly, impacts on CCZ biodiversity may never be entirely and definitively known. However, we believe similar challenges are faced on land, with an estimated 70-80% of terrestrial species still undescribed. Although we continue to review the data collected to date, we may not know the actual impact of commercial nodule collection on the deep-sea environment until after full-scale commercial production. We currently believe, however, that as the abyssal plains are the most ubiquitous habitat on the planet with low levels of biodiversity compared to the main metal-producing areas on land, it is likely that the impacts of nodule collection on global biodiversity will be less significant than those estimated for land-based mining for a similar amount of produced metal.</w:t>
      </w:r>
    </w:p>
    <w:p>
      <w:pPr>
        <w:spacing w:after="0" w:line="135"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Some uncertainty still exists around the recovery rate of fauna that requires the hard substrate of nodules for critical life function. Recent research suggests that carbon (food) availability is likely to be a more significant limiting factor to the ecosystem’s capacity to support nodule obligate fauna populations than hard-substrate habitat availability.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80"/>
        <w:spacing w:after="0" w:line="294" w:lineRule="auto"/>
        <w:rPr>
          <w:sz w:val="20"/>
          <w:szCs w:val="20"/>
          <w:color w:val="auto"/>
        </w:rPr>
      </w:pPr>
      <w:r>
        <w:rPr>
          <w:rFonts w:ascii="Arial" w:cs="Arial" w:eastAsia="Arial" w:hAnsi="Arial"/>
          <w:sz w:val="14"/>
          <w:szCs w:val="14"/>
          <w:color w:val="auto"/>
        </w:rPr>
        <w:t>Therefore, we believe strategies such as leaving behind partial nodule cover and setting aside no-take areas to aid recruitment and recovery of nodule-dependent species in impacted areas look to be promising mitigation strategies. For example, recent research by NORI indicates that sediment-covered nodules left behind after collection activities ceased were exposed and became available as a source of hard-substrate habitat within 12 months. The effectiveness of these strategies in supporting self-sustaining populations of nodule-obligate fauna after nodule collection will be the focus of long-term monitoring studies in the future.</w:t>
      </w:r>
    </w:p>
    <w:p>
      <w:pPr>
        <w:spacing w:after="0" w:line="126"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We are still in the exploration phase of the project and do not have the exploitation contracts necessary to commence commercial-scale nodule collection operations in the CCZ nor have we obtained the applicable environmental and other permits required to build and operate commercial scale polymetallic nodule processing and refining plants on land.</w:t>
      </w:r>
    </w:p>
    <w:p>
      <w:pPr>
        <w:spacing w:after="0" w:line="137" w:lineRule="exact"/>
        <w:rPr>
          <w:sz w:val="20"/>
          <w:szCs w:val="20"/>
          <w:color w:val="auto"/>
        </w:rPr>
      </w:pPr>
    </w:p>
    <w:p>
      <w:pPr>
        <w:jc w:val="both"/>
        <w:ind w:left="80" w:right="80" w:firstLine="275"/>
        <w:spacing w:after="0" w:line="275" w:lineRule="auto"/>
        <w:rPr>
          <w:sz w:val="20"/>
          <w:szCs w:val="20"/>
          <w:color w:val="auto"/>
        </w:rPr>
      </w:pPr>
      <w:r>
        <w:rPr>
          <w:rFonts w:ascii="Arial" w:cs="Arial" w:eastAsia="Arial" w:hAnsi="Arial"/>
          <w:sz w:val="14"/>
          <w:szCs w:val="14"/>
          <w:color w:val="auto"/>
        </w:rPr>
        <w:t>All extractive industries result in impacts to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is the central focus of our offshore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areas set aside by us and (2) the extent to which residual nodule cover will aid recruitment and recovery of these species in impacted areas. Disturbance of the seafloor by nodule collector vehicles is expected to disturb (mostly microbial) organisms living in and on the sediments. Impact severity will depend on the depth of sediment disturbance (expected to be approximately 3-5 centimeters based on modelling, laboratory tests, and recent collector tests completed in the CCZ by our subsidiary NORI and two other nodule contract-holders, Belgium’s Global Sea Mineral Resources NV (GSR) and the German’s BGR) and the impact this disturbance has on benthic ecosystem function. Over 90% of the entrained sediment is expected to be separated from nodules inside the collector vehicle and discharged behind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are dewatered and residual water, sediment and nodules fines will be returned at greater than 2,000 meters in the water column below the highly productive photic zone and the measured lower limit of diel vertical migration of zooplankton in the pelagic zone. Potential impacts from the mid-water sediment plume could include clogging of the delicate respiratory and filter feeding structures of pelagic zooplankton species, such as jellyfish and krill. However, the mid-water discharge has been shown by the collector test to have very low solid particle concentration and to dilute to close to background levels within minutes.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We believe this finding is supported by the monitoring results of the collector test completed by NORI in 2022. Another research paper on seafloor sediment plumes published by MIT and the Scripps Institution of Oceanography in September 2022 found that 92-98% of benthic plume generated from the pilot nodule collector vehicle rose only two meters above the seafloor and settled locally within 10s to 100s of meters from the source of the disturbance, another result that was confirmed by the results of the collector test completed by NORI in 2022 on the NORI Area D property.</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Our Strategic Positioning</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believe we are well-positioned to meet the expected demand for the critical metals contained in polymetallic nodules:</w:t>
      </w:r>
    </w:p>
    <w:p>
      <w:pPr>
        <w:spacing w:after="0" w:line="191" w:lineRule="exact"/>
        <w:rPr>
          <w:sz w:val="20"/>
          <w:szCs w:val="20"/>
          <w:color w:val="auto"/>
        </w:rPr>
      </w:pPr>
    </w:p>
    <w:p>
      <w:pPr>
        <w:jc w:val="both"/>
        <w:ind w:left="660" w:right="80" w:hanging="282"/>
        <w:spacing w:after="0" w:line="286"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Supply for increasing infrastructure demand: </w:t>
      </w:r>
      <w:r>
        <w:rPr>
          <w:rFonts w:ascii="Arial" w:cs="Arial" w:eastAsia="Arial" w:hAnsi="Arial"/>
          <w:sz w:val="14"/>
          <w:szCs w:val="14"/>
          <w:color w:val="auto"/>
        </w:rPr>
        <w:t>As emerging economies grow and urbanize, steel demand is projected to rise 30% by 2050 and electricity demand</w:t>
      </w:r>
      <w:r>
        <w:rPr>
          <w:rFonts w:ascii="Arial" w:cs="Arial" w:eastAsia="Arial" w:hAnsi="Arial"/>
          <w:sz w:val="14"/>
          <w:szCs w:val="14"/>
          <w:b w:val="1"/>
          <w:bCs w:val="1"/>
          <w:color w:val="auto"/>
        </w:rPr>
        <w:t xml:space="preserve"> </w:t>
      </w:r>
      <w:r>
        <w:rPr>
          <w:rFonts w:ascii="Arial" w:cs="Arial" w:eastAsia="Arial" w:hAnsi="Arial"/>
          <w:sz w:val="14"/>
          <w:szCs w:val="14"/>
          <w:color w:val="auto"/>
        </w:rPr>
        <w:t>is projected to accelerate worldwide by 3% per year through 2035. Critical base metals like nickel, copper and manganese will be required to meet rising demand for steel and electrical grids. While the copper market was volatile in 2024, demand is expected to double by 2035, potentially reaching 40-50 million tonnes and resulting in a 2-10 million tonne supply deficit. This oncoming wave of demand is anticipated to bring price premiums for low-carbon steel, particularly in light of Europe’s carbon border adjustment mechanism which requires buyers to purchase certificates to cover the embedded emissions of their steel imports beginning in 2026. Our lower carbon emissions footprint per finished tonne of nickel may improve our business prospects further.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60" w:right="80" w:hanging="283"/>
        <w:spacing w:after="0" w:line="266"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Supply for increasing battery demand: </w:t>
      </w:r>
      <w:r>
        <w:rPr>
          <w:rFonts w:ascii="Arial" w:cs="Arial" w:eastAsia="Arial" w:hAnsi="Arial"/>
          <w:sz w:val="15"/>
          <w:szCs w:val="15"/>
          <w:color w:val="auto"/>
        </w:rPr>
        <w:t>We believe the response to climate change is driving robust demand for EVs, renewable energy storage and infrastructure.</w:t>
      </w:r>
      <w:r>
        <w:rPr>
          <w:rFonts w:ascii="Arial" w:cs="Arial" w:eastAsia="Arial" w:hAnsi="Arial"/>
          <w:sz w:val="15"/>
          <w:szCs w:val="15"/>
          <w:b w:val="1"/>
          <w:bCs w:val="1"/>
          <w:color w:val="auto"/>
        </w:rPr>
        <w:t xml:space="preserve"> </w:t>
      </w:r>
      <w:r>
        <w:rPr>
          <w:rFonts w:ascii="Arial" w:cs="Arial" w:eastAsia="Arial" w:hAnsi="Arial"/>
          <w:sz w:val="15"/>
          <w:szCs w:val="15"/>
          <w:color w:val="auto"/>
        </w:rPr>
        <w:t>To manufacture battery cells, gigafactories will need critical metals like nickel, cobalt, manganese, and copper to meet rising battery demand. Globally, the number of signatories to the Zero Emission Vehicle declaration announced at COP29 in November 2024 increased to 236, which is aimed at accelerating the transition to 100% new car sales being zero-emission globally by 2040, and by 2035 in leading markets. The U.S. government invested $ 110 billion in battery value chain projects since the IRA was enacted in 2022.</w:t>
      </w:r>
    </w:p>
    <w:p>
      <w:pPr>
        <w:spacing w:after="0" w:line="141" w:lineRule="exact"/>
        <w:rPr>
          <w:rFonts w:ascii="Arial" w:cs="Arial" w:eastAsia="Arial" w:hAnsi="Arial"/>
          <w:sz w:val="15"/>
          <w:szCs w:val="15"/>
          <w:color w:val="auto"/>
        </w:rPr>
      </w:pPr>
    </w:p>
    <w:p>
      <w:pPr>
        <w:jc w:val="both"/>
        <w:ind w:left="660" w:right="80" w:hanging="282"/>
        <w:spacing w:after="0" w:line="262" w:lineRule="auto"/>
        <w:tabs>
          <w:tab w:leader="none" w:pos="661"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Path to energy security</w:t>
      </w:r>
      <w:r>
        <w:rPr>
          <w:rFonts w:ascii="Arial" w:cs="Arial" w:eastAsia="Arial" w:hAnsi="Arial"/>
          <w:sz w:val="15"/>
          <w:szCs w:val="15"/>
          <w:color w:val="auto"/>
        </w:rPr>
        <w:t>: Following the 2023 restrictions China imposed on exports to the United States including a complete ban of gallium and germanium, which</w:t>
      </w:r>
      <w:r>
        <w:rPr>
          <w:rFonts w:ascii="Arial" w:cs="Arial" w:eastAsia="Arial" w:hAnsi="Arial"/>
          <w:sz w:val="15"/>
          <w:szCs w:val="15"/>
          <w:b w:val="1"/>
          <w:bCs w:val="1"/>
          <w:color w:val="auto"/>
        </w:rPr>
        <w:t xml:space="preserve"> </w:t>
      </w:r>
      <w:r>
        <w:rPr>
          <w:rFonts w:ascii="Arial" w:cs="Arial" w:eastAsia="Arial" w:hAnsi="Arial"/>
          <w:sz w:val="15"/>
          <w:szCs w:val="15"/>
          <w:color w:val="auto"/>
        </w:rPr>
        <w:t>are needed to produce semiconductor chips, rare earth metal extraction and separation technologies used in production of hybrid and battery electric vehicle motors, and strict export controls for graphite, a key ingredient in battery anodes, China expanded export bans to include antimony in 2024. These events underscore a national security rationale for the U.S. and Western countries for reducing dependence on China as the world’s largest refiner of Class 1 nickel, cobalt and manganese. With our NORI and TOML contract areas ranked as the world’s first and second largest undeveloped nickel projects, respectively, by Mining.com in both 2022 and 2023, we believe the polymetallic nodules found in our NORI and TOML contract areas offer a source of four critical metals that can effectively diversify global supply chains.</w:t>
      </w:r>
    </w:p>
    <w:p>
      <w:pPr>
        <w:spacing w:after="0" w:line="145" w:lineRule="exact"/>
        <w:rPr>
          <w:rFonts w:ascii="Arial" w:cs="Arial" w:eastAsia="Arial" w:hAnsi="Arial"/>
          <w:sz w:val="15"/>
          <w:szCs w:val="15"/>
          <w:color w:val="auto"/>
        </w:rPr>
      </w:pPr>
    </w:p>
    <w:p>
      <w:pPr>
        <w:jc w:val="both"/>
        <w:ind w:left="660" w:right="80" w:hanging="283"/>
        <w:spacing w:after="0" w:line="306"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Advancing developing countries: </w:t>
      </w:r>
      <w:r>
        <w:rPr>
          <w:rFonts w:ascii="Arial" w:cs="Arial" w:eastAsia="Arial" w:hAnsi="Arial"/>
          <w:sz w:val="14"/>
          <w:szCs w:val="14"/>
          <w:color w:val="auto"/>
        </w:rPr>
        <w:t>Both of our Sponsoring States are small developing Pacific Island nations impacted by climate change and expect to receive</w:t>
      </w:r>
      <w:r>
        <w:rPr>
          <w:rFonts w:ascii="Arial" w:cs="Arial" w:eastAsia="Arial" w:hAnsi="Arial"/>
          <w:sz w:val="14"/>
          <w:szCs w:val="14"/>
          <w:b w:val="1"/>
          <w:bCs w:val="1"/>
          <w:color w:val="auto"/>
        </w:rPr>
        <w:t xml:space="preserve"> </w:t>
      </w:r>
      <w:r>
        <w:rPr>
          <w:rFonts w:ascii="Arial" w:cs="Arial" w:eastAsia="Arial" w:hAnsi="Arial"/>
          <w:sz w:val="14"/>
          <w:szCs w:val="14"/>
          <w:color w:val="auto"/>
        </w:rPr>
        <w:t>income streams from their sponsored areas if exploitation contracts are granted to extract polymetallic nodules in their sponsored areas. Royalties from commercial production of polymetallic nodules payable to the ISA are required to be distributed by the ISA with focus on developing countries.</w:t>
      </w:r>
    </w:p>
    <w:p>
      <w:pPr>
        <w:spacing w:after="0" w:line="116" w:lineRule="exact"/>
        <w:rPr>
          <w:rFonts w:ascii="Arial" w:cs="Arial" w:eastAsia="Arial" w:hAnsi="Arial"/>
          <w:sz w:val="14"/>
          <w:szCs w:val="14"/>
          <w:color w:val="auto"/>
        </w:rPr>
      </w:pPr>
    </w:p>
    <w:p>
      <w:pPr>
        <w:jc w:val="both"/>
        <w:ind w:left="660" w:right="80" w:hanging="283"/>
        <w:spacing w:after="0" w:line="266"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Potential U.S.-based regulatory pathway: </w:t>
      </w:r>
      <w:r>
        <w:rPr>
          <w:rFonts w:ascii="Arial" w:cs="Arial" w:eastAsia="Arial" w:hAnsi="Arial"/>
          <w:sz w:val="15"/>
          <w:szCs w:val="15"/>
          <w:color w:val="auto"/>
        </w:rPr>
        <w:t>On March 27, 2025, we announced that we initiated a process with NOAA and the U.S. Department of Commerce</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DSHMRA to consider a U.S.-based regulatory pathway for the commercial production of deep-sea polymetallic nodules in the CCZ. We believe this regulatory pathway potentially offers a clear and predictable route to securing an exploration license and a commercial recover permit to polymetallic nodules found in the CCZ. We are in the initial planning stages of this strategy, however, and there are no assurances that we will be able to secure any exploration or commercial recovery rights under the DSHMRA in a timely manner, or at all.</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Our Competitive Advantages</w:t>
      </w:r>
    </w:p>
    <w:p>
      <w:pPr>
        <w:spacing w:after="0" w:line="196" w:lineRule="exact"/>
        <w:rPr>
          <w:sz w:val="20"/>
          <w:szCs w:val="20"/>
          <w:color w:val="auto"/>
        </w:rPr>
      </w:pPr>
    </w:p>
    <w:p>
      <w:pPr>
        <w:ind w:left="80" w:right="100" w:firstLine="274"/>
        <w:spacing w:after="0" w:line="299" w:lineRule="auto"/>
        <w:rPr>
          <w:sz w:val="20"/>
          <w:szCs w:val="20"/>
          <w:color w:val="auto"/>
        </w:rPr>
      </w:pPr>
      <w:r>
        <w:rPr>
          <w:rFonts w:ascii="Arial" w:cs="Arial" w:eastAsia="Arial" w:hAnsi="Arial"/>
          <w:sz w:val="15"/>
          <w:szCs w:val="15"/>
          <w:color w:val="auto"/>
        </w:rPr>
        <w:t>With the potential that our resources hold and the project advancements we have made to date, we believe we are better positioned than other suppliers to provide a solution to the growing need for the critical metals contained in nodules:</w:t>
      </w:r>
    </w:p>
    <w:p>
      <w:pPr>
        <w:spacing w:after="0" w:line="117" w:lineRule="exact"/>
        <w:rPr>
          <w:sz w:val="20"/>
          <w:szCs w:val="20"/>
          <w:color w:val="auto"/>
        </w:rPr>
      </w:pPr>
    </w:p>
    <w:p>
      <w:pPr>
        <w:jc w:val="both"/>
        <w:ind w:left="660" w:right="80" w:hanging="283"/>
        <w:spacing w:after="0" w:line="278"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Availability of abundant and high-grade resource off the U.S. western seaboard: </w:t>
      </w:r>
      <w:r>
        <w:rPr>
          <w:rFonts w:ascii="Arial" w:cs="Arial" w:eastAsia="Arial" w:hAnsi="Arial"/>
          <w:sz w:val="15"/>
          <w:szCs w:val="15"/>
          <w:color w:val="auto"/>
        </w:rPr>
        <w:t>There are four critical metals (nickel, copper, cobalt and manganese) in</w:t>
      </w:r>
      <w:r>
        <w:rPr>
          <w:rFonts w:ascii="Arial" w:cs="Arial" w:eastAsia="Arial" w:hAnsi="Arial"/>
          <w:sz w:val="15"/>
          <w:szCs w:val="15"/>
          <w:b w:val="1"/>
          <w:bCs w:val="1"/>
          <w:color w:val="auto"/>
        </w:rPr>
        <w:t xml:space="preserve"> </w:t>
      </w:r>
      <w:r>
        <w:rPr>
          <w:rFonts w:ascii="Arial" w:cs="Arial" w:eastAsia="Arial" w:hAnsi="Arial"/>
          <w:sz w:val="15"/>
          <w:szCs w:val="15"/>
          <w:color w:val="auto"/>
        </w:rPr>
        <w:t>relatively high concentrations in polymetallic nodules which we believe could offer a long-term secure supply of such metals in various industrial applications, as described above.</w:t>
      </w:r>
    </w:p>
    <w:p>
      <w:pPr>
        <w:spacing w:after="0" w:line="132" w:lineRule="exact"/>
        <w:rPr>
          <w:rFonts w:ascii="Arial" w:cs="Arial" w:eastAsia="Arial" w:hAnsi="Arial"/>
          <w:sz w:val="15"/>
          <w:szCs w:val="15"/>
          <w:color w:val="auto"/>
        </w:rPr>
      </w:pPr>
    </w:p>
    <w:p>
      <w:pPr>
        <w:jc w:val="both"/>
        <w:ind w:left="660" w:right="80" w:hanging="282"/>
        <w:spacing w:after="0" w:line="278"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Opportunity for production in the U.S. of the critical metals contained in nodules: </w:t>
      </w:r>
      <w:r>
        <w:rPr>
          <w:rFonts w:ascii="Arial" w:cs="Arial" w:eastAsia="Arial" w:hAnsi="Arial"/>
          <w:sz w:val="15"/>
          <w:szCs w:val="15"/>
          <w:color w:val="auto"/>
        </w:rPr>
        <w:t>The current supply chain of battery materials to the U.S. is approximately</w:t>
      </w:r>
      <w:r>
        <w:rPr>
          <w:rFonts w:ascii="Arial" w:cs="Arial" w:eastAsia="Arial" w:hAnsi="Arial"/>
          <w:sz w:val="15"/>
          <w:szCs w:val="15"/>
          <w:b w:val="1"/>
          <w:bCs w:val="1"/>
          <w:color w:val="auto"/>
        </w:rPr>
        <w:t xml:space="preserve"> </w:t>
      </w:r>
      <w:r>
        <w:rPr>
          <w:rFonts w:ascii="Arial" w:cs="Arial" w:eastAsia="Arial" w:hAnsi="Arial"/>
          <w:sz w:val="15"/>
          <w:szCs w:val="15"/>
          <w:color w:val="auto"/>
        </w:rPr>
        <w:t>50,000 miles long and is predominantly controlled by nations and companies outside of the U.S., which is leading to increasing concerns about supply chain security in the U.S. and interest in breaking the U.S. mineral dependence by re-shoring battery material supply chain in the U.S.</w:t>
      </w:r>
    </w:p>
    <w:p>
      <w:pPr>
        <w:spacing w:after="0" w:line="132" w:lineRule="exact"/>
        <w:rPr>
          <w:rFonts w:ascii="Arial" w:cs="Arial" w:eastAsia="Arial" w:hAnsi="Arial"/>
          <w:sz w:val="15"/>
          <w:szCs w:val="15"/>
          <w:color w:val="auto"/>
        </w:rPr>
      </w:pPr>
    </w:p>
    <w:p>
      <w:pPr>
        <w:jc w:val="both"/>
        <w:ind w:left="660" w:right="80" w:hanging="283"/>
        <w:spacing w:after="0" w:line="270"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Opportunity to reuse existing offshore assets and skills: </w:t>
      </w:r>
      <w:r>
        <w:rPr>
          <w:rFonts w:ascii="Arial" w:cs="Arial" w:eastAsia="Arial" w:hAnsi="Arial"/>
          <w:sz w:val="15"/>
          <w:szCs w:val="15"/>
          <w:color w:val="auto"/>
        </w:rPr>
        <w:t>We believe there is an opportunity for us to partner with offshore service providers with deep operational</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 in subsea environments gained in the oil and gas industry and with existing assets that can be repurposed for our offshore nodule collection operations. We have taken advantage of this opportunity by forging a strategic alliance with Allseas Group S.A. (“Allseas”), a leading offshore contractor in 2019. In 2020, Allseas acquired a drillship that was repurposed and classified as the world’s first deep-sea mining vessel.</w:t>
      </w:r>
    </w:p>
    <w:p>
      <w:pPr>
        <w:spacing w:after="0" w:line="138" w:lineRule="exact"/>
        <w:rPr>
          <w:rFonts w:ascii="Arial" w:cs="Arial" w:eastAsia="Arial" w:hAnsi="Arial"/>
          <w:sz w:val="15"/>
          <w:szCs w:val="15"/>
          <w:color w:val="auto"/>
        </w:rPr>
      </w:pPr>
    </w:p>
    <w:p>
      <w:pPr>
        <w:jc w:val="both"/>
        <w:ind w:left="660" w:right="80" w:hanging="283"/>
        <w:spacing w:after="0" w:line="339"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Demonstrated offshore nodule collection technology: </w:t>
      </w:r>
      <w:r>
        <w:rPr>
          <w:rFonts w:ascii="Arial" w:cs="Arial" w:eastAsia="Arial" w:hAnsi="Arial"/>
          <w:sz w:val="13"/>
          <w:szCs w:val="13"/>
          <w:color w:val="auto"/>
        </w:rPr>
        <w:t>In November 2022, NORI and Allseas completed the Pilot Mining Test where approximately 4,500 tonnes</w:t>
      </w:r>
      <w:r>
        <w:rPr>
          <w:rFonts w:ascii="Arial" w:cs="Arial" w:eastAsia="Arial" w:hAnsi="Arial"/>
          <w:sz w:val="13"/>
          <w:szCs w:val="13"/>
          <w:b w:val="1"/>
          <w:bCs w:val="1"/>
          <w:color w:val="auto"/>
        </w:rPr>
        <w:t xml:space="preserve"> </w:t>
      </w:r>
      <w:r>
        <w:rPr>
          <w:rFonts w:ascii="Arial" w:cs="Arial" w:eastAsia="Arial" w:hAnsi="Arial"/>
          <w:sz w:val="13"/>
          <w:szCs w:val="13"/>
          <w:color w:val="auto"/>
        </w:rPr>
        <w:t>of wet nodules were collected and more than 3,000 tonnes of wet nodules were lifted 4.3 kilometers to the surface after traversing over 80 kilometers of the seafloor in the NORI Area D, achieving a sustained production rate of 86.4 tonnes per hour with a scaled-down prototype seafloor nodule collector vehicle. While several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29pt"/>
            </w:pict>
          </mc:Fallback>
        </mc:AlternateContent>
      </w:r>
    </w:p>
    <w:p>
      <w:pPr>
        <w:sectPr>
          <w:pgSz w:w="13680" w:h="17280" w:orient="portrait"/>
          <w:cols w:equalWidth="0" w:num="1">
            <w:col w:w="10800"/>
          </w:cols>
          <w:pgMar w:left="1440" w:top="1440" w:right="1440"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contractors have tested various seafloor collection machines, no other contractor has demonstrated an integrated nodule collection system since the 1970s.</w:t>
      </w:r>
    </w:p>
    <w:p>
      <w:pPr>
        <w:spacing w:after="0" w:line="203" w:lineRule="exact"/>
        <w:rPr>
          <w:sz w:val="20"/>
          <w:szCs w:val="20"/>
          <w:color w:val="auto"/>
        </w:rPr>
      </w:pPr>
    </w:p>
    <w:p>
      <w:pPr>
        <w:jc w:val="both"/>
        <w:ind w:left="660" w:right="80" w:hanging="283"/>
        <w:spacing w:after="0" w:line="306"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Demonstrated onshore nodule processing technology: </w:t>
      </w:r>
      <w:r>
        <w:rPr>
          <w:rFonts w:ascii="Arial" w:cs="Arial" w:eastAsia="Arial" w:hAnsi="Arial"/>
          <w:sz w:val="14"/>
          <w:szCs w:val="14"/>
          <w:color w:val="auto"/>
        </w:rPr>
        <w:t>In 2021, we successfully completed the calcining and smelting of nodules into a manganese silicate</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and nickel-copper-cobalt alloy intermediate product, followed by conversion and sulfidation of the alloy into matte. Test work has been successfully conducted on all process stages with the generation of test quantities of battery-grade nickel and cobalt sulfates in April 2024 and June 2024, respectively.</w:t>
      </w:r>
    </w:p>
    <w:p>
      <w:pPr>
        <w:spacing w:after="0" w:line="116" w:lineRule="exact"/>
        <w:rPr>
          <w:rFonts w:ascii="Arial" w:cs="Arial" w:eastAsia="Arial" w:hAnsi="Arial"/>
          <w:sz w:val="14"/>
          <w:szCs w:val="14"/>
          <w:color w:val="auto"/>
        </w:rPr>
      </w:pPr>
    </w:p>
    <w:p>
      <w:pPr>
        <w:jc w:val="both"/>
        <w:ind w:left="660" w:right="80" w:hanging="282"/>
        <w:spacing w:after="0" w:line="261"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Opportunity to reuse existing onshore assets and skills: </w:t>
      </w:r>
      <w:r>
        <w:rPr>
          <w:rFonts w:ascii="Arial" w:cs="Arial" w:eastAsia="Arial" w:hAnsi="Arial"/>
          <w:sz w:val="15"/>
          <w:szCs w:val="15"/>
          <w:color w:val="auto"/>
        </w:rPr>
        <w:t>We believe there is an opportunity for us to partner with onshore processors with deep operational</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 in processing nickel-bearing ores and with existing Rotary Kiln Electric Arc Furnace (“RKEF”) plants that can be repurposed for processing our nodules into intermediate products. We have taken advantage of this opportunity by signing a non-binding memorandum of understanding (“MoU”) with our partner Pacific Metals Co. Ltd. (“PAMCO”), an experienced operator of a nickel laterite smelting complex in Hachinohe, Japan in 2022. Following the completion of a prefeasibility exercise by PAMCO to assess nodule processing at their facility, we have signed a binding MoU in November 2023 to complete a feasibility study to process the first 1.3 Mtpa (wet) of nodules at PAMCO’s facility. A demonstration trial at PAMCO’s Hachinohe facilities with 2,000 tonnes of nodules collected during the mining pilot is ongoing, which would further de-risk the project. In 2024, PAMCO successfully produced approximately 500 tonnes of calcine from nodules at their facility in Hachinohe, Japan.</w:t>
      </w:r>
    </w:p>
    <w:p>
      <w:pPr>
        <w:spacing w:after="0" w:line="146" w:lineRule="exact"/>
        <w:rPr>
          <w:rFonts w:ascii="Arial" w:cs="Arial" w:eastAsia="Arial" w:hAnsi="Arial"/>
          <w:sz w:val="15"/>
          <w:szCs w:val="15"/>
          <w:color w:val="auto"/>
        </w:rPr>
      </w:pPr>
    </w:p>
    <w:p>
      <w:pPr>
        <w:jc w:val="both"/>
        <w:ind w:left="660" w:right="80" w:hanging="283"/>
        <w:spacing w:after="0" w:line="29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Lower expected production cost: </w:t>
      </w:r>
      <w:r>
        <w:rPr>
          <w:rFonts w:ascii="Arial" w:cs="Arial" w:eastAsia="Arial" w:hAnsi="Arial"/>
          <w:sz w:val="14"/>
          <w:szCs w:val="14"/>
          <w:color w:val="auto"/>
        </w:rPr>
        <w:t>We are currently pursuing a low-capital asset expenditure (“CAPEX”) approach to our development and commercialization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operations for our NORI Area D project where we reuse existing production assets opposed to the high-CAPEX approach where the majority of offshore and onshore production assets would be newly built by us as described in our 2021 economic analysis included in the NORI Technical Report Summary. See Item 2 entitled “</w:t>
      </w:r>
      <w:r>
        <w:rPr>
          <w:rFonts w:ascii="Arial" w:cs="Arial" w:eastAsia="Arial" w:hAnsi="Arial"/>
          <w:sz w:val="14"/>
          <w:szCs w:val="14"/>
          <w:i w:val="1"/>
          <w:iCs w:val="1"/>
          <w:color w:val="auto"/>
        </w:rPr>
        <w:t>Properties</w:t>
      </w:r>
      <w:r>
        <w:rPr>
          <w:rFonts w:ascii="Arial" w:cs="Arial" w:eastAsia="Arial" w:hAnsi="Arial"/>
          <w:sz w:val="14"/>
          <w:szCs w:val="14"/>
          <w:color w:val="auto"/>
        </w:rPr>
        <w:t>” included in this Annual Report for additional information about the 2021 economic analysis of NORI Area D.</w:t>
      </w:r>
    </w:p>
    <w:p>
      <w:pPr>
        <w:spacing w:after="0" w:line="123" w:lineRule="exact"/>
        <w:rPr>
          <w:rFonts w:ascii="Arial" w:cs="Arial" w:eastAsia="Arial" w:hAnsi="Arial"/>
          <w:sz w:val="14"/>
          <w:szCs w:val="14"/>
          <w:color w:val="auto"/>
        </w:rPr>
      </w:pPr>
    </w:p>
    <w:p>
      <w:pPr>
        <w:jc w:val="both"/>
        <w:ind w:left="660" w:right="80" w:hanging="282"/>
        <w:spacing w:after="0" w:line="306"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Lower expected ESG footprint: </w:t>
      </w:r>
      <w:r>
        <w:rPr>
          <w:rFonts w:ascii="Arial" w:cs="Arial" w:eastAsia="Arial" w:hAnsi="Arial"/>
          <w:sz w:val="14"/>
          <w:szCs w:val="14"/>
          <w:color w:val="auto"/>
        </w:rPr>
        <w:t>The LCA completed by Benchmark in March 2023 shows that the NORI Area D project model performed better in most impact</w:t>
      </w:r>
      <w:r>
        <w:rPr>
          <w:rFonts w:ascii="Arial" w:cs="Arial" w:eastAsia="Arial" w:hAnsi="Arial"/>
          <w:sz w:val="14"/>
          <w:szCs w:val="14"/>
          <w:b w:val="1"/>
          <w:bCs w:val="1"/>
          <w:color w:val="auto"/>
        </w:rPr>
        <w:t xml:space="preserve"> </w:t>
      </w:r>
      <w:r>
        <w:rPr>
          <w:rFonts w:ascii="Arial" w:cs="Arial" w:eastAsia="Arial" w:hAnsi="Arial"/>
          <w:sz w:val="14"/>
          <w:szCs w:val="14"/>
          <w:color w:val="auto"/>
        </w:rPr>
        <w:t>categories analyzed than all the land-based routes chosen for comparison. This favorable comparison is explained by the fact that we are developing a new type of high-grade multi-metal source found on the abyssal plain, a low biomass, low carbon sequestration deep-sea environment removed from human settlement.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Exploration Contracts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currently hold exclusive exploration rights through our subsidiaries NORI and TOML to certain polymetallic nodule areas in the CCZ.</w:t>
      </w:r>
    </w:p>
    <w:p>
      <w:pPr>
        <w:spacing w:after="0" w:line="194"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i w:val="1"/>
          <w:iCs w:val="1"/>
          <w:color w:val="auto"/>
        </w:rPr>
        <w:t xml:space="preserve">NORI. </w:t>
      </w:r>
      <w:r>
        <w:rPr>
          <w:rFonts w:ascii="Arial" w:cs="Arial" w:eastAsia="Arial" w:hAnsi="Arial"/>
          <w:sz w:val="15"/>
          <w:szCs w:val="15"/>
          <w:color w:val="auto"/>
        </w:rPr>
        <w:t>NORI our wholly-owned subsidiary, holds exploration rights to four blocks (NORI Area A, B, C, and D, the “NORI Contract Area”) covering 74,830 square</w:t>
      </w:r>
      <w:r>
        <w:rPr>
          <w:rFonts w:ascii="Arial" w:cs="Arial" w:eastAsia="Arial" w:hAnsi="Arial"/>
          <w:sz w:val="15"/>
          <w:szCs w:val="15"/>
          <w:i w:val="1"/>
          <w:iCs w:val="1"/>
          <w:color w:val="auto"/>
        </w:rPr>
        <w:t xml:space="preserve"> </w:t>
      </w:r>
      <w:r>
        <w:rPr>
          <w:rFonts w:ascii="Arial" w:cs="Arial" w:eastAsia="Arial" w:hAnsi="Arial"/>
          <w:sz w:val="15"/>
          <w:szCs w:val="15"/>
          <w:color w:val="auto"/>
        </w:rPr>
        <w:t>kilometers in the CCZ that were granted by the ISA in July 2011. NORI is sponsored by Nauru pursuant to a certificate of sponsorship signed by the Government of Nauru on April 11, 2011. The NORI Area D is the seafloor parcel where we have performed the most resource definition and environmental work to date. NORI commissioned AMC Consulting Ltd (“AMC”), a leading mining consulting firm, to undertake an Initial Economic Assessment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this Annual Report.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included in this Annual Report for additional information about the 2021 economic analysis of NORI Area D.</w:t>
      </w:r>
    </w:p>
    <w:p>
      <w:pPr>
        <w:spacing w:after="0" w:line="152"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i w:val="1"/>
          <w:iCs w:val="1"/>
          <w:color w:val="auto"/>
        </w:rPr>
        <w:t xml:space="preserve">TOML. </w:t>
      </w:r>
      <w:r>
        <w:rPr>
          <w:rFonts w:ascii="Arial" w:cs="Arial" w:eastAsia="Arial" w:hAnsi="Arial"/>
          <w:sz w:val="14"/>
          <w:szCs w:val="14"/>
          <w:color w:val="auto"/>
        </w:rPr>
        <w:t>TOML our wholly-owned subsidiary which we acquired in March 2020, holds exploration rights to an area covering 74,713 square kilometers in the CCZ that</w:t>
      </w:r>
      <w:r>
        <w:rPr>
          <w:rFonts w:ascii="Arial" w:cs="Arial" w:eastAsia="Arial" w:hAnsi="Arial"/>
          <w:sz w:val="14"/>
          <w:szCs w:val="14"/>
          <w:i w:val="1"/>
          <w:iCs w:val="1"/>
          <w:color w:val="auto"/>
        </w:rPr>
        <w:t xml:space="preserve"> </w:t>
      </w:r>
      <w:r>
        <w:rPr>
          <w:rFonts w:ascii="Arial" w:cs="Arial" w:eastAsia="Arial" w:hAnsi="Arial"/>
          <w:sz w:val="14"/>
          <w:szCs w:val="14"/>
          <w:color w:val="auto"/>
        </w:rPr>
        <w:t>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126"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i w:val="1"/>
          <w:iCs w:val="1"/>
          <w:color w:val="auto"/>
        </w:rPr>
        <w:t xml:space="preserve">Marawa - Termination of Service Agreement. </w:t>
      </w:r>
      <w:r>
        <w:rPr>
          <w:rFonts w:ascii="Arial" w:cs="Arial" w:eastAsia="Arial" w:hAnsi="Arial"/>
          <w:sz w:val="15"/>
          <w:szCs w:val="15"/>
          <w:color w:val="auto"/>
        </w:rPr>
        <w:t>On November 14, 2024, DeepGreen Engineering Pte. Ltd. (“DeepGreen”) issued a formal termination notice to Marawa</w:t>
      </w:r>
      <w:r>
        <w:rPr>
          <w:rFonts w:ascii="Arial" w:cs="Arial" w:eastAsia="Arial" w:hAnsi="Arial"/>
          <w:sz w:val="15"/>
          <w:szCs w:val="15"/>
          <w:i w:val="1"/>
          <w:iCs w:val="1"/>
          <w:color w:val="auto"/>
        </w:rPr>
        <w:t xml:space="preserve"> </w:t>
      </w:r>
      <w:r>
        <w:rPr>
          <w:rFonts w:ascii="Arial" w:cs="Arial" w:eastAsia="Arial" w:hAnsi="Arial"/>
          <w:sz w:val="15"/>
          <w:szCs w:val="15"/>
          <w:color w:val="auto"/>
        </w:rPr>
        <w:t>Research and Exploration Limited, ending the Services Agreement dated October 1, 2013 (the “Agreement”), pursuant to DeepGreen’s right to terminate for convenience under the Agreement. The termination became effective on January 14, 2025 and we no longer have any exploration rights to the area of the CCZ that was covered by the Agreement. The impact of the cancellation of this agreement did not have a material impact on our financial results.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2505075</wp:posOffset>
            </wp:positionH>
            <wp:positionV relativeFrom="page">
              <wp:posOffset>1531620</wp:posOffset>
            </wp:positionV>
            <wp:extent cx="3674110" cy="2853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674110"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Business Strategy</w:t>
      </w:r>
    </w:p>
    <w:p>
      <w:pPr>
        <w:spacing w:after="0" w:line="196" w:lineRule="exact"/>
        <w:rPr>
          <w:sz w:val="20"/>
          <w:szCs w:val="20"/>
          <w:color w:val="auto"/>
        </w:rPr>
      </w:pPr>
    </w:p>
    <w:p>
      <w:pPr>
        <w:jc w:val="both"/>
        <w:ind w:left="80" w:right="80" w:firstLine="274"/>
        <w:spacing w:after="0" w:line="315" w:lineRule="auto"/>
        <w:rPr>
          <w:sz w:val="20"/>
          <w:szCs w:val="20"/>
          <w:color w:val="auto"/>
        </w:rPr>
      </w:pPr>
      <w:r>
        <w:rPr>
          <w:rFonts w:ascii="Arial" w:cs="Arial" w:eastAsia="Arial" w:hAnsi="Arial"/>
          <w:sz w:val="13"/>
          <w:szCs w:val="13"/>
          <w:color w:val="auto"/>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Republic of Nauru and the Kingdom of Tonga, respectively. We intend to utilize existing processing operations in locations like Japan and Indonesia and refineries in locations like South Korea and Canada. We have chosen a capital-light approach to our operations and have focused on forming deep strategic partnerships with leading offshore and onshore companies.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key strategic alliances include:</w:t>
      </w:r>
    </w:p>
    <w:p>
      <w:pPr>
        <w:spacing w:after="0" w:line="194"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i w:val="1"/>
          <w:iCs w:val="1"/>
          <w:color w:val="auto"/>
        </w:rPr>
        <w:t xml:space="preserve">Allseas: </w:t>
      </w:r>
      <w:r>
        <w:rPr>
          <w:rFonts w:ascii="Arial" w:cs="Arial" w:eastAsia="Arial" w:hAnsi="Arial"/>
          <w:sz w:val="15"/>
          <w:szCs w:val="15"/>
          <w:color w:val="auto"/>
        </w:rPr>
        <w:t>Allseas, a leading global offshore contractor, developed and tested a pilot nodule collection system in the NORI Area D, completed in the fourth quarter of 2022.</w:t>
      </w:r>
      <w:r>
        <w:rPr>
          <w:rFonts w:ascii="Arial" w:cs="Arial" w:eastAsia="Arial" w:hAnsi="Arial"/>
          <w:sz w:val="15"/>
          <w:szCs w:val="15"/>
          <w:i w:val="1"/>
          <w:iCs w:val="1"/>
          <w:color w:val="auto"/>
        </w:rPr>
        <w:t xml:space="preserve"> </w:t>
      </w:r>
      <w:r>
        <w:rPr>
          <w:rFonts w:ascii="Arial" w:cs="Arial" w:eastAsia="Arial" w:hAnsi="Arial"/>
          <w:sz w:val="15"/>
          <w:szCs w:val="15"/>
          <w:color w:val="auto"/>
        </w:rPr>
        <w:t>The experience from the development and testing program of the pilot system is now informing the design of upgrades and modifications into the initial smaller-scale commercial production system, which is expected to serve as the basis for the design of a full-scale commercial production system.</w:t>
      </w:r>
    </w:p>
    <w:p>
      <w:pPr>
        <w:spacing w:after="0" w:line="137"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i w:val="1"/>
          <w:iCs w:val="1"/>
          <w:color w:val="auto"/>
        </w:rPr>
        <w:t xml:space="preserve">Glencore: </w:t>
      </w:r>
      <w:r>
        <w:rPr>
          <w:rFonts w:ascii="Arial" w:cs="Arial" w:eastAsia="Arial" w:hAnsi="Arial"/>
          <w:sz w:val="15"/>
          <w:szCs w:val="15"/>
          <w:color w:val="auto"/>
        </w:rPr>
        <w:t>Glencore International AG (Glencore) holds offtake rights to 50% of the NORI nickel and copper production. Glencore has the right to purchase from DGE</w:t>
      </w:r>
      <w:r>
        <w:rPr>
          <w:rFonts w:ascii="Arial" w:cs="Arial" w:eastAsia="Arial" w:hAnsi="Arial"/>
          <w:sz w:val="15"/>
          <w:szCs w:val="15"/>
          <w:i w:val="1"/>
          <w:iCs w:val="1"/>
          <w:color w:val="auto"/>
        </w:rPr>
        <w:t xml:space="preserve"> </w:t>
      </w:r>
      <w:r>
        <w:rPr>
          <w:rFonts w:ascii="Arial" w:cs="Arial" w:eastAsia="Arial" w:hAnsi="Arial"/>
          <w:sz w:val="15"/>
          <w:szCs w:val="15"/>
          <w:color w:val="auto"/>
        </w:rPr>
        <w:t>50% of the annual quantity of copper material and 50% of the annual quantity of nickel material produced by DGE from ore derived from the NORI Contract Area at a processing plant directly owned or controlled by DGE.</w:t>
      </w:r>
    </w:p>
    <w:p>
      <w:pPr>
        <w:spacing w:after="0" w:line="137"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i w:val="1"/>
          <w:iCs w:val="1"/>
          <w:color w:val="auto"/>
        </w:rPr>
        <w:t xml:space="preserve">Hatch and KPM: </w:t>
      </w:r>
      <w:r>
        <w:rPr>
          <w:rFonts w:ascii="Arial" w:cs="Arial" w:eastAsia="Arial" w:hAnsi="Arial"/>
          <w:sz w:val="15"/>
          <w:szCs w:val="15"/>
          <w:color w:val="auto"/>
        </w:rPr>
        <w:t>We have worked with engineering firm Hatch Ltd. (“Hatch”) and consultants Kingston Process Metallurgy Inc. (“KPM”) to develop a near-zero solid</w:t>
      </w:r>
      <w:r>
        <w:rPr>
          <w:rFonts w:ascii="Arial" w:cs="Arial" w:eastAsia="Arial" w:hAnsi="Arial"/>
          <w:sz w:val="15"/>
          <w:szCs w:val="15"/>
          <w:i w:val="1"/>
          <w:iCs w:val="1"/>
          <w:color w:val="auto"/>
        </w:rPr>
        <w:t xml:space="preserve"> </w:t>
      </w:r>
      <w:r>
        <w:rPr>
          <w:rFonts w:ascii="Arial" w:cs="Arial" w:eastAsia="Arial" w:hAnsi="Arial"/>
          <w:sz w:val="15"/>
          <w:szCs w:val="15"/>
          <w:color w:val="auto"/>
        </w:rPr>
        <w:t>waste flowsheet. The primary processing stages of the flowsheet from nodule to nickel-copper-cobalt (“NiCuCo”) alloy and matte intermediate were demonstrated as part of our pilot plant program at FLSmidth and Xpert Process Solutions, a Glencore company (“XPS”), facilities. The matte refining stages were tested at SGS Lakefield and the ability to produce high purity nickel and cobalt sulfates was demonstrated. The near-zero solid waste flowsheet is expected to serve as the basis for our onshore processing facilities.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29pt"/>
            </w:pict>
          </mc:Fallback>
        </mc:AlternateContent>
      </w:r>
    </w:p>
    <w:p>
      <w:pPr>
        <w:sectPr>
          <w:pgSz w:w="13680" w:h="17280" w:orient="portrait"/>
          <w:cols w:equalWidth="0" w:num="1">
            <w:col w:w="10800"/>
          </w:cols>
          <w:pgMar w:left="1440" w:top="1440" w:right="1440"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i w:val="1"/>
          <w:iCs w:val="1"/>
          <w:color w:val="auto"/>
        </w:rPr>
        <w:t xml:space="preserve">PAMCO: </w:t>
      </w:r>
      <w:r>
        <w:rPr>
          <w:rFonts w:ascii="Arial" w:cs="Arial" w:eastAsia="Arial" w:hAnsi="Arial"/>
          <w:sz w:val="15"/>
          <w:szCs w:val="15"/>
          <w:color w:val="auto"/>
        </w:rPr>
        <w:t>In November 2022, we entered into a non-binding MoU with PAMCO of Japan. In November 2023, we entered into a binding MoU with PAMCO whereby</w:t>
      </w:r>
      <w:r>
        <w:rPr>
          <w:rFonts w:ascii="Arial" w:cs="Arial" w:eastAsia="Arial" w:hAnsi="Arial"/>
          <w:sz w:val="15"/>
          <w:szCs w:val="15"/>
          <w:i w:val="1"/>
          <w:iCs w:val="1"/>
          <w:color w:val="auto"/>
        </w:rPr>
        <w:t xml:space="preserve"> </w:t>
      </w:r>
      <w:r>
        <w:rPr>
          <w:rFonts w:ascii="Arial" w:cs="Arial" w:eastAsia="Arial" w:hAnsi="Arial"/>
          <w:sz w:val="15"/>
          <w:szCs w:val="15"/>
          <w:color w:val="auto"/>
        </w:rPr>
        <w:t>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 In 2024, PAMCO successfully produced approximately 500 tonnes of calcine from nodules at their facility in Hachinohe, Japan.</w:t>
      </w:r>
    </w:p>
    <w:p>
      <w:pPr>
        <w:spacing w:after="0" w:line="145" w:lineRule="exact"/>
        <w:rPr>
          <w:sz w:val="20"/>
          <w:szCs w:val="20"/>
          <w:color w:val="auto"/>
        </w:rPr>
      </w:pPr>
    </w:p>
    <w:p>
      <w:pPr>
        <w:jc w:val="both"/>
        <w:ind w:left="80" w:right="100" w:firstLine="275"/>
        <w:spacing w:after="0" w:line="337" w:lineRule="auto"/>
        <w:rPr>
          <w:sz w:val="20"/>
          <w:szCs w:val="20"/>
          <w:color w:val="auto"/>
        </w:rPr>
      </w:pPr>
      <w:r>
        <w:rPr>
          <w:rFonts w:ascii="Arial" w:cs="Arial" w:eastAsia="Arial" w:hAnsi="Arial"/>
          <w:sz w:val="14"/>
          <w:szCs w:val="14"/>
          <w:color w:val="auto"/>
        </w:rPr>
        <w:t>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PAMCO successfully completed a pre-feasibility exercise pursuant to the non-binding MoU signed by the parties in November 2022. Under the binding MoU signed in</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5"/>
          <w:szCs w:val="15"/>
          <w:color w:val="auto"/>
        </w:rPr>
        <w:t>November 2023:</w:t>
      </w:r>
    </w:p>
    <w:p>
      <w:pPr>
        <w:spacing w:after="0" w:line="194" w:lineRule="exact"/>
        <w:rPr>
          <w:sz w:val="20"/>
          <w:szCs w:val="20"/>
          <w:color w:val="auto"/>
        </w:rPr>
      </w:pPr>
    </w:p>
    <w:p>
      <w:pPr>
        <w:ind w:left="660" w:hanging="283"/>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PAMCO, with our support, expects to complete the feasibility study by mid-2025.</w:t>
      </w:r>
    </w:p>
    <w:p>
      <w:pPr>
        <w:spacing w:after="0" w:line="193" w:lineRule="exact"/>
        <w:rPr>
          <w:rFonts w:ascii="Arial" w:cs="Arial" w:eastAsia="Arial" w:hAnsi="Arial"/>
          <w:sz w:val="15"/>
          <w:szCs w:val="15"/>
          <w:color w:val="auto"/>
        </w:rPr>
      </w:pPr>
    </w:p>
    <w:p>
      <w:pPr>
        <w:ind w:left="660" w:right="80" w:hanging="283"/>
        <w:spacing w:after="0" w:line="299"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will provide PAMCO with the exclusive right to the first 1.3Mtpa of the expected 3Mtpa of wet nodule collection capacity from our first nodule collection system until completion of the feasibility study.</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parties will enter into good faith negotiations to finalize definitive processing agreements on completion of the feasibility study.</w:t>
      </w:r>
    </w:p>
    <w:p>
      <w:pPr>
        <w:spacing w:after="0" w:line="193"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The feasibility study is expected to confirm operating parameters and product specifications for PAMCO’s dedicated production line and define the scope and execution plan for any additional equipment requirements, which are expected to be minor. An extended pilot demonstration program utilizing existing kilns and furnaces at PAMCO’s Hachinohe, Japan facility is in progress, treating a 2,000-tonne sample of polymetallic nodules collected during the successful pilot nodule collector test completed by Allseas in November 2022 on NORI Area D, with the goal of optimizing the furnace refractory selection and confirm commercial scale operating parameters such as tapping temperatures and dusting rates when treating nodules through the Hachinohe facility. The cost of processing polymetallic nodules will also be estimated to help finalize the definitive processing agreements.</w:t>
      </w:r>
    </w:p>
    <w:p>
      <w:pPr>
        <w:spacing w:after="0" w:line="147"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In parallel, PAMCO is continuing to study the addition of a converting facility to process the intermediate alloy to nickel-copper-cobalt matte, which is an upgraded intermediate feedstock for the production of metal and battery cathode precursor materials. It is expected that the additional facility would be constructed once commercial processing of polymetallic nodules to alloy has been demonstrated.</w:t>
      </w:r>
    </w:p>
    <w:p>
      <w:pPr>
        <w:spacing w:after="0" w:line="137"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There can be no assurance that we will enter into a definitive strategic alliance with PAMCO in a particular time period, or at all, or on terms similar to those set forth in the binding MoU, or that if a definitive strategic alliance are entered into by us or that the existing facility will be able to successfully process nodules in a particular time period, or at all.</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Phased Project Development</w:t>
      </w:r>
    </w:p>
    <w:p>
      <w:pPr>
        <w:spacing w:after="0" w:line="196" w:lineRule="exact"/>
        <w:rPr>
          <w:sz w:val="20"/>
          <w:szCs w:val="20"/>
          <w:color w:val="auto"/>
        </w:rPr>
      </w:pPr>
    </w:p>
    <w:p>
      <w:pPr>
        <w:jc w:val="both"/>
        <w:ind w:left="80" w:right="80" w:firstLine="275"/>
        <w:spacing w:after="0" w:line="261" w:lineRule="auto"/>
        <w:rPr>
          <w:sz w:val="20"/>
          <w:szCs w:val="20"/>
          <w:color w:val="auto"/>
        </w:rPr>
      </w:pPr>
      <w:r>
        <w:rPr>
          <w:rFonts w:ascii="Arial" w:cs="Arial" w:eastAsia="Arial" w:hAnsi="Arial"/>
          <w:sz w:val="15"/>
          <w:szCs w:val="15"/>
          <w:color w:val="auto"/>
        </w:rPr>
        <w:t xml:space="preserve">Currently, we are an exploration stage company working towards a pre-feasibility study, which is nearing completion, and will form an integral part of our ISA application for an exploitation contract for the NORI Contract Areas. Having completed resource definition and environmental baseline and impact assessment studies on NORI Area D, we intend to apply for an exploitation contract on that area first with a Plan of Work application to be submitted to the regulator on June 27, 2025. If we obtain an exploitation contract, we then plan to commence production offshore (“Project Zero”) using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vessel which, subject to further modifications, is expected to be upgraded to a maximum capacity of 3.0 Mtpa of wet nodules. Subject to the success of Project Zero and any regulatory requirements, we then expect to move into the next phase of production (“Project One”) in which we intend to scale up production and expect to collect and process up to approximately 12 Mtpa of wet nodules at steady state (expected 2030-2045).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Current Work Program</w:t>
      </w:r>
    </w:p>
    <w:p>
      <w:pPr>
        <w:spacing w:after="0" w:line="196"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We are currently focused on preparing to submit our application to the regulator for our first exploitation contract, which will include the entire NORI Contract Area, with the initial proposed collection activities occurring within NORI Area D. On November 12, 2024, we announced that NORI intends to submit its application for an exploitation contract to the regulator on June 27, 2025.</w:t>
      </w:r>
    </w:p>
    <w:p>
      <w:pPr>
        <w:spacing w:after="0" w:line="137"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To reach our objective and initiate commercial production, we are: (i) defining our resource and project economics, (ii) developing a commercial offshore nodule collection system, (iii) assessing the environmental, social and cultural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139" w:lineRule="exact"/>
        <w:rPr>
          <w:sz w:val="20"/>
          <w:szCs w:val="20"/>
          <w:color w:val="auto"/>
        </w:rPr>
      </w:pPr>
    </w:p>
    <w:p>
      <w:pPr>
        <w:jc w:val="both"/>
        <w:ind w:left="360" w:right="80" w:hanging="280"/>
        <w:spacing w:after="0" w:line="261" w:lineRule="auto"/>
        <w:tabs>
          <w:tab w:leader="none" w:pos="36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Resource definition and project economics: </w:t>
      </w:r>
      <w:r>
        <w:rPr>
          <w:rFonts w:ascii="Arial" w:cs="Arial" w:eastAsia="Arial" w:hAnsi="Arial"/>
          <w:sz w:val="15"/>
          <w:szCs w:val="15"/>
          <w:color w:val="auto"/>
        </w:rPr>
        <w:t>Having completed a total of nine offshore resource definition campaigns, collected samples and completed subsea surveys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resource evaluation, we defined the size and quality of our resource in the NORI and TOML Areas, as described below, in our SEC Regulation S-K (subpart 1300) compliant </w:t>
      </w:r>
      <w:r>
        <w:rPr>
          <w:rFonts w:ascii="Arial" w:cs="Arial" w:eastAsia="Arial" w:hAnsi="Arial"/>
          <w:sz w:val="15"/>
          <w:szCs w:val="15"/>
          <w:i w:val="1"/>
          <w:iCs w:val="1"/>
          <w:color w:val="auto"/>
        </w:rPr>
        <w:t>Technical Report Summary - Initial Assessment of the NORI Property, Clarion Clipperton Zone, Pacific Ocean</w:t>
      </w:r>
      <w:r>
        <w:rPr>
          <w:rFonts w:ascii="Arial" w:cs="Arial" w:eastAsia="Arial" w:hAnsi="Arial"/>
          <w:sz w:val="15"/>
          <w:szCs w:val="15"/>
          <w:color w:val="auto"/>
        </w:rPr>
        <w:t xml:space="preserve"> dated March 17, 2021 (“NORI Initial Assessment”) and </w:t>
      </w:r>
      <w:r>
        <w:rPr>
          <w:rFonts w:ascii="Arial" w:cs="Arial" w:eastAsia="Arial" w:hAnsi="Arial"/>
          <w:sz w:val="15"/>
          <w:szCs w:val="15"/>
          <w:i w:val="1"/>
          <w:iCs w:val="1"/>
          <w:color w:val="auto"/>
        </w:rPr>
        <w:t>Technical Report Summary - TOML Mineral Resource, Clarion Clipperton Zone, Pacific Ocean</w:t>
      </w:r>
      <w:r>
        <w:rPr>
          <w:rFonts w:ascii="Arial" w:cs="Arial" w:eastAsia="Arial" w:hAnsi="Arial"/>
          <w:sz w:val="15"/>
          <w:szCs w:val="15"/>
          <w:color w:val="auto"/>
        </w:rPr>
        <w:t xml:space="preserve"> dated March 26, 2021 (“TOML Mineral Resource Statement”), respectively, prepared by AMC. From this work, both NORI and TOML have reported measured, indicated and inferred resources.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included in this Annual Report for additional information about these reported measured, indicated and inferred resources.We have continued to define our resource in the NORI and TOML areas, with the goal to develop project economics to pre-feasibility level with the intention of converting resources into reserves if possible.</w:t>
      </w:r>
    </w:p>
    <w:p>
      <w:pPr>
        <w:spacing w:after="0" w:line="146" w:lineRule="exact"/>
        <w:rPr>
          <w:rFonts w:ascii="Arial" w:cs="Arial" w:eastAsia="Arial" w:hAnsi="Arial"/>
          <w:sz w:val="15"/>
          <w:szCs w:val="15"/>
          <w:color w:val="auto"/>
        </w:rPr>
      </w:pPr>
    </w:p>
    <w:p>
      <w:pPr>
        <w:jc w:val="both"/>
        <w:ind w:left="360" w:right="80" w:hanging="280"/>
        <w:spacing w:after="0" w:line="302" w:lineRule="auto"/>
        <w:tabs>
          <w:tab w:leader="none" w:pos="361"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 xml:space="preserve">Commercial offshore nodule collection system development: </w:t>
      </w:r>
      <w:r>
        <w:rPr>
          <w:rFonts w:ascii="Arial" w:cs="Arial" w:eastAsia="Arial" w:hAnsi="Arial"/>
          <w:sz w:val="13"/>
          <w:szCs w:val="13"/>
          <w:color w:val="auto"/>
        </w:rPr>
        <w:t>We are working with our strategic partner and investor, Allseas, to develop a system to collect, lift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transport nodules from the seafloor to shore. The offshore collection system consists of nodule collector vehicles on the seafloor, a riser and lift system, a surface production support vessel and a surface nodule transfer vessel. The nodules are collected from the seafloor by self-propelled, tracked nodule collector vehicles using seawater jets aimed at nodules in parallel with the seafloor. No rock cutting, digging, drill-and-blast or other breakage are required at the point of collection. The collectors are remotely controlled and supplied with electric power via umbilical cables from the production support vessel, the </w:t>
      </w:r>
      <w:r>
        <w:rPr>
          <w:rFonts w:ascii="Arial" w:cs="Arial" w:eastAsia="Arial" w:hAnsi="Arial"/>
          <w:sz w:val="13"/>
          <w:szCs w:val="13"/>
          <w:i w:val="1"/>
          <w:iCs w:val="1"/>
          <w:color w:val="auto"/>
        </w:rPr>
        <w:t>Hidden Gem</w:t>
      </w:r>
      <w:r>
        <w:rPr>
          <w:rFonts w:ascii="Arial" w:cs="Arial" w:eastAsia="Arial" w:hAnsi="Arial"/>
          <w:sz w:val="13"/>
          <w:szCs w:val="13"/>
          <w:color w:val="auto"/>
        </w:rPr>
        <w:t xml:space="preserve">. To test the system and assess its environmental impacts, we entered into a contract with Allseas to undertake a pilot trial of the collection system in the NORI Area D, which was completed in November 2022. The successful completion of the pilot trial will support our application for an exploitation contract with the ISA. An Environmental Impact Statement (“EIS”) for this pilot trial was submitted to the ISA in July 2021 and approved on September 7, 2022, with infield testing commencing on September 19, 2022. The surface production support vessel, the </w:t>
      </w:r>
      <w:r>
        <w:rPr>
          <w:rFonts w:ascii="Arial" w:cs="Arial" w:eastAsia="Arial" w:hAnsi="Arial"/>
          <w:sz w:val="13"/>
          <w:szCs w:val="13"/>
          <w:i w:val="1"/>
          <w:iCs w:val="1"/>
          <w:color w:val="auto"/>
        </w:rPr>
        <w:t>Hidden Gem</w:t>
      </w:r>
      <w:r>
        <w:rPr>
          <w:rFonts w:ascii="Arial" w:cs="Arial" w:eastAsia="Arial" w:hAnsi="Arial"/>
          <w:sz w:val="13"/>
          <w:szCs w:val="13"/>
          <w:color w:val="auto"/>
        </w:rPr>
        <w:t>, was acquired by Allseas in March 2020 and has strategic importance to us, since it supported the pilot trial and is expected to be upgraded to a low-capital early production system. The vessel and collector system successfully completed trials in shallow and deepwater in the first half of 2022 prior to completing the collector test in NORI Area D in the fall of 2022, where approximately 4,500 tonnes of wet nodules were collected and more than 3000 tonnes of wet nodules were lifted 4.3 kilometers to the surface after traversing over 80 kilometers of the seafloor, achieving a production rate of 86.4 tonnes per hour.</w:t>
      </w:r>
    </w:p>
    <w:p>
      <w:pPr>
        <w:spacing w:after="0" w:line="123" w:lineRule="exact"/>
        <w:rPr>
          <w:rFonts w:ascii="Arial" w:cs="Arial" w:eastAsia="Arial" w:hAnsi="Arial"/>
          <w:sz w:val="13"/>
          <w:szCs w:val="13"/>
          <w:color w:val="auto"/>
        </w:rPr>
      </w:pPr>
    </w:p>
    <w:p>
      <w:pPr>
        <w:jc w:val="both"/>
        <w:ind w:left="360" w:right="100"/>
        <w:spacing w:after="0" w:line="276" w:lineRule="auto"/>
        <w:rPr>
          <w:rFonts w:ascii="Arial" w:cs="Arial" w:eastAsia="Arial" w:hAnsi="Arial"/>
          <w:sz w:val="13"/>
          <w:szCs w:val="13"/>
          <w:color w:val="auto"/>
        </w:rPr>
      </w:pPr>
      <w:r>
        <w:rPr>
          <w:rFonts w:ascii="Arial" w:cs="Arial" w:eastAsia="Arial" w:hAnsi="Arial"/>
          <w:sz w:val="15"/>
          <w:szCs w:val="15"/>
          <w:color w:val="auto"/>
        </w:rPr>
        <w:t xml:space="preserve">As a result of the successful collector test in the fourth quarter of 2022, where more than 3000 tonnes of wet nodules were lifted to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Allseas and NORI believe that they can upgrade the pilot nodule collection system, including the </w:t>
      </w:r>
      <w:r>
        <w:rPr>
          <w:rFonts w:ascii="Arial" w:cs="Arial" w:eastAsia="Arial" w:hAnsi="Arial"/>
          <w:sz w:val="15"/>
          <w:szCs w:val="15"/>
          <w:i w:val="1"/>
          <w:iCs w:val="1"/>
          <w:color w:val="auto"/>
        </w:rPr>
        <w:t>Hidden Gem</w:t>
      </w:r>
      <w:r>
        <w:rPr>
          <w:rFonts w:ascii="Arial" w:cs="Arial" w:eastAsia="Arial" w:hAnsi="Arial"/>
          <w:sz w:val="15"/>
          <w:szCs w:val="15"/>
          <w:color w:val="auto"/>
        </w:rPr>
        <w:t>, into the first production system, which we refer to as the Project Zero Offshore Nodule Collection System.</w:t>
      </w:r>
    </w:p>
    <w:p>
      <w:pPr>
        <w:spacing w:after="0" w:line="136" w:lineRule="exact"/>
        <w:rPr>
          <w:rFonts w:ascii="Arial" w:cs="Arial" w:eastAsia="Arial" w:hAnsi="Arial"/>
          <w:sz w:val="13"/>
          <w:szCs w:val="13"/>
          <w:color w:val="auto"/>
        </w:rPr>
      </w:pPr>
    </w:p>
    <w:p>
      <w:pPr>
        <w:jc w:val="both"/>
        <w:ind w:left="360" w:right="80" w:firstLine="1"/>
        <w:spacing w:after="0" w:line="265" w:lineRule="auto"/>
        <w:rPr>
          <w:rFonts w:ascii="Arial" w:cs="Arial" w:eastAsia="Arial" w:hAnsi="Arial"/>
          <w:sz w:val="13"/>
          <w:szCs w:val="13"/>
          <w:color w:val="auto"/>
        </w:rPr>
      </w:pPr>
      <w:r>
        <w:rPr>
          <w:rFonts w:ascii="Arial" w:cs="Arial" w:eastAsia="Arial" w:hAnsi="Arial"/>
          <w:sz w:val="15"/>
          <w:szCs w:val="15"/>
          <w:color w:val="auto"/>
        </w:rPr>
        <w:t>In August 2023, we announced that Allseas and NORI are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w:t>
      </w:r>
    </w:p>
    <w:p>
      <w:pPr>
        <w:spacing w:after="0" w:line="111" w:lineRule="exact"/>
        <w:rPr>
          <w:rFonts w:ascii="Arial" w:cs="Arial" w:eastAsia="Arial" w:hAnsi="Arial"/>
          <w:sz w:val="13"/>
          <w:szCs w:val="13"/>
          <w:color w:val="auto"/>
        </w:rPr>
      </w:pPr>
    </w:p>
    <w:p>
      <w:pPr>
        <w:jc w:val="both"/>
        <w:ind w:left="360" w:right="80" w:hanging="1"/>
        <w:spacing w:after="0" w:line="276" w:lineRule="auto"/>
        <w:rPr>
          <w:rFonts w:ascii="Arial" w:cs="Arial" w:eastAsia="Arial" w:hAnsi="Arial"/>
          <w:sz w:val="13"/>
          <w:szCs w:val="13"/>
          <w:color w:val="auto"/>
        </w:rPr>
      </w:pPr>
      <w:r>
        <w:rPr>
          <w:rFonts w:ascii="Arial" w:cs="Arial" w:eastAsia="Arial" w:hAnsi="Arial"/>
          <w:sz w:val="15"/>
          <w:szCs w:val="15"/>
          <w:color w:val="auto"/>
        </w:rPr>
        <w:t>System capacity is expected to be increased over time as environmental monitoring, production and experience milestones are met, which we believe will help manage environmental and operational risk, minimize up-front capital expenditure requirements and allow for staged increases in capacity as environmental review thresholds are met.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67">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39pt"/>
            </w:pict>
          </mc:Fallback>
        </mc:AlternateContent>
      </w:r>
    </w:p>
    <w:p>
      <w:pPr>
        <w:sectPr>
          <w:pgSz w:w="13680" w:h="17280" w:orient="portrait"/>
          <w:cols w:equalWidth="0" w:num="1">
            <w:col w:w="10800"/>
          </w:cols>
          <w:pgMar w:left="1440" w:top="1440" w:right="1440"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60" w:right="80"/>
        <w:spacing w:after="0" w:line="259" w:lineRule="auto"/>
        <w:rPr>
          <w:sz w:val="20"/>
          <w:szCs w:val="20"/>
          <w:color w:val="auto"/>
        </w:rPr>
      </w:pPr>
      <w:r>
        <w:rPr>
          <w:rFonts w:ascii="Arial" w:cs="Arial" w:eastAsia="Arial" w:hAnsi="Arial"/>
          <w:sz w:val="15"/>
          <w:szCs w:val="15"/>
          <w:color w:val="auto"/>
        </w:rPr>
        <w:t>The work program with Allseas in 2024 continued the reviewing of the test mining system’s performance, addressing operational issues, and identifying potential improvements for incorporation into the design. Key aspects included scaling technology to meet commercial production rates for the Project Zero Offshore Nodule Collection System and integrating this scaled-up technology into the Hidden Gem. As previously reported, the engineering scope was divided into six major work packages: collector, vertical transport system, storage &amp; offloading, control &amp; automation, electrical &amp; instrumentation, and flow assurance. Engineering studies progressed on offshore nodule offloading and transportation systems, including hydrodynamic simulations and dynamic positioning analysis. Notably, the offshore loading process was independently peer-reviewed with satisfactory outcomes. Ongoing design reviews were conducted at Allseas’ office in Delft, Netherlands, attended by TMC, Allseas, and third-party consultants. Allseas supports our ongoing work to complete a pre-feasibility study, including assistance in establishing cost estimates, schedules, and pre-feasibility study level engineering deliverables. Discussions continued regarding system design specifics and further cost considerations. Furthermore, Allseas continues to work collaboratively with NORI on environmental monitoring scopes to be included in the EIS and Environmental Management and Monitoring Plan (“EMMP”) process.</w:t>
      </w:r>
    </w:p>
    <w:p>
      <w:pPr>
        <w:spacing w:after="0" w:line="117"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Regular meetings between us and Allseas cover various project aspects, including health, safety and environment. We believe that as of February 2025, the ongoing program of engineering work is nearly complete and we are ready to launch into the next phase of development when we have further insight into ISA regulatory requirements and progress.</w:t>
      </w:r>
    </w:p>
    <w:p>
      <w:pPr>
        <w:spacing w:after="0" w:line="102" w:lineRule="exact"/>
        <w:rPr>
          <w:sz w:val="20"/>
          <w:szCs w:val="20"/>
          <w:color w:val="auto"/>
        </w:rPr>
      </w:pPr>
    </w:p>
    <w:p>
      <w:pPr>
        <w:jc w:val="both"/>
        <w:ind w:left="360" w:right="80"/>
        <w:spacing w:after="0" w:line="288" w:lineRule="auto"/>
        <w:rPr>
          <w:sz w:val="20"/>
          <w:szCs w:val="20"/>
          <w:color w:val="auto"/>
        </w:rPr>
      </w:pPr>
      <w:r>
        <w:rPr>
          <w:rFonts w:ascii="Arial" w:cs="Arial" w:eastAsia="Arial" w:hAnsi="Arial"/>
          <w:sz w:val="14"/>
          <w:szCs w:val="14"/>
          <w:color w:val="auto"/>
        </w:rPr>
        <w:t>Further to our non-binding term sheet entered into in March 2022 with Allseas, we continue discussions with Allseas regarding the specifics of these upgrades and the continued development of the Project Zero Offshore Nodule Collection System and anticipate reaching definitive agreements on commercial terms and key terms around continued development and commercial operations with Allseas before the submission of the NORI exploitation application in 2025. There can be no assurances, however, that we will enter into definitive agreements with Allseas in a particular time period, or at all, or on terms similar to those currently expected, or that if such definitive agreements are entered into that the Project Zero Offshore Nodule Collection System will be successfully developed or operated.</w:t>
      </w:r>
    </w:p>
    <w:p>
      <w:pPr>
        <w:spacing w:after="0" w:line="109" w:lineRule="exact"/>
        <w:rPr>
          <w:sz w:val="20"/>
          <w:szCs w:val="20"/>
          <w:color w:val="auto"/>
        </w:rPr>
      </w:pPr>
    </w:p>
    <w:p>
      <w:pPr>
        <w:jc w:val="both"/>
        <w:ind w:left="360" w:right="80" w:firstLine="1"/>
        <w:spacing w:after="0" w:line="269" w:lineRule="auto"/>
        <w:rPr>
          <w:sz w:val="20"/>
          <w:szCs w:val="20"/>
          <w:color w:val="auto"/>
        </w:rPr>
      </w:pPr>
      <w:r>
        <w:rPr>
          <w:rFonts w:ascii="Arial" w:cs="Arial" w:eastAsia="Arial" w:hAnsi="Arial"/>
          <w:sz w:val="15"/>
          <w:szCs w:val="15"/>
          <w:color w:val="auto"/>
        </w:rPr>
        <w:t xml:space="preserve">In addition, on August 1, 2023, we entered into an Exclusive Vessel Use Agreement with Allseas pursuant to which Allseas will give exclusive use of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to us in support of the development of the Project Zero Offshore Nodule Collection System until the system is completed or December 31, 2026, whichever is earlier. In consideration of the exclusivity term, we have issued 4.15 million of our common shares to Allseas (“Common Shares”) on August 14, 2023. We expect that the definitive agreement with Allseas discussed above will extend the exclusive use of the </w:t>
      </w:r>
      <w:r>
        <w:rPr>
          <w:rFonts w:ascii="Arial" w:cs="Arial" w:eastAsia="Arial" w:hAnsi="Arial"/>
          <w:sz w:val="15"/>
          <w:szCs w:val="15"/>
          <w:i w:val="1"/>
          <w:iCs w:val="1"/>
          <w:color w:val="auto"/>
        </w:rPr>
        <w:t>Hidden Gem</w:t>
      </w:r>
      <w:r>
        <w:rPr>
          <w:rFonts w:ascii="Arial" w:cs="Arial" w:eastAsia="Arial" w:hAnsi="Arial"/>
          <w:sz w:val="15"/>
          <w:szCs w:val="15"/>
          <w:color w:val="auto"/>
        </w:rPr>
        <w:t>.</w:t>
      </w:r>
    </w:p>
    <w:p>
      <w:pPr>
        <w:spacing w:after="0" w:line="105" w:lineRule="exact"/>
        <w:rPr>
          <w:sz w:val="20"/>
          <w:szCs w:val="20"/>
          <w:color w:val="auto"/>
        </w:rPr>
      </w:pPr>
    </w:p>
    <w:p>
      <w:pPr>
        <w:jc w:val="both"/>
        <w:ind w:left="360" w:right="80" w:hanging="280"/>
        <w:spacing w:after="0" w:line="280" w:lineRule="auto"/>
        <w:tabs>
          <w:tab w:leader="none" w:pos="361"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ESIA and CHIA for offshore nodule collection</w:t>
      </w:r>
      <w:r>
        <w:rPr>
          <w:rFonts w:ascii="Arial" w:cs="Arial" w:eastAsia="Arial" w:hAnsi="Arial"/>
          <w:sz w:val="14"/>
          <w:szCs w:val="14"/>
          <w:color w:val="auto"/>
        </w:rPr>
        <w:t>: The ESIA and CHIA is an integral part of preparing our application for the ISA exploitation license on the NORI</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Contract Area. Our ESIA and CHIA programs consist of over 100 studies and rely on the work of multiple independent deep-sea research institutions and expert consultants. In 2022, we undertook the collector test monitoring campaigns which included completion of pre-collector test baseline data collection, monitoring of the collector test and completion of post collection surveys to determine the immediate impact to the environment of the collector. The monitoring was undertaken using the </w:t>
      </w:r>
      <w:r>
        <w:rPr>
          <w:rFonts w:ascii="Arial" w:cs="Arial" w:eastAsia="Arial" w:hAnsi="Arial"/>
          <w:sz w:val="14"/>
          <w:szCs w:val="14"/>
          <w:i w:val="1"/>
          <w:iCs w:val="1"/>
          <w:color w:val="auto"/>
        </w:rPr>
        <w:t>Island Pride</w:t>
      </w:r>
      <w:r>
        <w:rPr>
          <w:rFonts w:ascii="Arial" w:cs="Arial" w:eastAsia="Arial" w:hAnsi="Arial"/>
          <w:sz w:val="14"/>
          <w:szCs w:val="14"/>
          <w:color w:val="auto"/>
        </w:rPr>
        <w:t>, a vessel contracted from Ocean Infinity Group Limited, deploying 2 remotely operated vehicles (“ROVs”), 3 autonomous underwater vehicles (“AUVs”)</w:t>
      </w:r>
      <w:r>
        <w:rPr>
          <w:rFonts w:ascii="Arial" w:cs="Arial" w:eastAsia="Arial" w:hAnsi="Arial"/>
          <w:sz w:val="14"/>
          <w:szCs w:val="14"/>
          <w:i w:val="1"/>
          <w:iCs w:val="1"/>
          <w:color w:val="auto"/>
        </w:rPr>
        <w:t xml:space="preserve"> </w:t>
      </w:r>
      <w:r>
        <w:rPr>
          <w:rFonts w:ascii="Arial" w:cs="Arial" w:eastAsia="Arial" w:hAnsi="Arial"/>
          <w:sz w:val="14"/>
          <w:szCs w:val="14"/>
          <w:color w:val="auto"/>
        </w:rPr>
        <w:t>and an array of more than 50 seafloor sensors, supervised by multiple teams of scientists and sediment plume expert consultants, DHI Water and Environment Inc. and HR Wallingford who conducted a sound assessment. These campaigns commenced on July 15, 2022 and were completed on December 23, 2022, representing 146 operational days at sea. The preliminary plume results from the collector test have been shared with a wide range of stakeholders and presentations were conducted at the ISA during the fourth quarter of 2023. The results showed that the plume behaves as a density current with most material staying within 2 meters of the seafloor and most material settling within 1 kilometer from the source.</w:t>
      </w:r>
    </w:p>
    <w:p>
      <w:pPr>
        <w:spacing w:after="0" w:line="102" w:lineRule="exact"/>
        <w:rPr>
          <w:rFonts w:ascii="Arial" w:cs="Arial" w:eastAsia="Arial" w:hAnsi="Arial"/>
          <w:sz w:val="14"/>
          <w:szCs w:val="14"/>
          <w:color w:val="auto"/>
        </w:rPr>
      </w:pPr>
    </w:p>
    <w:p>
      <w:pPr>
        <w:jc w:val="both"/>
        <w:ind w:left="360" w:right="80"/>
        <w:spacing w:after="0" w:line="265" w:lineRule="auto"/>
        <w:rPr>
          <w:rFonts w:ascii="Arial" w:cs="Arial" w:eastAsia="Arial" w:hAnsi="Arial"/>
          <w:sz w:val="14"/>
          <w:szCs w:val="14"/>
          <w:color w:val="auto"/>
        </w:rPr>
      </w:pPr>
      <w:r>
        <w:rPr>
          <w:rFonts w:ascii="Arial" w:cs="Arial" w:eastAsia="Arial" w:hAnsi="Arial"/>
          <w:sz w:val="15"/>
          <w:szCs w:val="15"/>
          <w:color w:val="auto"/>
        </w:rPr>
        <w:t>In October 2023, we entered into a services agreement with a third party in order for NORI to conduct an assessment of the benthic impact of the 2022 collector test in NORI Area D approximately 12 months post the collector test activities (“Campaign 8A”), which we believe will strengthen the quality of NORI’s EIS and Environmental Management and Monitoring Plan (“EMMP”) by providing additional information on the environmental regeneration in the collection test area. The key activities completed during Campaign 8A were box cores, multicores, benthic and covariance lander works, and megafauna and sedimentation survey around the test field area.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2">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59pt"/>
            </w:pict>
          </mc:Fallback>
        </mc:AlternateContent>
      </w:r>
    </w:p>
    <w:p>
      <w:pPr>
        <w:sectPr>
          <w:pgSz w:w="13680" w:h="17280" w:orient="portrait"/>
          <w:cols w:equalWidth="0" w:num="1">
            <w:col w:w="10800"/>
          </w:cols>
          <w:pgMar w:left="1440" w:top="1440"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60" w:right="80" w:firstLine="1"/>
        <w:spacing w:after="0" w:line="276" w:lineRule="auto"/>
        <w:rPr>
          <w:sz w:val="20"/>
          <w:szCs w:val="20"/>
          <w:color w:val="auto"/>
        </w:rPr>
      </w:pPr>
      <w:r>
        <w:rPr>
          <w:rFonts w:ascii="Arial" w:cs="Arial" w:eastAsia="Arial" w:hAnsi="Arial"/>
          <w:sz w:val="14"/>
          <w:szCs w:val="14"/>
          <w:color w:val="auto"/>
        </w:rPr>
        <w:t>Notwithstanding that Campaign 8A was subject to coordinated disruptive activities by Greenpeace International (“Greenpeace”) designed to prevent and obstruct the campaign, it was successfully completed on December 28, 2023. The team selected 19 sampling stations in the locality of the 2022 nodule collection system test in NORI Area D and conducted 39 multicore deployments, recovering 395 individual core samples. These yielded more than 600 subsamples that will be shared with independent researchers from leading marine research institutions for further biological analysis. Additionally, using a remotely operated vehicle, the research team deployed innovative seafloor lander systems capable of measuring seafloor oxygen fluxes using eddy covariance methods. This resulted in over 600 hours of data acquisition at a maximum deployment depth of 4,285 meters, which is the first time these bespoke sensor suites have been deployed at abyssal depths. This data is supplemented by over one thousand core sub-samples for geochemical analysis. Researchers also conducted the fourth annual recovery and redeployment of three oceanographic moorings within NORI Area D. The sensor payload on the moorings provides insights into the soundscape, regional oceanographic currents, and particulate organic carbon flux in the Eastern CCZ regions. This data contributes to the long-term oceanographic time series and importantly will cover the El Niño-Southern Oscillation fluctuations. Greenpeace spent 11 days actively obstructing the planned work of Campaign 8A, resulting in a significant impact to the work scopes planned for the campaign which we were able to successfully mitigate. In the case of TOML and our planned work as part of Campaign 8A, its work scope included the deployment of long-term monitoring moorings which was completely obstructed and was not able to be completed. The NORI and TOML work scopes were part of ISA approved plans of work and in NORI’s case, the post disturbance sampling was a specific suggestion of the ISA. NORI pursued legal action through the Dutch courts to halt Greenpeace’s activities and requested further assistance from the ISA. The District Court of Amsterdam ruled that Greenpeace’s occupation of NORI’s contracted vessel, the MV Coco, was unlawful, which led to the disembarkation of Greenpeace personnel. Greenpeace continued to actively obstruct NORI’s and TOML’s activities notwithstanding the court ruling. On November 12, 2024, the Court of Appeal in Amsterdam upheld the lower court’s ruling, reaffirming that Greenpeace’s occupation of the MV Coco was unlawful. The court also dismissed Greenpeace’s objection that NORI’s claims were inadmissible, affirming that NORI has a legally recognized interest in bringing claims against Greenpeace and retains the ability to pursue future legal action, including claims for damages, before Dutch courts.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2024, NORI continued making progress on its ESIA and CHIA, both of which will be part of NORI’s application for an exploitation contract to the ISA.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Baseline data continued to be compiled and assessed for the ESIA.</w:t>
      </w:r>
    </w:p>
    <w:p>
      <w:pPr>
        <w:spacing w:after="0" w:line="193"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Two global stakeholder webinars were held in 2024 which provided stakeholders with updates on the CHIA study’s methodologies and baseline data collection efforts. A review of bathymetry data to assess potential tangible cultural heritage sites was also undertaken and stakeholder engagement meetings were conducted in the Pacific, specifically in Nauru and Tonga, to inform the study.</w:t>
      </w:r>
    </w:p>
    <w:p>
      <w:pPr>
        <w:spacing w:after="0" w:line="134" w:lineRule="exact"/>
        <w:rPr>
          <w:sz w:val="20"/>
          <w:szCs w:val="20"/>
          <w:color w:val="auto"/>
        </w:rPr>
      </w:pPr>
    </w:p>
    <w:p>
      <w:pPr>
        <w:jc w:val="both"/>
        <w:ind w:left="360" w:right="100" w:hanging="280"/>
        <w:spacing w:after="0" w:line="266" w:lineRule="auto"/>
        <w:tabs>
          <w:tab w:leader="none" w:pos="36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Onshore technology development: </w:t>
      </w:r>
      <w:r>
        <w:rPr>
          <w:rFonts w:ascii="Arial" w:cs="Arial" w:eastAsia="Arial" w:hAnsi="Arial"/>
          <w:sz w:val="15"/>
          <w:szCs w:val="15"/>
          <w:color w:val="auto"/>
        </w:rPr>
        <w:t>With the support of engineering firm Hatch and consultants KPM, we have developed a near-zero solid waste flowsheet. The</w:t>
      </w:r>
      <w:r>
        <w:rPr>
          <w:rFonts w:ascii="Arial" w:cs="Arial" w:eastAsia="Arial" w:hAnsi="Arial"/>
          <w:sz w:val="15"/>
          <w:szCs w:val="15"/>
          <w:b w:val="1"/>
          <w:bCs w:val="1"/>
          <w:color w:val="auto"/>
        </w:rPr>
        <w:t xml:space="preserve"> </w:t>
      </w:r>
      <w:r>
        <w:rPr>
          <w:rFonts w:ascii="Arial" w:cs="Arial" w:eastAsia="Arial" w:hAnsi="Arial"/>
          <w:sz w:val="15"/>
          <w:szCs w:val="15"/>
          <w:color w:val="auto"/>
        </w:rPr>
        <w:t>primary processing stages of the flowsheet from nodule to an Fe-NiCuCo alloy and subsequent NiCuCo matte intermediate were demonstrated as part of our pilot plant program at FLSmidth (FLS, calcining) and eXpert Process Solutions, a Glencore company (XPS, smelting, sulfidation and converting), facilities. The matte refining stages were tested at SGS Lakefield and the ability to produce high purity nickel and cobalt sulfates was demonstrated. The near-zero solid waste flowsheet is expected to serve as the basis for our onshore processing facilities.</w:t>
      </w:r>
    </w:p>
    <w:p>
      <w:pPr>
        <w:spacing w:after="0" w:line="144" w:lineRule="exact"/>
        <w:rPr>
          <w:rFonts w:ascii="Arial" w:cs="Arial" w:eastAsia="Arial" w:hAnsi="Arial"/>
          <w:sz w:val="15"/>
          <w:szCs w:val="15"/>
          <w:color w:val="auto"/>
        </w:rPr>
      </w:pPr>
    </w:p>
    <w:p>
      <w:pPr>
        <w:jc w:val="both"/>
        <w:ind w:left="360" w:right="80"/>
        <w:spacing w:after="0" w:line="269" w:lineRule="auto"/>
        <w:rPr>
          <w:rFonts w:ascii="Arial" w:cs="Arial" w:eastAsia="Arial" w:hAnsi="Arial"/>
          <w:sz w:val="15"/>
          <w:szCs w:val="15"/>
          <w:color w:val="auto"/>
        </w:rPr>
      </w:pPr>
      <w:r>
        <w:rPr>
          <w:rFonts w:ascii="Arial" w:cs="Arial" w:eastAsia="Arial" w:hAnsi="Arial"/>
          <w:sz w:val="15"/>
          <w:szCs w:val="15"/>
          <w:i w:val="1"/>
          <w:iCs w:val="1"/>
          <w:color w:val="auto"/>
        </w:rPr>
        <w:t xml:space="preserve">PAMCO: </w:t>
      </w:r>
      <w:r>
        <w:rPr>
          <w:rFonts w:ascii="Arial" w:cs="Arial" w:eastAsia="Arial" w:hAnsi="Arial"/>
          <w:sz w:val="15"/>
          <w:szCs w:val="15"/>
          <w:color w:val="auto"/>
        </w:rPr>
        <w:t>In November 2022, we entered into a non-binding MoU with PAMCO. In November 2023, we entered into a binding MoU with PAMCO of Japan, whereby</w:t>
      </w:r>
      <w:r>
        <w:rPr>
          <w:rFonts w:ascii="Arial" w:cs="Arial" w:eastAsia="Arial" w:hAnsi="Arial"/>
          <w:sz w:val="15"/>
          <w:szCs w:val="15"/>
          <w:i w:val="1"/>
          <w:iCs w:val="1"/>
          <w:color w:val="auto"/>
        </w:rPr>
        <w:t xml:space="preserve"> </w:t>
      </w:r>
      <w:r>
        <w:rPr>
          <w:rFonts w:ascii="Arial" w:cs="Arial" w:eastAsia="Arial" w:hAnsi="Arial"/>
          <w:sz w:val="15"/>
          <w:szCs w:val="15"/>
          <w:color w:val="auto"/>
        </w:rPr>
        <w:t>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w:t>
      </w:r>
    </w:p>
    <w:p>
      <w:pPr>
        <w:spacing w:after="0" w:line="141" w:lineRule="exact"/>
        <w:rPr>
          <w:rFonts w:ascii="Arial" w:cs="Arial" w:eastAsia="Arial" w:hAnsi="Arial"/>
          <w:sz w:val="15"/>
          <w:szCs w:val="15"/>
          <w:color w:val="auto"/>
        </w:rPr>
      </w:pPr>
    </w:p>
    <w:p>
      <w:pPr>
        <w:ind w:left="360" w:right="100"/>
        <w:spacing w:after="0" w:line="337" w:lineRule="auto"/>
        <w:rPr>
          <w:rFonts w:ascii="Arial" w:cs="Arial" w:eastAsia="Arial" w:hAnsi="Arial"/>
          <w:sz w:val="15"/>
          <w:szCs w:val="15"/>
          <w:color w:val="auto"/>
        </w:rPr>
      </w:pPr>
      <w:r>
        <w:rPr>
          <w:rFonts w:ascii="Arial" w:cs="Arial" w:eastAsia="Arial" w:hAnsi="Arial"/>
          <w:sz w:val="14"/>
          <w:szCs w:val="14"/>
          <w:color w:val="auto"/>
        </w:rPr>
        <w:t>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96" w:lineRule="exact"/>
        <w:rPr>
          <w:rFonts w:ascii="Arial" w:cs="Arial" w:eastAsia="Arial" w:hAnsi="Arial"/>
          <w:sz w:val="15"/>
          <w:szCs w:val="15"/>
          <w:color w:val="auto"/>
        </w:rPr>
      </w:pPr>
    </w:p>
    <w:p>
      <w:pPr>
        <w:ind w:left="360" w:right="80"/>
        <w:spacing w:after="0" w:line="299" w:lineRule="auto"/>
        <w:rPr>
          <w:rFonts w:ascii="Arial" w:cs="Arial" w:eastAsia="Arial" w:hAnsi="Arial"/>
          <w:sz w:val="15"/>
          <w:szCs w:val="15"/>
          <w:color w:val="auto"/>
        </w:rPr>
      </w:pPr>
      <w:r>
        <w:rPr>
          <w:rFonts w:ascii="Arial" w:cs="Arial" w:eastAsia="Arial" w:hAnsi="Arial"/>
          <w:sz w:val="15"/>
          <w:szCs w:val="15"/>
          <w:color w:val="auto"/>
        </w:rPr>
        <w:t>PAMCO successfully completed a pre-feasibility exercise pursuant to the non-binding MoU signed by the parties in November 2022. Under the binding MoU signed in November 2023:</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20" w:hanging="268"/>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PAMCO, with our support, expects to complete the feasibility study by mid-2025.</w:t>
      </w:r>
    </w:p>
    <w:p>
      <w:pPr>
        <w:spacing w:after="0" w:line="193" w:lineRule="exact"/>
        <w:rPr>
          <w:rFonts w:ascii="Arial" w:cs="Arial" w:eastAsia="Arial" w:hAnsi="Arial"/>
          <w:sz w:val="15"/>
          <w:szCs w:val="15"/>
          <w:color w:val="auto"/>
        </w:rPr>
      </w:pPr>
    </w:p>
    <w:p>
      <w:pPr>
        <w:ind w:left="920" w:right="100" w:hanging="268"/>
        <w:spacing w:after="0" w:line="299" w:lineRule="auto"/>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will provide PAMCO with the exclusive right to the first 1.3Mtpa of the expected 3Mtpa of wet nodule collection capacity of our first nodule collection system until completion of the feasibility study.</w:t>
      </w:r>
    </w:p>
    <w:p>
      <w:pPr>
        <w:spacing w:after="0" w:line="119" w:lineRule="exact"/>
        <w:rPr>
          <w:rFonts w:ascii="Arial" w:cs="Arial" w:eastAsia="Arial" w:hAnsi="Arial"/>
          <w:sz w:val="15"/>
          <w:szCs w:val="15"/>
          <w:color w:val="auto"/>
        </w:rPr>
      </w:pPr>
    </w:p>
    <w:p>
      <w:pPr>
        <w:ind w:left="920" w:hanging="268"/>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parties will enter into good faith negotiations to finalize definitive processing agreements on completion of the feasibility study.</w:t>
      </w:r>
    </w:p>
    <w:p>
      <w:pPr>
        <w:spacing w:after="0" w:line="194" w:lineRule="exact"/>
        <w:rPr>
          <w:sz w:val="20"/>
          <w:szCs w:val="20"/>
          <w:color w:val="auto"/>
        </w:rPr>
      </w:pPr>
    </w:p>
    <w:p>
      <w:pPr>
        <w:jc w:val="both"/>
        <w:ind w:left="360" w:right="80"/>
        <w:spacing w:after="0" w:line="263" w:lineRule="auto"/>
        <w:rPr>
          <w:sz w:val="20"/>
          <w:szCs w:val="20"/>
          <w:color w:val="auto"/>
        </w:rPr>
      </w:pPr>
      <w:r>
        <w:rPr>
          <w:rFonts w:ascii="Arial" w:cs="Arial" w:eastAsia="Arial" w:hAnsi="Arial"/>
          <w:sz w:val="15"/>
          <w:szCs w:val="15"/>
          <w:color w:val="auto"/>
        </w:rPr>
        <w:t>The feasibility study is expected to confirm operating parameters and product specifications for PAMCO’s dedicated production line and define the scope and execution plan for any additional equipment requirements, which are expected to be minor. An extended pilot demonstration program utilizing existing kilns and furnaces at PAMCO’s Hachinohe, Japan facility is in progress, treating a 2,000 tonne sample of polymetallic nodules collected during the successful pilot nodule collector test completed by Allseas in November 2022 on NORI Area D, with the goal of optimizing the furnace refractory selection and confirming commercial scale operating parameters such as tapping temperatures and dusting rates when treating nodules through the Hachinohe facility. The cost of processing polymetallic nodules will also be estimated to help finalize the definitive processing agreements.</w:t>
      </w:r>
    </w:p>
    <w:p>
      <w:pPr>
        <w:spacing w:after="0" w:line="147"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37" w:lineRule="exact"/>
        <w:rPr>
          <w:sz w:val="20"/>
          <w:szCs w:val="20"/>
          <w:color w:val="auto"/>
        </w:rPr>
      </w:pPr>
    </w:p>
    <w:p>
      <w:pPr>
        <w:jc w:val="both"/>
        <w:ind w:left="360" w:right="100"/>
        <w:spacing w:after="0" w:line="276" w:lineRule="auto"/>
        <w:rPr>
          <w:sz w:val="20"/>
          <w:szCs w:val="20"/>
          <w:color w:val="auto"/>
        </w:rPr>
      </w:pPr>
      <w:r>
        <w:rPr>
          <w:rFonts w:ascii="Arial" w:cs="Arial" w:eastAsia="Arial" w:hAnsi="Arial"/>
          <w:sz w:val="15"/>
          <w:szCs w:val="15"/>
          <w:color w:val="auto"/>
        </w:rPr>
        <w:t>On September 9, 2024, we announced that PAMCO had successfully produced 500 tonnes of calcine from smelting polymetallic nodules and then on February 18, 2025, we announced that approximately 450 tonnes of calcine had been successfully smelted by PAMCO to produce nickel-copper-cobalt alloy and manganese silicate products.</w:t>
      </w:r>
    </w:p>
    <w:p>
      <w:pPr>
        <w:spacing w:after="0" w:line="137"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We are also in the initial stages of considering the possibility of a U.S.-based regulatory pathway with NOAA and the U.S. Department of Commerce under the DSHMRA for the commercial production of deep-sea polymetallic nodules in the CCZ.</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Summary of Mineral Resources</w:t>
      </w:r>
    </w:p>
    <w:p>
      <w:pPr>
        <w:spacing w:after="0" w:line="196"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Below is a summary table of estimated mineral resources in NORI and TOML contract areas as of December 31, 2024. The estimated mineral resources in these areas were determined in 2021 as of December 31, 2020, and also reflect the estimated mineral resources as of December 31, 2024, as none of the mineral resources in these areas were depleted by mining or any other activities.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below for additional information about our estimated mineral resources. Both of these contract areas are in the exploration stage.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right="80"/>
        <w:spacing w:after="0" w:line="224" w:lineRule="auto"/>
        <w:rPr>
          <w:sz w:val="20"/>
          <w:szCs w:val="20"/>
          <w:color w:val="auto"/>
        </w:rPr>
      </w:pPr>
      <w:r>
        <w:rPr>
          <w:rFonts w:ascii="Arial" w:cs="Arial" w:eastAsia="Arial" w:hAnsi="Arial"/>
          <w:sz w:val="15"/>
          <w:szCs w:val="15"/>
          <w:b w:val="1"/>
          <w:bCs w:val="1"/>
          <w:color w:val="auto"/>
        </w:rPr>
        <w:t>Summary Mineral Resources, In-Situ, at end of the fiscal year ended December 31, 2024 at 4kg/m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abundance cut-off and based on nickel metal $16,472/t; copper metal $6,872/t; cobalt metal $46,333/t; manganese in manganese silicate $4.50/dmtu Mn.</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20" w:type="dxa"/>
            <w:vAlign w:val="bottom"/>
            <w:gridSpan w:val="4"/>
            <w:vMerge w:val="restart"/>
          </w:tcPr>
          <w:p>
            <w:pPr>
              <w:ind w:left="260"/>
              <w:spacing w:after="0"/>
              <w:rPr>
                <w:sz w:val="20"/>
                <w:szCs w:val="20"/>
                <w:color w:val="auto"/>
              </w:rPr>
            </w:pPr>
            <w:r>
              <w:rPr>
                <w:rFonts w:ascii="Arial" w:cs="Arial" w:eastAsia="Arial" w:hAnsi="Arial"/>
                <w:sz w:val="12"/>
                <w:szCs w:val="12"/>
                <w:b w:val="1"/>
                <w:bCs w:val="1"/>
                <w:color w:val="auto"/>
              </w:rPr>
              <w:t>Measured mineral</w:t>
            </w:r>
          </w:p>
        </w:tc>
        <w:tc>
          <w:tcPr>
            <w:tcW w:w="1640" w:type="dxa"/>
            <w:vAlign w:val="bottom"/>
            <w:gridSpan w:val="4"/>
            <w:vMerge w:val="restart"/>
          </w:tcPr>
          <w:p>
            <w:pPr>
              <w:ind w:left="280"/>
              <w:spacing w:after="0"/>
              <w:rPr>
                <w:sz w:val="20"/>
                <w:szCs w:val="20"/>
                <w:color w:val="auto"/>
              </w:rPr>
            </w:pPr>
            <w:r>
              <w:rPr>
                <w:rFonts w:ascii="Arial" w:cs="Arial" w:eastAsia="Arial" w:hAnsi="Arial"/>
                <w:sz w:val="12"/>
                <w:szCs w:val="12"/>
                <w:b w:val="1"/>
                <w:bCs w:val="1"/>
                <w:color w:val="auto"/>
              </w:rPr>
              <w:t>Indicated mineral</w:t>
            </w:r>
          </w:p>
        </w:tc>
        <w:tc>
          <w:tcPr>
            <w:tcW w:w="16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Measured +</w:t>
            </w:r>
          </w:p>
        </w:tc>
        <w:tc>
          <w:tcPr>
            <w:tcW w:w="1500" w:type="dxa"/>
            <w:vAlign w:val="bottom"/>
            <w:gridSpan w:val="3"/>
            <w:vMerge w:val="restart"/>
          </w:tcPr>
          <w:p>
            <w:pPr>
              <w:jc w:val="right"/>
              <w:ind w:right="245"/>
              <w:spacing w:after="0"/>
              <w:rPr>
                <w:sz w:val="20"/>
                <w:szCs w:val="20"/>
                <w:color w:val="auto"/>
              </w:rPr>
            </w:pPr>
            <w:r>
              <w:rPr>
                <w:rFonts w:ascii="Arial" w:cs="Arial" w:eastAsia="Arial" w:hAnsi="Arial"/>
                <w:sz w:val="12"/>
                <w:szCs w:val="12"/>
                <w:b w:val="1"/>
                <w:bCs w:val="1"/>
                <w:color w:val="auto"/>
              </w:rPr>
              <w:t>Inferred mineral</w:t>
            </w:r>
          </w:p>
        </w:tc>
        <w:tc>
          <w:tcPr>
            <w:tcW w:w="0" w:type="dxa"/>
            <w:vAlign w:val="bottom"/>
          </w:tcPr>
          <w:p>
            <w:pPr>
              <w:spacing w:after="0"/>
              <w:rPr>
                <w:sz w:val="1"/>
                <w:szCs w:val="1"/>
                <w:color w:val="auto"/>
              </w:rPr>
            </w:pPr>
          </w:p>
        </w:tc>
      </w:tr>
      <w:tr>
        <w:trPr>
          <w:trHeight w:val="126"/>
        </w:trPr>
        <w:tc>
          <w:tcPr>
            <w:tcW w:w="2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1640" w:type="dxa"/>
            <w:vAlign w:val="bottom"/>
            <w:gridSpan w:val="4"/>
            <w:vMerge w:val="continue"/>
          </w:tcPr>
          <w:p>
            <w:pPr>
              <w:spacing w:after="0"/>
              <w:rPr>
                <w:sz w:val="10"/>
                <w:szCs w:val="10"/>
                <w:color w:val="auto"/>
              </w:rPr>
            </w:pPr>
          </w:p>
        </w:tc>
        <w:tc>
          <w:tcPr>
            <w:tcW w:w="1640" w:type="dxa"/>
            <w:vAlign w:val="bottom"/>
            <w:gridSpan w:val="4"/>
          </w:tcPr>
          <w:p>
            <w:pPr>
              <w:jc w:val="center"/>
              <w:ind w:right="160"/>
              <w:spacing w:after="0" w:line="126" w:lineRule="exact"/>
              <w:rPr>
                <w:sz w:val="20"/>
                <w:szCs w:val="20"/>
                <w:color w:val="auto"/>
              </w:rPr>
            </w:pPr>
            <w:r>
              <w:rPr>
                <w:rFonts w:ascii="Arial" w:cs="Arial" w:eastAsia="Arial" w:hAnsi="Arial"/>
                <w:sz w:val="12"/>
                <w:szCs w:val="12"/>
                <w:b w:val="1"/>
                <w:bCs w:val="1"/>
                <w:color w:val="auto"/>
                <w:w w:val="93"/>
              </w:rPr>
              <w:t>indicated mineral</w:t>
            </w:r>
          </w:p>
        </w:tc>
        <w:tc>
          <w:tcPr>
            <w:tcW w:w="1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2"/>
                <w:szCs w:val="12"/>
                <w:b w:val="1"/>
                <w:bCs w:val="1"/>
                <w:color w:val="auto"/>
              </w:rPr>
              <w:t>resources</w:t>
            </w:r>
          </w:p>
        </w:tc>
        <w:tc>
          <w:tcPr>
            <w:tcW w:w="16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2"/>
                <w:szCs w:val="12"/>
                <w:b w:val="1"/>
                <w:bCs w:val="1"/>
                <w:color w:val="auto"/>
              </w:rPr>
              <w:t>resources</w:t>
            </w:r>
          </w:p>
        </w:tc>
        <w:tc>
          <w:tcPr>
            <w:tcW w:w="160" w:type="dxa"/>
            <w:vAlign w:val="bottom"/>
          </w:tcPr>
          <w:p>
            <w:pPr>
              <w:spacing w:after="0"/>
              <w:rPr>
                <w:sz w:val="12"/>
                <w:szCs w:val="12"/>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7"/>
              </w:rPr>
              <w:t>resources</w:t>
            </w:r>
          </w:p>
        </w:tc>
        <w:tc>
          <w:tcPr>
            <w:tcW w:w="160" w:type="dxa"/>
            <w:vAlign w:val="bottom"/>
          </w:tcPr>
          <w:p>
            <w:pPr>
              <w:spacing w:after="0"/>
              <w:rPr>
                <w:sz w:val="12"/>
                <w:szCs w:val="12"/>
                <w:color w:val="auto"/>
              </w:rPr>
            </w:pPr>
          </w:p>
        </w:tc>
        <w:tc>
          <w:tcPr>
            <w:tcW w:w="150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2"/>
                <w:szCs w:val="12"/>
                <w:b w:val="1"/>
                <w:bCs w:val="1"/>
                <w:color w:val="auto"/>
              </w:rPr>
              <w:t>resources</w:t>
            </w: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9"/>
              </w:rPr>
              <w:t>Million</w:t>
            </w: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Grades</w:t>
            </w:r>
          </w:p>
        </w:tc>
        <w:tc>
          <w:tcPr>
            <w:tcW w:w="82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9"/>
              </w:rPr>
              <w:t>Million</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Grades</w:t>
            </w:r>
          </w:p>
        </w:tc>
        <w:tc>
          <w:tcPr>
            <w:tcW w:w="82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9"/>
              </w:rPr>
              <w:t>Million</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Grades</w:t>
            </w:r>
          </w:p>
        </w:tc>
        <w:tc>
          <w:tcPr>
            <w:tcW w:w="84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9"/>
              </w:rPr>
              <w:t>Million</w:t>
            </w:r>
          </w:p>
        </w:tc>
        <w:tc>
          <w:tcPr>
            <w:tcW w:w="660" w:type="dxa"/>
            <w:vAlign w:val="bottom"/>
            <w:vMerge w:val="restart"/>
          </w:tcPr>
          <w:p>
            <w:pPr>
              <w:jc w:val="right"/>
              <w:ind w:right="65"/>
              <w:spacing w:after="0"/>
              <w:rPr>
                <w:sz w:val="20"/>
                <w:szCs w:val="20"/>
                <w:color w:val="auto"/>
              </w:rPr>
            </w:pPr>
            <w:r>
              <w:rPr>
                <w:rFonts w:ascii="Arial" w:cs="Arial" w:eastAsia="Arial" w:hAnsi="Arial"/>
                <w:sz w:val="12"/>
                <w:szCs w:val="12"/>
                <w:b w:val="1"/>
                <w:bCs w:val="1"/>
                <w:color w:val="auto"/>
              </w:rPr>
              <w:t>Grades</w:t>
            </w:r>
          </w:p>
        </w:tc>
        <w:tc>
          <w:tcPr>
            <w:tcW w:w="0" w:type="dxa"/>
            <w:vAlign w:val="bottom"/>
          </w:tcPr>
          <w:p>
            <w:pPr>
              <w:spacing w:after="0"/>
              <w:rPr>
                <w:sz w:val="1"/>
                <w:szCs w:val="1"/>
                <w:color w:val="auto"/>
              </w:rPr>
            </w:pPr>
          </w:p>
        </w:tc>
      </w:tr>
      <w:tr>
        <w:trPr>
          <w:trHeight w:val="126"/>
        </w:trPr>
        <w:tc>
          <w:tcPr>
            <w:tcW w:w="2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6"/>
              </w:rPr>
              <w:t>tonnes</w:t>
            </w:r>
          </w:p>
        </w:tc>
        <w:tc>
          <w:tcPr>
            <w:tcW w:w="800" w:type="dxa"/>
            <w:vAlign w:val="bottom"/>
            <w:gridSpan w:val="2"/>
            <w:vMerge w:val="continue"/>
          </w:tcPr>
          <w:p>
            <w:pPr>
              <w:spacing w:after="0"/>
              <w:rPr>
                <w:sz w:val="10"/>
                <w:szCs w:val="10"/>
                <w:color w:val="auto"/>
              </w:rPr>
            </w:pPr>
          </w:p>
        </w:tc>
        <w:tc>
          <w:tcPr>
            <w:tcW w:w="82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6"/>
              </w:rPr>
              <w:t>tonnes</w:t>
            </w:r>
          </w:p>
        </w:tc>
        <w:tc>
          <w:tcPr>
            <w:tcW w:w="820" w:type="dxa"/>
            <w:vAlign w:val="bottom"/>
            <w:gridSpan w:val="2"/>
            <w:vMerge w:val="continue"/>
          </w:tcPr>
          <w:p>
            <w:pPr>
              <w:spacing w:after="0"/>
              <w:rPr>
                <w:sz w:val="10"/>
                <w:szCs w:val="10"/>
                <w:color w:val="auto"/>
              </w:rPr>
            </w:pPr>
          </w:p>
        </w:tc>
        <w:tc>
          <w:tcPr>
            <w:tcW w:w="82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6"/>
              </w:rPr>
              <w:t>tonnes</w:t>
            </w:r>
          </w:p>
        </w:tc>
        <w:tc>
          <w:tcPr>
            <w:tcW w:w="820" w:type="dxa"/>
            <w:vAlign w:val="bottom"/>
            <w:gridSpan w:val="2"/>
            <w:vMerge w:val="continue"/>
          </w:tcPr>
          <w:p>
            <w:pPr>
              <w:spacing w:after="0"/>
              <w:rPr>
                <w:sz w:val="10"/>
                <w:szCs w:val="10"/>
                <w:color w:val="auto"/>
              </w:rPr>
            </w:pPr>
          </w:p>
        </w:tc>
        <w:tc>
          <w:tcPr>
            <w:tcW w:w="84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86"/>
              </w:rPr>
              <w:t>tonnes</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(wet)</w:t>
            </w:r>
          </w:p>
        </w:tc>
        <w:tc>
          <w:tcPr>
            <w:tcW w:w="640" w:type="dxa"/>
            <w:vAlign w:val="bottom"/>
          </w:tcPr>
          <w:p>
            <w:pPr>
              <w:jc w:val="right"/>
              <w:ind w:right="145"/>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(wet)</w:t>
            </w:r>
          </w:p>
        </w:tc>
        <w:tc>
          <w:tcPr>
            <w:tcW w:w="660" w:type="dxa"/>
            <w:vAlign w:val="bottom"/>
          </w:tcPr>
          <w:p>
            <w:pPr>
              <w:jc w:val="right"/>
              <w:ind w:right="145"/>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(wet)</w:t>
            </w:r>
          </w:p>
        </w:tc>
        <w:tc>
          <w:tcPr>
            <w:tcW w:w="660" w:type="dxa"/>
            <w:vAlign w:val="bottom"/>
          </w:tcPr>
          <w:p>
            <w:pPr>
              <w:jc w:val="right"/>
              <w:ind w:right="145"/>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(wet)</w:t>
            </w:r>
          </w:p>
        </w:tc>
        <w:tc>
          <w:tcPr>
            <w:tcW w:w="660" w:type="dxa"/>
            <w:vAlign w:val="bottom"/>
          </w:tcPr>
          <w:p>
            <w:pPr>
              <w:jc w:val="right"/>
              <w:ind w:right="165"/>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424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5"/>
                <w:szCs w:val="15"/>
                <w:color w:val="auto"/>
              </w:rPr>
              <w:t>Ni</w:t>
            </w:r>
          </w:p>
        </w:tc>
        <w:tc>
          <w:tcPr>
            <w:tcW w:w="66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64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66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66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66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66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68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660" w:type="dxa"/>
            <w:vAlign w:val="bottom"/>
            <w:tcBorders>
              <w:top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NORI</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A</w:t>
            </w:r>
          </w:p>
        </w:tc>
        <w:tc>
          <w:tcPr>
            <w:tcW w:w="8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B</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C</w:t>
            </w:r>
          </w:p>
        </w:tc>
        <w:tc>
          <w:tcPr>
            <w:tcW w:w="8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402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D</w:t>
            </w:r>
          </w:p>
        </w:tc>
        <w:tc>
          <w:tcPr>
            <w:tcW w:w="660" w:type="dxa"/>
            <w:vAlign w:val="bottom"/>
          </w:tcPr>
          <w:p>
            <w:pPr>
              <w:jc w:val="right"/>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341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1.40</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345</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1.40</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TOML (Areas A to F)</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2.6</w:t>
            </w: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1.33</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69.6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1.35</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72.2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1.35</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696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Total</w:t>
            </w:r>
          </w:p>
        </w:tc>
        <w:tc>
          <w:tcPr>
            <w:tcW w:w="660" w:type="dxa"/>
            <w:vAlign w:val="bottom"/>
          </w:tcPr>
          <w:p>
            <w:pPr>
              <w:jc w:val="right"/>
              <w:spacing w:after="0"/>
              <w:rPr>
                <w:sz w:val="20"/>
                <w:szCs w:val="20"/>
                <w:color w:val="auto"/>
              </w:rPr>
            </w:pPr>
            <w:r>
              <w:rPr>
                <w:rFonts w:ascii="Arial" w:cs="Arial" w:eastAsia="Arial" w:hAnsi="Arial"/>
                <w:sz w:val="15"/>
                <w:szCs w:val="15"/>
                <w:color w:val="auto"/>
              </w:rPr>
              <w:t>6.6</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1.38</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410.6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1.39</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417.2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1.39</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1,217</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83"/>
        </w:trPr>
        <w:tc>
          <w:tcPr>
            <w:tcW w:w="2660" w:type="dxa"/>
            <w:vAlign w:val="bottom"/>
            <w:shd w:val="clear" w:color="auto" w:fill="D2EEF5"/>
          </w:tcPr>
          <w:p>
            <w:pPr>
              <w:spacing w:after="0"/>
              <w:rPr>
                <w:sz w:val="15"/>
                <w:szCs w:val="15"/>
                <w:color w:val="auto"/>
              </w:rPr>
            </w:pPr>
          </w:p>
        </w:tc>
        <w:tc>
          <w:tcPr>
            <w:tcW w:w="158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Cu</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NORI</w:t>
            </w: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A</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B</w:t>
            </w:r>
          </w:p>
        </w:tc>
        <w:tc>
          <w:tcPr>
            <w:tcW w:w="8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C</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402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D</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w:t>
            </w: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341</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1.14</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345</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1.14</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TOML (Areas A to F)</w:t>
            </w:r>
          </w:p>
        </w:tc>
        <w:tc>
          <w:tcPr>
            <w:tcW w:w="660" w:type="dxa"/>
            <w:vAlign w:val="bottom"/>
          </w:tcPr>
          <w:p>
            <w:pPr>
              <w:jc w:val="right"/>
              <w:spacing w:after="0"/>
              <w:rPr>
                <w:sz w:val="20"/>
                <w:szCs w:val="20"/>
                <w:color w:val="auto"/>
              </w:rPr>
            </w:pPr>
            <w:r>
              <w:rPr>
                <w:rFonts w:ascii="Arial" w:cs="Arial" w:eastAsia="Arial" w:hAnsi="Arial"/>
                <w:sz w:val="15"/>
                <w:szCs w:val="15"/>
                <w:color w:val="auto"/>
              </w:rPr>
              <w:t>2.6</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1.05</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69.6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1.18</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72.2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1.18</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696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Total</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6.6</w:t>
            </w: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410.6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1.15</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417.2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1.15</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1,217</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Co</w:t>
            </w: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NORI</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A</w:t>
            </w:r>
          </w:p>
        </w:tc>
        <w:tc>
          <w:tcPr>
            <w:tcW w:w="8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0.22</w:t>
            </w: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B</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C</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402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D</w:t>
            </w:r>
          </w:p>
        </w:tc>
        <w:tc>
          <w:tcPr>
            <w:tcW w:w="660" w:type="dxa"/>
            <w:vAlign w:val="bottom"/>
          </w:tcPr>
          <w:p>
            <w:pPr>
              <w:jc w:val="right"/>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0.13</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341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0.14</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345</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0.14</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0.12</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TOML (Areas A to F)</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2.6</w:t>
            </w: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0.23</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69.6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0.21</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72.2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0.21</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696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Total</w:t>
            </w:r>
          </w:p>
        </w:tc>
        <w:tc>
          <w:tcPr>
            <w:tcW w:w="660" w:type="dxa"/>
            <w:vAlign w:val="bottom"/>
          </w:tcPr>
          <w:p>
            <w:pPr>
              <w:jc w:val="right"/>
              <w:spacing w:after="0"/>
              <w:rPr>
                <w:sz w:val="20"/>
                <w:szCs w:val="20"/>
                <w:color w:val="auto"/>
              </w:rPr>
            </w:pPr>
            <w:r>
              <w:rPr>
                <w:rFonts w:ascii="Arial" w:cs="Arial" w:eastAsia="Arial" w:hAnsi="Arial"/>
                <w:sz w:val="15"/>
                <w:szCs w:val="15"/>
                <w:color w:val="auto"/>
              </w:rPr>
              <w:t>6.6</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0.17</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410.6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0.15</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417.2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0.15</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1,217</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183"/>
        </w:trPr>
        <w:tc>
          <w:tcPr>
            <w:tcW w:w="2660" w:type="dxa"/>
            <w:vAlign w:val="bottom"/>
            <w:shd w:val="clear" w:color="auto" w:fill="D2EEF5"/>
          </w:tcPr>
          <w:p>
            <w:pPr>
              <w:spacing w:after="0"/>
              <w:rPr>
                <w:sz w:val="15"/>
                <w:szCs w:val="15"/>
                <w:color w:val="auto"/>
              </w:rPr>
            </w:pPr>
          </w:p>
        </w:tc>
        <w:tc>
          <w:tcPr>
            <w:tcW w:w="158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Mn</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NORI</w:t>
            </w: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A</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B</w:t>
            </w:r>
          </w:p>
        </w:tc>
        <w:tc>
          <w:tcPr>
            <w:tcW w:w="8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r>
        <w:trPr>
          <w:trHeight w:val="183"/>
        </w:trPr>
        <w:tc>
          <w:tcPr>
            <w:tcW w:w="4240" w:type="dxa"/>
            <w:vAlign w:val="bottom"/>
            <w:gridSpan w:val="2"/>
          </w:tcPr>
          <w:p>
            <w:pPr>
              <w:ind w:left="100"/>
              <w:spacing w:after="0"/>
              <w:rPr>
                <w:sz w:val="20"/>
                <w:szCs w:val="20"/>
                <w:color w:val="auto"/>
              </w:rPr>
            </w:pPr>
            <w:r>
              <w:rPr>
                <w:rFonts w:ascii="Arial" w:cs="Arial" w:eastAsia="Arial" w:hAnsi="Arial"/>
                <w:sz w:val="15"/>
                <w:szCs w:val="15"/>
                <w:color w:val="auto"/>
              </w:rPr>
              <w:t>NORI Area C</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402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ind w:left="100"/>
              <w:spacing w:after="0"/>
              <w:rPr>
                <w:sz w:val="20"/>
                <w:szCs w:val="20"/>
                <w:color w:val="auto"/>
              </w:rPr>
            </w:pPr>
            <w:r>
              <w:rPr>
                <w:rFonts w:ascii="Arial" w:cs="Arial" w:eastAsia="Arial" w:hAnsi="Arial"/>
                <w:sz w:val="15"/>
                <w:szCs w:val="15"/>
                <w:color w:val="auto"/>
              </w:rPr>
              <w:t>NORI Area D</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w:t>
            </w: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32.2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341</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345</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31.2</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rPr>
                <w:sz w:val="20"/>
                <w:szCs w:val="20"/>
                <w:color w:val="auto"/>
              </w:rPr>
            </w:pPr>
            <w:r>
              <w:rPr>
                <w:rFonts w:ascii="Arial" w:cs="Arial" w:eastAsia="Arial" w:hAnsi="Arial"/>
                <w:sz w:val="15"/>
                <w:szCs w:val="15"/>
                <w:color w:val="auto"/>
              </w:rPr>
              <w:t>TOML (Areas A to F)</w:t>
            </w:r>
          </w:p>
        </w:tc>
        <w:tc>
          <w:tcPr>
            <w:tcW w:w="660" w:type="dxa"/>
            <w:vAlign w:val="bottom"/>
          </w:tcPr>
          <w:p>
            <w:pPr>
              <w:jc w:val="right"/>
              <w:spacing w:after="0"/>
              <w:rPr>
                <w:sz w:val="20"/>
                <w:szCs w:val="20"/>
                <w:color w:val="auto"/>
              </w:rPr>
            </w:pPr>
            <w:r>
              <w:rPr>
                <w:rFonts w:ascii="Arial" w:cs="Arial" w:eastAsia="Arial" w:hAnsi="Arial"/>
                <w:sz w:val="15"/>
                <w:szCs w:val="15"/>
                <w:color w:val="auto"/>
              </w:rPr>
              <w:t>2.6</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69.6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30.3</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72.2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30.2</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Total</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6.6</w:t>
            </w:r>
          </w:p>
        </w:tc>
        <w:tc>
          <w:tcPr>
            <w:tcW w:w="16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30.4</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410.6</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31.0</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417.2</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31.0</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923</w:t>
            </w:r>
          </w:p>
        </w:tc>
        <w:tc>
          <w:tcPr>
            <w:tcW w:w="16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91"/>
        </w:trPr>
        <w:tc>
          <w:tcPr>
            <w:tcW w:w="266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80" w:right="80" w:firstLine="2"/>
        <w:spacing w:after="0" w:line="299" w:lineRule="auto"/>
        <w:rPr>
          <w:sz w:val="20"/>
          <w:szCs w:val="20"/>
          <w:color w:val="auto"/>
        </w:rPr>
      </w:pPr>
      <w:r>
        <w:rPr>
          <w:rFonts w:ascii="Arial" w:cs="Arial" w:eastAsia="Arial" w:hAnsi="Arial"/>
          <w:sz w:val="15"/>
          <w:szCs w:val="15"/>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The initial assessment included in the NORI Technical Report Summary is a conceptual study of the potential viability of NORI’s mineral resources. This initial assessment indicates that development of the NORI mineral resource is potentially technically viable; however, due to the preliminary nature of project planning and design, and the untested nature of the specific seafloor production systems at a commercial scale, economic viability has not yet been demonstrated.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included in this Annual Report for additional information about the 2021 economic analysis of NORI Area D.</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NORI Technical Report Summary and TOML Technical Report Summary do not include the conversion of mineral resources to mineral reserves.</w:t>
      </w:r>
    </w:p>
    <w:p>
      <w:pPr>
        <w:spacing w:after="0" w:line="191" w:lineRule="exact"/>
        <w:rPr>
          <w:sz w:val="20"/>
          <w:szCs w:val="20"/>
          <w:color w:val="auto"/>
        </w:rPr>
      </w:pPr>
    </w:p>
    <w:p>
      <w:pPr>
        <w:jc w:val="both"/>
        <w:ind w:left="80" w:right="80" w:firstLine="275"/>
        <w:spacing w:after="0" w:line="284" w:lineRule="auto"/>
        <w:rPr>
          <w:sz w:val="20"/>
          <w:szCs w:val="20"/>
          <w:color w:val="auto"/>
        </w:rPr>
      </w:pPr>
      <w:r>
        <w:rPr>
          <w:rFonts w:ascii="Arial" w:cs="Arial" w:eastAsia="Arial" w:hAnsi="Arial"/>
          <w:sz w:val="14"/>
          <w:szCs w:val="14"/>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Arial" w:cs="Arial" w:eastAsia="Arial" w:hAnsi="Arial"/>
          <w:sz w:val="14"/>
          <w:szCs w:val="14"/>
          <w:color w:val="auto"/>
        </w:rPr>
        <w:t>Inferred mineral resources have a high degree of</w:t>
      </w:r>
      <w:r>
        <w:rPr>
          <w:rFonts w:ascii="Arial" w:cs="Arial" w:eastAsia="Arial" w:hAnsi="Arial"/>
          <w:sz w:val="14"/>
          <w:szCs w:val="14"/>
          <w:b w:val="1"/>
          <w:bCs w:val="1"/>
          <w:color w:val="auto"/>
        </w:rPr>
        <w:t xml:space="preserve"> </w:t>
      </w:r>
      <w:r>
        <w:rPr>
          <w:rFonts w:ascii="Arial" w:cs="Arial" w:eastAsia="Arial" w:hAnsi="Arial"/>
          <w:sz w:val="14"/>
          <w:szCs w:val="14"/>
          <w:color w:val="auto"/>
        </w:rPr>
        <w:t>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Likewise, you are cautioned not to assume that all or any part of measured or indicated mineral resources will ever be upgraded to mineral reserves.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Collection and Processing of Polymetallic Nodules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Collection, Transfer and Shipping</w:t>
      </w:r>
    </w:p>
    <w:p>
      <w:pPr>
        <w:spacing w:after="0" w:line="19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We are planning a phased development for NORI Area D. Polymetallic nodules would be collected using offshore collection systems, comprising of nodule collector vehicles on the seafloor, a riser and lifting system (RALS) in the water column, and a production support vessel on the surface. To maintain productivity of the production vessel, nodules are expected to be recovered from the hold of the production vessel using materials handling conveyors and discharged to a dynamically positioned transfer vessel with an expected 50,000 tonne capacity. We believe that this activity can be performed while the production vessel is simultaneously conducting collection operations. The transfer vessel is expected in turn to load bulk carriers using a similar materials handling system to that of the production vessel. The bulk carriers will ship the nodules to onshore processing facilities.</w:t>
      </w:r>
    </w:p>
    <w:p>
      <w:pPr>
        <w:spacing w:after="0" w:line="147"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 xml:space="preserve">Through our strategic partnership with Allseas, a former drillship vessel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acquired by Allseas in February 2020 has been converted and modified to undertake a pre-production collector test in which a collector vehicle, RALS and other systems have been tested. If we obtain an exploitation contract, the first phase of commercial production (“Project Zero”) would then be expected to commence after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has been upgraded to become a production support vessel that can produce up to 3 Mtpa (wet) of nodules. The nodules collected in Project Zero are expected to be processed through existing third-party RKEF facilities on a tolling basis.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2214245</wp:posOffset>
            </wp:positionH>
            <wp:positionV relativeFrom="page">
              <wp:posOffset>1531620</wp:posOffset>
            </wp:positionV>
            <wp:extent cx="4255135" cy="5976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255135" cy="597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Illustration of a polymetallic nodule production system operated at 4 kilometers depth</w:t>
      </w:r>
    </w:p>
    <w:p>
      <w:pPr>
        <w:sectPr>
          <w:pgSz w:w="13680" w:h="17280" w:orient="portrait"/>
          <w:cols w:equalWidth="0" w:num="1">
            <w:col w:w="10800"/>
          </w:cols>
          <w:pgMar w:left="1440" w:top="1440"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325120</wp:posOffset>
                </wp:positionV>
                <wp:extent cx="675322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6pt" to="535.75pt,25.6pt" o:allowincell="f" strokecolor="#000000" strokeweight="1.1439pt"/>
            </w:pict>
          </mc:Fallback>
        </mc:AlternateContent>
      </w:r>
    </w:p>
    <w:p>
      <w:pPr>
        <w:sectPr>
          <w:pgSz w:w="13680" w:h="17280" w:orient="portrait"/>
          <w:cols w:equalWidth="0" w:num="1">
            <w:col w:w="10800"/>
          </w:cols>
          <w:pgMar w:left="1440" w:top="1440" w:right="1440"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 xml:space="preserve">In order to test the collection system, we entered into a contract with Allseas to undertake a pre-production collector test, which was successfully completed in the second half of 2022. We expect that Project Zero commercial production would then commence after the upgrading of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into a production vessel. If we obtain an exploitation contract, we expect to commence Project Zero Collection at a rate of 1.3 Mtpa increasing in staged increments to up to 3.0 Mtpa of wet polymetallic nodules. For Project One, we believe that a fleet of four production vessels, each with multiple dedicated nodule collector vehicles, could be estimated to produce approximately 12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147"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believe that this approach will de-risk the project for a relatively low initial capital investment while retaining operational options, particularly in relation to logistics, to decrease unit operating cost as production is scaled up. Additionally, this phased development will allow for an adaptive approach to environmental management providing learning at small-scale which would be applied as production increases in scale.</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Mineral Processing and Refining and Metallurgical Testing</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Pyrometallurgical processing of polymetallic nodules has been extensively studied since the early 1970s.</w:t>
      </w:r>
    </w:p>
    <w:p>
      <w:pPr>
        <w:spacing w:after="0" w:line="193"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37" w:lineRule="exact"/>
        <w:rPr>
          <w:sz w:val="20"/>
          <w:szCs w:val="20"/>
          <w:color w:val="auto"/>
        </w:rPr>
      </w:pPr>
    </w:p>
    <w:p>
      <w:pPr>
        <w:jc w:val="both"/>
        <w:ind w:left="80" w:right="80" w:firstLine="274"/>
        <w:spacing w:after="0" w:line="263" w:lineRule="auto"/>
        <w:rPr>
          <w:sz w:val="20"/>
          <w:szCs w:val="20"/>
          <w:color w:val="auto"/>
        </w:rPr>
      </w:pPr>
      <w:r>
        <w:rPr>
          <w:rFonts w:ascii="Arial" w:cs="Arial" w:eastAsia="Arial" w:hAnsi="Arial"/>
          <w:sz w:val="15"/>
          <w:szCs w:val="15"/>
          <w:color w:val="auto"/>
        </w:rPr>
        <w:t>To this end, we have worked extensively with leading metallurgical testing service providers with technical support from engineering consultancy Hatch to develop pyrometallurgical processing and hydrometallurgical refining technologies for the production of critical metals feedstocks from nodules. We have developed a near-zero solid waste flowsheet and have executed a metallurgical testing program consisting of multiple phases. The pyrometallurgical processing phases at bench and pilot scales have been completed at KLM, FLSmidth and XPS facilities. A bench scale hydrometallurgical program was completed in 2024 at SGS facilities in Lakefield, Ontario. Pursuant to an engineering and consulting services agreement, Hatch provided support and technical advice during the development of the pilot test program, including analyzing and interpreting the testing results through reports provided by the testing service providers.</w:t>
      </w:r>
    </w:p>
    <w:p>
      <w:pPr>
        <w:spacing w:after="0" w:line="147"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now have increased capacity capabilities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w:t>
      </w:r>
    </w:p>
    <w:p>
      <w:pPr>
        <w:spacing w:after="0" w:line="146" w:lineRule="exact"/>
        <w:rPr>
          <w:sz w:val="20"/>
          <w:szCs w:val="20"/>
          <w:color w:val="auto"/>
        </w:rPr>
      </w:pPr>
    </w:p>
    <w:p>
      <w:pPr>
        <w:jc w:val="both"/>
        <w:ind w:left="80" w:right="100" w:firstLine="274"/>
        <w:spacing w:after="0" w:line="269" w:lineRule="auto"/>
        <w:rPr>
          <w:sz w:val="20"/>
          <w:szCs w:val="20"/>
          <w:color w:val="auto"/>
        </w:rPr>
      </w:pPr>
      <w:r>
        <w:rPr>
          <w:rFonts w:ascii="Arial" w:cs="Arial" w:eastAsia="Arial" w:hAnsi="Arial"/>
          <w:sz w:val="15"/>
          <w:szCs w:val="15"/>
          <w:color w:val="auto"/>
        </w:rPr>
        <w:t>In November 2023, we signed a binding MoU with PAMCO, where PAMCO must complete a feasibility study (anticipated to be completed by mid-2025) to toll treat 1.3 million tonnes of wet polymetallic nodules per year at its Hachinohe, Japan smelting facility.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42"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Strategic Alliances and Key Commercial Agreements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Allseas Agreements</w:t>
      </w:r>
    </w:p>
    <w:p>
      <w:pPr>
        <w:spacing w:after="0" w:line="192" w:lineRule="exact"/>
        <w:rPr>
          <w:sz w:val="20"/>
          <w:szCs w:val="20"/>
          <w:color w:val="auto"/>
        </w:rPr>
      </w:pPr>
    </w:p>
    <w:p>
      <w:pPr>
        <w:jc w:val="both"/>
        <w:ind w:left="80" w:right="80" w:firstLine="275"/>
        <w:spacing w:after="0" w:line="261" w:lineRule="auto"/>
        <w:rPr>
          <w:sz w:val="20"/>
          <w:szCs w:val="20"/>
          <w:color w:val="auto"/>
        </w:rPr>
      </w:pPr>
      <w:r>
        <w:rPr>
          <w:rFonts w:ascii="Arial" w:cs="Arial" w:eastAsia="Arial" w:hAnsi="Arial"/>
          <w:sz w:val="15"/>
          <w:szCs w:val="15"/>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151" w:lineRule="exact"/>
        <w:rPr>
          <w:sz w:val="20"/>
          <w:szCs w:val="20"/>
          <w:color w:val="auto"/>
        </w:rPr>
      </w:pPr>
    </w:p>
    <w:p>
      <w:pPr>
        <w:jc w:val="both"/>
        <w:ind w:left="80" w:right="80" w:firstLine="274"/>
        <w:spacing w:after="0" w:line="278" w:lineRule="auto"/>
        <w:rPr>
          <w:sz w:val="20"/>
          <w:szCs w:val="20"/>
          <w:color w:val="auto"/>
        </w:rPr>
      </w:pPr>
      <w:r>
        <w:rPr>
          <w:rFonts w:ascii="Arial" w:cs="Arial" w:eastAsia="Arial" w:hAnsi="Arial"/>
          <w:sz w:val="14"/>
          <w:szCs w:val="14"/>
          <w:color w:val="auto"/>
        </w:rPr>
        <w:t>On July 8, 2019, we and Allseas entered into the Pilot Mining Test Agreement (the “PMTA”), which governed the terms, design specifications, procedures, and timetable under which Allseas agreed to complete and test the PMTS, to be used by NORI. The PMTA was subsequently amended on September 1, 2019, February 20, 2020, March 4, 2021, June 30, 2021 and February 8, 2023. The Strategic Alliance Agreement was also amended on March 4, 2021 (collectively with the PMTA amendment of the same date, the “Amendment”), which Amendment became effective on September 9, 2021, the closing date of the business combination pursuant to the terms of the business combination agreement, dated as of March 4, 2021, by and among us (f/k/a Sustainable Opportunities Acquisition Corp.), 1291924 B.C. Unlimited Liability Company and DeepGreen Metals Inc. (the “Business Combination”). Pursuant to the Amendment, the cash fee payable pursuant to the PMTA was amended such that we would pay to Allseas (i) $10,000,000 on June 30, 2021 (which we subsequently amended with Allseas to change to within 10 business days of September 9, 2021 in a further amendment; this amount was paid on October 5, 2021), (ii) $10,000,000 on the later of January 1, 2022 and such time that confirmation is received with respect to the successful completion of the North Sea drive test, which was paid on April 25, 2022, and (iii) $10,000,000 upon successful completion of the pilot trials in the CCZ using the PMTS which was settled through the issuance of 10 million Common Shares in February 2023, along with additional costs owed Allseas under the PMTA in 850,000 Common Shares, in each case, priced at $1.00 per share under the fifth amendment to the PMTA. Pursuant to the Amendment, except as provided therein, Allseas may not, without our prior written consent, terminate the Strategic Alliance Agreement or the PMTA before NORI receives an ISA exploitation contract.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PMTA terminated by its terms upon the successful completion of the PMTS, whereas the overarching Strategic Alliance Agreement remains in place.</w:t>
      </w:r>
    </w:p>
    <w:p>
      <w:pPr>
        <w:spacing w:after="0" w:line="194"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On March 16, 2022, NORI and Allseas entered into a non-binding term sheet for the development and operation of a commercial nodule collection system. The PMTS developed and tested by Allseas was expected to be upgraded to a commercial system with a targeted production capacity of at least 1.3 Mtpa of wet nodules (“Project Zero System”). NORI and Allseas intended to equally finance all costs related to developing and getting Project Zero System into production that were estimated at less than EUR100 million. It was anticipated that NORI will not have to make any Project Zero System-related payments to Allseas until later in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Mtpa of wet nodules.</w:t>
      </w:r>
    </w:p>
    <w:p>
      <w:pPr>
        <w:spacing w:after="0" w:line="134"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 xml:space="preserve">Subject to the necessary regulatory approvals, Allseas and NORI also intend to investigate acquiring a second production vessel similar to the </w:t>
      </w:r>
      <w:r>
        <w:rPr>
          <w:rFonts w:ascii="Arial" w:cs="Arial" w:eastAsia="Arial" w:hAnsi="Arial"/>
          <w:sz w:val="15"/>
          <w:szCs w:val="15"/>
          <w:i w:val="1"/>
          <w:iCs w:val="1"/>
          <w:color w:val="auto"/>
        </w:rPr>
        <w:t>Hidden Gem</w:t>
      </w:r>
      <w:r>
        <w:rPr>
          <w:rFonts w:ascii="Arial" w:cs="Arial" w:eastAsia="Arial" w:hAnsi="Arial"/>
          <w:sz w:val="15"/>
          <w:szCs w:val="15"/>
          <w:color w:val="auto"/>
        </w:rPr>
        <w:t>, a further Samsung 10000 vessel, with the potential for it to be engineered to support a production rate of 3.0 Mtpa of wet nodules.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62" w:lineRule="auto"/>
        <w:rPr>
          <w:sz w:val="20"/>
          <w:szCs w:val="20"/>
          <w:color w:val="auto"/>
        </w:rPr>
      </w:pPr>
      <w:r>
        <w:rPr>
          <w:rFonts w:ascii="Arial" w:cs="Arial" w:eastAsia="Arial" w:hAnsi="Arial"/>
          <w:sz w:val="15"/>
          <w:szCs w:val="15"/>
          <w:color w:val="auto"/>
        </w:rPr>
        <w:t>Following the successful completion of the NORI Area D pilot collection system trials in November 2022 and subsequent analysis of pilot data, the parties reviewed Project Zero System production target increases, system design changes and associated cost estimates revisions. In August 2023, we announced that Allseas and NORI were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 and addition of a nodule transfer vessel with dynamic positioning to enable continuous nodule collection operations without stoppages from offloading.</w:t>
      </w:r>
    </w:p>
    <w:p>
      <w:pPr>
        <w:spacing w:after="0" w:line="146"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System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w:t>
      </w:r>
    </w:p>
    <w:p>
      <w:pPr>
        <w:spacing w:after="0" w:line="119"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 xml:space="preserve">In addition, in August 2023, we entered into an Exclusive Vessel Use Agreement with Allseas pursuant to which Allseas will give exclusive use of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to us in support of the development of the Project Zero Offshore Nodule Collection System until the system is completed or December 31, 2026, whichever is earlier. In consideration of the exclusivity term, we issued 4.15 million Common Shares to Allseas on August 14, 2023. We expect that the definitive agreement with Allseas discussed above will extend the exclusive use of the </w:t>
      </w:r>
      <w:r>
        <w:rPr>
          <w:rFonts w:ascii="Arial" w:cs="Arial" w:eastAsia="Arial" w:hAnsi="Arial"/>
          <w:sz w:val="15"/>
          <w:szCs w:val="15"/>
          <w:i w:val="1"/>
          <w:iCs w:val="1"/>
          <w:color w:val="auto"/>
        </w:rPr>
        <w:t>Hidden Gem</w:t>
      </w:r>
      <w:r>
        <w:rPr>
          <w:rFonts w:ascii="Arial" w:cs="Arial" w:eastAsia="Arial" w:hAnsi="Arial"/>
          <w:sz w:val="15"/>
          <w:szCs w:val="15"/>
          <w:color w:val="auto"/>
        </w:rPr>
        <w:t>.</w:t>
      </w:r>
    </w:p>
    <w:p>
      <w:pPr>
        <w:spacing w:after="0" w:line="141"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Offtake Agreements</w:t>
      </w:r>
    </w:p>
    <w:p>
      <w:pPr>
        <w:spacing w:after="0" w:line="192"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TOML). Concurrent with entering into the Glencore Offtake Agreements, Glencore made an equity investment of $5 million into our Company.</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Binding MoU with PAMCO</w:t>
      </w:r>
    </w:p>
    <w:p>
      <w:pPr>
        <w:spacing w:after="0" w:line="192"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In November 2022, we signed a non-binding MoU with PAMCO to evaluate the toll treatment of an initial quantity of 1.3 million tonnes of wet polymetallic nodules per year at PAMCO’s Hachinohe, Japan smelting facility. Potential progression to a NiCuCo matte product along with potentially higher throughputs were also included in the evaluation study. PAMCO successfully completed a pre-feasibility exercise pursuant to the non-binding MoU signed by the parties in November 2022.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100" w:firstLine="274"/>
        <w:spacing w:after="0" w:line="288" w:lineRule="auto"/>
        <w:rPr>
          <w:sz w:val="20"/>
          <w:szCs w:val="20"/>
          <w:color w:val="auto"/>
        </w:rPr>
      </w:pPr>
      <w:r>
        <w:rPr>
          <w:rFonts w:ascii="Arial" w:cs="Arial" w:eastAsia="Arial" w:hAnsi="Arial"/>
          <w:sz w:val="14"/>
          <w:szCs w:val="14"/>
          <w:color w:val="auto"/>
        </w:rPr>
        <w:t>In November 2023, we signed a binding MoU with PAMCO, where PAMCO must complete a feasibility study (expected to be completed by mid-2025) to toll treat 1.3 million tonnes of wet polymetallic nodules per year at its Hachinohe, Japan smelting facility.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 PAMCO’s Hachinohe facility is located on the coast in northern Japan and is equipped with port and processing infrastructure required to receive and process polymetallic nodules and to ship products to customers. Under the new binding MoU:</w:t>
      </w:r>
    </w:p>
    <w:p>
      <w:pPr>
        <w:spacing w:after="0" w:line="132" w:lineRule="exact"/>
        <w:rPr>
          <w:sz w:val="20"/>
          <w:szCs w:val="20"/>
          <w:color w:val="auto"/>
        </w:rPr>
      </w:pPr>
    </w:p>
    <w:p>
      <w:pPr>
        <w:ind w:left="660" w:hanging="283"/>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PAMCO, with our support, expects to complete the feasibility study by mid-2025;</w:t>
      </w:r>
    </w:p>
    <w:p>
      <w:pPr>
        <w:spacing w:after="0" w:line="193" w:lineRule="exact"/>
        <w:rPr>
          <w:rFonts w:ascii="Arial" w:cs="Arial" w:eastAsia="Arial" w:hAnsi="Arial"/>
          <w:sz w:val="15"/>
          <w:szCs w:val="15"/>
          <w:color w:val="auto"/>
        </w:rPr>
      </w:pPr>
    </w:p>
    <w:p>
      <w:pPr>
        <w:ind w:left="660" w:right="100" w:hanging="283"/>
        <w:spacing w:after="0" w:line="299"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will provide PAMCO with the exclusive right to the first 1.3Mtpa of the expected 3Mtpa of wet nodule collection capacity of our first nodule collection system until completion of the feasibility study;</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parties will enter into good faith negotiations to finalize definitive processing agreements on completion of the feasibility study.</w:t>
      </w:r>
    </w:p>
    <w:p>
      <w:pPr>
        <w:spacing w:after="0" w:line="194"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The PAMCO feasibility study is expected to confirm the operating parameters and product specifications for PAMCO’s dedicated production line and define the scope and execution plan for any additional equipment requirements, which are currently expected to be minor. An extended pilot demonstration program utilizing existing kilns and furnaces at PAMCO’s Hachinohe, Japan facility is in progress, treating a 2,000 tonne sample of polymetallic nodules collected during the successful pilot nodule collector test completed by Allseas in November 2022 on the NORI Area D, with the goal of optimizing the furnace refractory selection and confirm commercial scale operating parameters such as tapping temperatures and dusting rates when treating nodules through the Hachinohe facility. The costs of processing polymetallic nodules will also be estimated to help finalize the definitive processing agreement.</w:t>
      </w:r>
    </w:p>
    <w:p>
      <w:pPr>
        <w:spacing w:after="0" w:line="147"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37"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On September 9, 2024, we announced that PAMCO had successfully produced 500 tonnes of calcine from processing polymetallic nodules in a rotary kiln and then on February 18, 2025, we announced that approximately 450 tonnes of calcine had been successfully smelted by PAMCO to produce 35 tonnes of NiCuCo alloy and 320 tonnes of Mn silicate products.</w:t>
      </w:r>
    </w:p>
    <w:p>
      <w:pPr>
        <w:spacing w:after="0" w:line="137"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We expect this partnership to progress to a definitive agreement in 2025, subject to successful feasibility study outcomes and agreement to mutually acceptable commercial terms. There can be no assurance that we will enter into a definitive tolling agreement in a particular time period, or at all, or on terms similar to those set forth in the binding MoU, or that if a definitive tolling agreement is entered into by us or that the existing facility will be able to successfully process nodules in a particular time period, or at all.</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Competition</w:t>
      </w:r>
    </w:p>
    <w:p>
      <w:pPr>
        <w:spacing w:after="0" w:line="196"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Terrestrial metals production is capital intensive and competitive. Production of nickel, cobalt and manganese alloys is largely dominated by Chinese or Chinese-funded competitors. Additionally, Chinese resources firms have historically been able to produce minerals and/or process metals from land-based operations in developing countries across the globe (e.g., cobalt in the DRC, nickel in Indonesia and the Philippines) at relatively low costs due to scale, efficiency and regulatory factors, including less stringent environmental and social regulations and lower labor and benefit costs.</w:t>
      </w:r>
    </w:p>
    <w:p>
      <w:pPr>
        <w:spacing w:after="0" w:line="141"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In addition to the two contracts held by our subsidiaries, 17 other entities (ISA Member States and private companies sponsored by ISA Member States) currently hold ISA Exploration Contracts for polymetallic nodules in the CCZ, Western Pacific and Indian Ocean Basin. If and when they move into the exploitation phase, each of these contract-holders could become a potential competitor with respect to the collection of polymetallic nodules and the production of nickel, manganese, copper and cobalt products. Furthermore, several nation-states are working on developing polymetallic nodule resources inside their Exclusive Economic Zones (“EEZs”), with the Cook Islands granting three exploration contracts for polymetallic nodules in February 2022, India announcing an auction of polymetallic nodule exploration tenements in 2024 and a large polymetallic nodule deposit was discovered in the Japanese EEZ in mid-2024, with further exploration and test mining in the works.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Beyond polymetallic nodules, nations like Norway, Japan, PNG, Brazil, India, Oman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Regulations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United Nations Convention on the Law of the Sea</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Area is defined as the seabed and subsoil beyond the limits of national jurisdiction (UNCLOS Article 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principal policy documents governing the Area, including the CCZ, include:</w:t>
      </w:r>
    </w:p>
    <w:p>
      <w:pPr>
        <w:spacing w:after="0" w:line="194" w:lineRule="exact"/>
        <w:rPr>
          <w:sz w:val="20"/>
          <w:szCs w:val="20"/>
          <w:color w:val="auto"/>
        </w:rPr>
      </w:pPr>
    </w:p>
    <w:p>
      <w:pPr>
        <w:ind w:left="660" w:hanging="283"/>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UNCLOS, of 10 December 1982; and</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1994 Implementation Agreement.</w:t>
      </w:r>
    </w:p>
    <w:p>
      <w:pPr>
        <w:spacing w:after="0" w:line="193"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99695</wp:posOffset>
            </wp:positionV>
            <wp:extent cx="4458970" cy="2331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1">
                      <a:extLst>
                        <a:ext uri="{28A0092B-C50C-407E-A947-70E740481C1C}"/>
                      </a:extLst>
                    </a:blip>
                    <a:srcRect/>
                    <a:stretch>
                      <a:fillRect/>
                    </a:stretch>
                  </pic:blipFill>
                  <pic:spPr bwMode="auto">
                    <a:xfrm>
                      <a:off x="0" y="0"/>
                      <a:ext cx="4458970" cy="233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July 2024, UNCLOS had been signed by 169 States (countries) and the European Union.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International Seabed Authority</w:t>
      </w:r>
    </w:p>
    <w:p>
      <w:pPr>
        <w:spacing w:after="0" w:line="192"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signatories, 169 Member States, and the European Union. All parties to UNCLOS are members of the ISA. Two principal entities establish the policies and govern the work of the ISA: the Assembly, where all 170 members are represented (the “Assembly”), and a 36-member council elected by the Assembly (the “Council”). The Council has two advisory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48"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Arial" w:cs="Arial" w:eastAsia="Arial" w:hAnsi="Arial"/>
          <w:sz w:val="15"/>
          <w:szCs w:val="15"/>
          <w:i w:val="1"/>
          <w:iCs w:val="1"/>
          <w:color w:val="auto"/>
        </w:rPr>
        <w:t>https://www.isa.org.jm/mining-code/Regulations</w:t>
      </w:r>
      <w:r>
        <w:rPr>
          <w:rFonts w:ascii="Arial" w:cs="Arial" w:eastAsia="Arial" w:hAnsi="Arial"/>
          <w:sz w:val="15"/>
          <w:szCs w:val="15"/>
          <w:color w:val="auto"/>
        </w:rPr>
        <w:t>):</w:t>
      </w:r>
    </w:p>
    <w:p>
      <w:pPr>
        <w:spacing w:after="0" w:line="102" w:lineRule="exact"/>
        <w:rPr>
          <w:sz w:val="20"/>
          <w:szCs w:val="20"/>
          <w:color w:val="auto"/>
        </w:rPr>
      </w:pPr>
    </w:p>
    <w:p>
      <w:pPr>
        <w:ind w:left="660" w:hanging="283"/>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Regulations on Prospecting and Exploration for Polymetallic Nodules in the CCZ (adopted July 13, 2000, as amended in 2013; the Regulations).</w:t>
      </w:r>
    </w:p>
    <w:p>
      <w:pPr>
        <w:spacing w:after="0" w:line="159" w:lineRule="exact"/>
        <w:rPr>
          <w:rFonts w:ascii="Arial" w:cs="Arial" w:eastAsia="Arial" w:hAnsi="Arial"/>
          <w:sz w:val="15"/>
          <w:szCs w:val="15"/>
          <w:color w:val="auto"/>
        </w:rPr>
      </w:pPr>
    </w:p>
    <w:p>
      <w:pPr>
        <w:ind w:left="660" w:hanging="283"/>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Regulations on Prospecting and Exploration for Polymetallic Sulphides (adopted May 7, 2010).</w:t>
      </w:r>
    </w:p>
    <w:p>
      <w:pPr>
        <w:spacing w:after="0" w:line="170" w:lineRule="exact"/>
        <w:rPr>
          <w:rFonts w:ascii="Arial" w:cs="Arial" w:eastAsia="Arial" w:hAnsi="Arial"/>
          <w:sz w:val="15"/>
          <w:szCs w:val="15"/>
          <w:color w:val="auto"/>
        </w:rPr>
      </w:pPr>
    </w:p>
    <w:p>
      <w:pPr>
        <w:ind w:left="660" w:hanging="283"/>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Regulations on Prospecting and Exploration for Cobalt-Rich Ferromanganese Crusts in the CCZ (July 2012).</w:t>
      </w:r>
    </w:p>
    <w:p>
      <w:pPr>
        <w:spacing w:after="0" w:line="159" w:lineRule="exact"/>
        <w:rPr>
          <w:sz w:val="20"/>
          <w:szCs w:val="20"/>
          <w:color w:val="auto"/>
        </w:rPr>
      </w:pPr>
    </w:p>
    <w:p>
      <w:pPr>
        <w:jc w:val="both"/>
        <w:ind w:left="80" w:right="80" w:firstLine="275"/>
        <w:spacing w:after="0" w:line="282" w:lineRule="auto"/>
        <w:rPr>
          <w:sz w:val="20"/>
          <w:szCs w:val="20"/>
          <w:color w:val="auto"/>
        </w:rPr>
      </w:pPr>
      <w:r>
        <w:rPr>
          <w:rFonts w:ascii="Arial" w:cs="Arial" w:eastAsia="Arial" w:hAnsi="Arial"/>
          <w:sz w:val="14"/>
          <w:szCs w:val="14"/>
          <w:color w:val="auto"/>
        </w:rPr>
        <w:t>No commercial polymetallic nodule collection operations have started anywhere in the world. Currently, exploration activities undertaken are aimed at gathering the necessary information on the location, quality and quantity of the minerals of the seabed as well as collecting the necessary environmental and social baseline information. To date, the ISA has approved 17 contracts in the CCZ for exploration of nodules, one in the Indian Ocean and one in the Western Pacific Ocean covering more than 1.35 million square kilometers of the seabed. This represents 0.3 percent of the world’s oceans seafloor. Twelve of these contracts are sponsored by developing countries (including the sponsors of our subsidiaries NORI — Nauru, and TOML — Tonga).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99"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96" w:lineRule="exact"/>
        <w:rPr>
          <w:sz w:val="20"/>
          <w:szCs w:val="20"/>
          <w:color w:val="auto"/>
        </w:rPr>
      </w:pPr>
    </w:p>
    <w:p>
      <w:pPr>
        <w:jc w:val="both"/>
        <w:ind w:left="80" w:right="80" w:firstLine="274"/>
        <w:spacing w:after="0" w:line="231" w:lineRule="auto"/>
        <w:rPr>
          <w:sz w:val="20"/>
          <w:szCs w:val="20"/>
          <w:color w:val="auto"/>
        </w:rPr>
      </w:pPr>
      <w:r>
        <w:rPr>
          <w:rFonts w:ascii="Arial" w:cs="Arial" w:eastAsia="Arial" w:hAnsi="Arial"/>
          <w:sz w:val="15"/>
          <w:szCs w:val="15"/>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the COVID-19 pandemic disrupted ISA meetings and discussions. At its July 2023 28</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Session meeting, the Council adopted a decision with a view to adopt final exploitation regulations during the thirtieth ISA session in 2025.</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Certificate of Sponsorship, Mining Plan, Financing Plan, EIS, Emergency Response and Contingency Plan, Health and Safety Plan and maritime Security Plan, Training Plan, EMMP and Closure Plan. In addition, we do not have the applicable environmental and other permits required to build or modify and operate commercial scale polymetallic nodule processing and refining plants on land.</w:t>
      </w:r>
    </w:p>
    <w:p>
      <w:pPr>
        <w:spacing w:after="0" w:line="145"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37" w:lineRule="exact"/>
        <w:rPr>
          <w:sz w:val="20"/>
          <w:szCs w:val="20"/>
          <w:color w:val="auto"/>
        </w:rPr>
      </w:pPr>
    </w:p>
    <w:p>
      <w:pPr>
        <w:jc w:val="both"/>
        <w:ind w:left="80" w:right="80" w:firstLine="274"/>
        <w:spacing w:after="0" w:line="263" w:lineRule="auto"/>
        <w:rPr>
          <w:sz w:val="20"/>
          <w:szCs w:val="20"/>
          <w:color w:val="auto"/>
        </w:rPr>
      </w:pPr>
      <w:r>
        <w:rPr>
          <w:rFonts w:ascii="Arial" w:cs="Arial" w:eastAsia="Arial" w:hAnsi="Arial"/>
          <w:sz w:val="15"/>
          <w:szCs w:val="15"/>
          <w:color w:val="auto"/>
        </w:rPr>
        <w:t>On June 25, 2021, Nauru submitted its notice to the ISA requesting that it complete the adoption, by July 9, 2023, of rules, regulations and procedures necessary to facilitate the approval of plans of work for exploitation in the Area. The ISA did not complete the adoption of the rules, regulations and procedures by July 9, 2023, as required. At its July 2024 session, the ISA completed a first reading of the consolidated text and requested the Secretariat produce a second consolidated text in 2024. The ISA agreed to continue the negotiations of the Mining Code with a continued view to its adoption during the 30th Session of the ISA in 2025. The ISA Council has scheduled two ISA Council meetings in March and July 2025 to progress the Mining Code and has agreed to continue working inter-sessionally to advance the text. The second consolidated text of the draft Mining Code was released in November 2024.</w:t>
      </w:r>
    </w:p>
    <w:p>
      <w:pPr>
        <w:spacing w:after="0" w:line="147" w:lineRule="exact"/>
        <w:rPr>
          <w:sz w:val="20"/>
          <w:szCs w:val="20"/>
          <w:color w:val="auto"/>
        </w:rPr>
      </w:pPr>
    </w:p>
    <w:p>
      <w:pPr>
        <w:jc w:val="both"/>
        <w:ind w:left="80" w:right="80" w:firstLine="274"/>
        <w:spacing w:after="0" w:line="280" w:lineRule="auto"/>
        <w:rPr>
          <w:sz w:val="20"/>
          <w:szCs w:val="20"/>
          <w:color w:val="auto"/>
        </w:rPr>
      </w:pPr>
      <w:r>
        <w:rPr>
          <w:rFonts w:ascii="Arial" w:cs="Arial" w:eastAsia="Arial" w:hAnsi="Arial"/>
          <w:sz w:val="14"/>
          <w:szCs w:val="14"/>
          <w:color w:val="auto"/>
        </w:rPr>
        <w:t>Although we believe that the ISA will adopt the exploitation regulations and any necessary rules, regulations and procedures to facilitate the approval of a plan of work for exploitation by the thirtieth session as the ISA has indicated, there can be no assurances that the adoption of these regulations will not be delayed or paused as a result of the actions of ISA member States. The Draft Regulations and several supporting standards and guidelines are at an advanced stage, but there remains uncertainty regarding the final form that these will take as well as the impact that such regulations, standards and guidelines will have on our ability to begin commercial operations in a timely manner, or at all.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November 12, 2024, we announced that our subsidiary, NORI, intends to submit its application for an exploitation contract to the ISA on June 27, 2025.</w:t>
      </w:r>
    </w:p>
    <w:p>
      <w:pPr>
        <w:spacing w:after="0" w:line="194"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Consistent with NORI’s rights under the UNCLOS, and the 1994 Agreement relating to the Implementation of Part XI of UNCLOS (the Agreement), NORI reserves its right to submit an application for a plan of work for exploitation, which will be included as part of the application for an exploitation contract, prior to the ISA’s provisional adoption and approval of the exploitation regulations, the possibility of which was recognized in the ISA Council decisions ISBA/28/C/24 and ISBA/28/C/25, and to have that application considered and provisionally approved pursuant to Section 1, Paragraph 15 of the Annex to the Agreement.</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The NORI Exploration Contract</w:t>
      </w:r>
    </w:p>
    <w:p>
      <w:pPr>
        <w:spacing w:after="0" w:line="19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In July 2011, our wholly-owned subsidiary, NORI, was granted a polymetallic nodule exploration contract by the ISA, providing it exclusive rights to explore 74,830 square kilometers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82" w:lineRule="auto"/>
        <w:rPr>
          <w:sz w:val="20"/>
          <w:szCs w:val="20"/>
          <w:color w:val="auto"/>
        </w:rPr>
      </w:pPr>
      <w:r>
        <w:rPr>
          <w:rFonts w:ascii="Arial" w:cs="Arial" w:eastAsia="Arial" w:hAnsi="Arial"/>
          <w:sz w:val="14"/>
          <w:szCs w:val="14"/>
          <w:color w:val="auto"/>
        </w:rPr>
        <w:t>The NORI Exploration Contract, which was granted pursuant to the ISA’s Regulations on Prospecting and Exploration for Polymetallic Nodules in the CCZ (the “Regulations”), formalized a 74,830 square kilometers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exploration, NORI is required to, among other things:</w:t>
      </w:r>
    </w:p>
    <w:p>
      <w:pPr>
        <w:spacing w:after="0" w:line="194" w:lineRule="exact"/>
        <w:rPr>
          <w:sz w:val="20"/>
          <w:szCs w:val="20"/>
          <w:color w:val="auto"/>
        </w:rPr>
      </w:pPr>
    </w:p>
    <w:p>
      <w:pPr>
        <w:ind w:left="660" w:hanging="283"/>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implement the agreed plan of work;</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submit an annual report to the ISA;</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meet certain performance and expenditure commitments;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pay an annual overhead charge to cover the costs incurred by the ISA in administering and supervising the contract;</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implement training programs for personnel of the ISA and developing countries in accordance with an approved training program;</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take measures to prevent, reduce, and control pollution and other hazards to the marine environment arising from its activities in the CCZ;</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 appropriate insurance policies;</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establish environmental baselines against which to assess the likely effects of its program of activities on the marine environment; and</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establish and implement a program to monitor and report on such effects.</w:t>
      </w:r>
    </w:p>
    <w:p>
      <w:pPr>
        <w:spacing w:after="0" w:line="194"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On November 12, 2024, we announced that our subsidiary, NORI, intends to submit its application for an exploitation contract to the ISA on June 27, 2025.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37"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NORI is required to submit an application for extension no later than six months before the expiration of the contract. NORI intends to submit an application for a five-year extension in 2025.</w:t>
      </w:r>
    </w:p>
    <w:p>
      <w:pPr>
        <w:spacing w:after="0" w:line="141"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The ISA Council may suspend or terminate the NORI Exploration Contract, without prejudice to any other rights that the ISA may have, if any of the following events should occur:</w:t>
      </w:r>
    </w:p>
    <w:p>
      <w:pPr>
        <w:spacing w:after="0" w:line="119" w:lineRule="exact"/>
        <w:rPr>
          <w:sz w:val="20"/>
          <w:szCs w:val="20"/>
          <w:color w:val="auto"/>
        </w:rPr>
      </w:pPr>
    </w:p>
    <w:p>
      <w:pPr>
        <w:jc w:val="both"/>
        <w:ind w:left="660" w:right="80" w:hanging="283"/>
        <w:spacing w:after="0" w:line="276"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 to this point, NORI is compliant and has never received a written warning from the ISA;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283"/>
        <w:spacing w:after="0"/>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NORI has failed to comply with a final binding decision of the dispute settlement body applicable to it; or</w:t>
      </w:r>
    </w:p>
    <w:p>
      <w:pPr>
        <w:spacing w:after="0" w:line="193" w:lineRule="exact"/>
        <w:rPr>
          <w:rFonts w:ascii="Arial" w:cs="Arial" w:eastAsia="Arial" w:hAnsi="Arial"/>
          <w:sz w:val="15"/>
          <w:szCs w:val="15"/>
          <w:color w:val="auto"/>
        </w:rPr>
      </w:pPr>
    </w:p>
    <w:p>
      <w:pPr>
        <w:jc w:val="both"/>
        <w:ind w:left="660" w:right="100" w:hanging="283"/>
        <w:spacing w:after="0" w:line="269"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41"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The NORI Sponsorship Agreement</w:t>
      </w:r>
    </w:p>
    <w:p>
      <w:pPr>
        <w:spacing w:after="0" w:line="192"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37"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41"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 NORI has begun discussions with the Government of Nauru to renegotiate the existing sponsorship agreement and has committed to paying corporate income tax within Nauru.</w:t>
      </w:r>
    </w:p>
    <w:p>
      <w:pPr>
        <w:spacing w:after="0" w:line="15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The TOML Exploration Contract</w:t>
      </w:r>
    </w:p>
    <w:p>
      <w:pPr>
        <w:spacing w:after="0" w:line="192" w:lineRule="exact"/>
        <w:rPr>
          <w:sz w:val="20"/>
          <w:szCs w:val="20"/>
          <w:color w:val="auto"/>
        </w:rPr>
      </w:pPr>
    </w:p>
    <w:p>
      <w:pPr>
        <w:jc w:val="both"/>
        <w:ind w:left="80" w:right="100" w:firstLine="275"/>
        <w:spacing w:after="0" w:line="294" w:lineRule="auto"/>
        <w:rPr>
          <w:sz w:val="20"/>
          <w:szCs w:val="20"/>
          <w:color w:val="auto"/>
        </w:rPr>
      </w:pPr>
      <w:r>
        <w:rPr>
          <w:rFonts w:ascii="Arial" w:cs="Arial" w:eastAsia="Arial" w:hAnsi="Arial"/>
          <w:sz w:val="14"/>
          <w:szCs w:val="14"/>
          <w:color w:val="auto"/>
        </w:rPr>
        <w:t>In March 2020, we acquired TOML from Deep Sea Mining Finance Limited, providing us with exclusive rights to explore a 74,713 square kilometers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126"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The TOML Exploration Contract was granted pursuant to the ISA’s Regulations, as well as Article 153 of UNCLOS, and formalized a 74,713 square kilometers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spacing w:after="0" w:line="294" w:lineRule="auto"/>
        <w:rPr>
          <w:sz w:val="20"/>
          <w:szCs w:val="20"/>
          <w:color w:val="auto"/>
        </w:rPr>
      </w:pPr>
      <w:r>
        <w:rPr>
          <w:rFonts w:ascii="Arial" w:cs="Arial" w:eastAsia="Arial" w:hAnsi="Arial"/>
          <w:sz w:val="14"/>
          <w:szCs w:val="14"/>
          <w:color w:val="auto"/>
        </w:rPr>
        <w:t>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26"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December 23, 2022, the ISA accepted TOML’s proposed program of activities for the 2022-2026 five-year period.</w:t>
      </w:r>
    </w:p>
    <w:p>
      <w:pPr>
        <w:spacing w:after="0" w:line="194"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The ISA Council may suspend or terminate the TOML Exploration Contract, without prejudice to any other rights that the ISA may have, if any of the following events occur:</w:t>
      </w:r>
    </w:p>
    <w:p>
      <w:pPr>
        <w:spacing w:after="0" w:line="119" w:lineRule="exact"/>
        <w:rPr>
          <w:sz w:val="20"/>
          <w:szCs w:val="20"/>
          <w:color w:val="auto"/>
        </w:rPr>
      </w:pPr>
    </w:p>
    <w:p>
      <w:pPr>
        <w:jc w:val="both"/>
        <w:ind w:left="660" w:right="80" w:hanging="283"/>
        <w:spacing w:after="0" w:line="276"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 to this point, TOML is compliant and has never received a written warning from the ISA;</w:t>
      </w:r>
    </w:p>
    <w:p>
      <w:pPr>
        <w:spacing w:after="0" w:line="136" w:lineRule="exact"/>
        <w:rPr>
          <w:rFonts w:ascii="Arial" w:cs="Arial" w:eastAsia="Arial" w:hAnsi="Arial"/>
          <w:sz w:val="15"/>
          <w:szCs w:val="15"/>
          <w:color w:val="auto"/>
        </w:rPr>
      </w:pPr>
    </w:p>
    <w:p>
      <w:pPr>
        <w:ind w:left="660" w:hanging="282"/>
        <w:spacing w:after="0"/>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TOML has failed to comply with a final binding decision of the dispute settlement body applicable to it;</w:t>
      </w:r>
    </w:p>
    <w:p>
      <w:pPr>
        <w:spacing w:after="0" w:line="193" w:lineRule="exact"/>
        <w:rPr>
          <w:rFonts w:ascii="Arial" w:cs="Arial" w:eastAsia="Arial" w:hAnsi="Arial"/>
          <w:sz w:val="15"/>
          <w:szCs w:val="15"/>
          <w:color w:val="auto"/>
        </w:rPr>
      </w:pPr>
    </w:p>
    <w:p>
      <w:pPr>
        <w:ind w:left="660" w:right="80" w:hanging="283"/>
        <w:spacing w:after="0" w:line="299"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TOML becomes insolvent or commits an act of bankruptcy or enters into any agreement for composition with its creditors or goes into liquidation or receivership, whether compulsory or voluntary; or</w:t>
      </w:r>
    </w:p>
    <w:p>
      <w:pPr>
        <w:spacing w:after="0" w:line="119" w:lineRule="exact"/>
        <w:rPr>
          <w:rFonts w:ascii="Arial" w:cs="Arial" w:eastAsia="Arial" w:hAnsi="Arial"/>
          <w:sz w:val="15"/>
          <w:szCs w:val="15"/>
          <w:color w:val="auto"/>
        </w:rPr>
      </w:pPr>
    </w:p>
    <w:p>
      <w:pPr>
        <w:ind w:left="660" w:right="100" w:hanging="283"/>
        <w:spacing w:after="0" w:line="299" w:lineRule="auto"/>
        <w:tabs>
          <w:tab w:leader="none" w:pos="659" w:val="left"/>
        </w:tabs>
        <w:numPr>
          <w:ilvl w:val="0"/>
          <w:numId w:val="20"/>
        </w:numPr>
        <w:rPr>
          <w:rFonts w:ascii="Arial" w:cs="Arial" w:eastAsia="Arial" w:hAnsi="Arial"/>
          <w:sz w:val="15"/>
          <w:szCs w:val="15"/>
          <w:color w:val="auto"/>
        </w:rPr>
      </w:pPr>
      <w:r>
        <w:rPr>
          <w:rFonts w:ascii="Arial" w:cs="Arial" w:eastAsia="Arial" w:hAnsi="Arial"/>
          <w:sz w:val="15"/>
          <w:szCs w:val="15"/>
          <w:color w:val="auto"/>
        </w:rPr>
        <w:t>petitions or applies to any tribunal for the appointment of a receiver or a trustee for itself or commences any proceedings relating to bankruptcy, insolvency or readjustment of debt law, whether now or hereafter in effect, other than for the purpose of reconstruction.</w:t>
      </w:r>
    </w:p>
    <w:p>
      <w:pPr>
        <w:spacing w:after="0" w:line="119"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The TOML Sponsorship Agreement</w:t>
      </w:r>
    </w:p>
    <w:p>
      <w:pPr>
        <w:spacing w:after="0" w:line="192"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 TOML expects to renegotiate the existing sponsorship agreement with Tonga prior to entering into operations in the TOML area and has committed to paying corporate income tax within Tonga.</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Royalties and taxes</w:t>
      </w:r>
    </w:p>
    <w:p>
      <w:pPr>
        <w:spacing w:after="0" w:line="192"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3"/>
          <w:szCs w:val="13"/>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03">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2pt"/>
            </w:pict>
          </mc:Fallback>
        </mc:AlternateContent>
      </w:r>
    </w:p>
    <w:p>
      <w:pPr>
        <w:sectPr>
          <w:pgSz w:w="13680" w:h="17280" w:orient="portrait"/>
          <w:cols w:equalWidth="0" w:num="1">
            <w:col w:w="10800"/>
          </w:cols>
          <w:pgMar w:left="1440" w:top="1440" w:right="1440"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An open-ended working group has been formed and has met numerous times to discuss potential ISA royalty and sponsoring State taxation regimes supported by modelling conducted by the Massachusetts Institute of Technology. A final royalty and payment regime has not been agreed.</w:t>
      </w:r>
    </w:p>
    <w:p>
      <w:pPr>
        <w:spacing w:after="0" w:line="119" w:lineRule="exact"/>
        <w:rPr>
          <w:sz w:val="20"/>
          <w:szCs w:val="20"/>
          <w:color w:val="auto"/>
        </w:rPr>
      </w:pPr>
    </w:p>
    <w:p>
      <w:pPr>
        <w:jc w:val="both"/>
        <w:ind w:left="80" w:right="80" w:firstLine="274"/>
        <w:spacing w:after="0" w:line="288" w:lineRule="auto"/>
        <w:rPr>
          <w:sz w:val="20"/>
          <w:szCs w:val="20"/>
          <w:color w:val="auto"/>
        </w:rPr>
      </w:pPr>
      <w:r>
        <w:rPr>
          <w:rFonts w:ascii="Arial" w:cs="Arial" w:eastAsia="Arial" w:hAnsi="Arial"/>
          <w:sz w:val="14"/>
          <w:szCs w:val="14"/>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on a compounding basis based on the official inflation rate in the U.S. In addition, NORI and TOML will pay an administration fee each year to Nauru and Tonga for such administration and sponsorship, which is subject to review and increase in the event that NORI or TOML are granted an ISA Exploitation Contract. NORI and TOML have both committed to paying corporate income tax within Nauru and Tonga, respectively.</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Environmental Regulation</w:t>
      </w:r>
    </w:p>
    <w:p>
      <w:pPr>
        <w:spacing w:after="0" w:line="196"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ISA is mandated through UNCLOS to “preserve and protect the marine environment” while developing the resources within the Area. Given the location of the NORI Contract Area, the ISA is responsible for assessing the ESIA prepared by NORI and for granting the relevant permits.</w:t>
      </w:r>
    </w:p>
    <w:p>
      <w:pPr>
        <w:spacing w:after="0" w:line="119" w:lineRule="exact"/>
        <w:rPr>
          <w:sz w:val="20"/>
          <w:szCs w:val="20"/>
          <w:color w:val="auto"/>
        </w:rPr>
      </w:pPr>
    </w:p>
    <w:p>
      <w:pPr>
        <w:jc w:val="both"/>
        <w:ind w:left="80" w:right="80" w:firstLine="275"/>
        <w:spacing w:after="0" w:line="323" w:lineRule="auto"/>
        <w:rPr>
          <w:sz w:val="20"/>
          <w:szCs w:val="20"/>
          <w:color w:val="auto"/>
        </w:rPr>
      </w:pPr>
      <w:r>
        <w:rPr>
          <w:rFonts w:ascii="Arial" w:cs="Arial" w:eastAsia="Arial" w:hAnsi="Arial"/>
          <w:sz w:val="13"/>
          <w:szCs w:val="13"/>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and environmental thresholds. The ISA is currently developing these standards and guidelines, and thresholds which are expected to be finalized by the LTC and adopted by the Council. The ISA has divided the required standards and guidelines in three phases.</w:t>
      </w:r>
    </w:p>
    <w:p>
      <w:pPr>
        <w:spacing w:after="0" w:line="110" w:lineRule="exact"/>
        <w:rPr>
          <w:sz w:val="20"/>
          <w:szCs w:val="20"/>
          <w:color w:val="auto"/>
        </w:rPr>
      </w:pPr>
    </w:p>
    <w:p>
      <w:pPr>
        <w:ind w:left="660" w:hanging="283"/>
        <w:spacing w:after="0"/>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Phase 1: Standards and guidelines deemed necessary to be in place by the time of adoption of the draft regulations on exploitation.</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Phase 2: Standards and guidelines deemed necessary to be in place prior to the receipt of an application of a plan of work for exploitation.</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Phase 3: Standards and guidelines deemed necessary to be in place before commercial mining activities commence in the Area.</w:t>
      </w:r>
    </w:p>
    <w:p>
      <w:pPr>
        <w:spacing w:after="0" w:line="194"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and 3.</w:t>
      </w:r>
    </w:p>
    <w:p>
      <w:pPr>
        <w:spacing w:after="0" w:line="119"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Although the environmental impact review process has not yet been finalized, all contractors have been made aware that the ISA requires the completion of baseline studies and Environmental Impact Assessment (“EIA”), culminating in an EIS for proposed commercial operations, prior to collection. An EIS and an EMMP, will be required as part of the application for an ISA Exploitation Contract for operations in the CCZ. Environmental and social baseline studies are being conducted, and NORI has engaged several leading deep-sea research institutions and scientists to contribute to our environmental and social impact assessment program, consisting of over 100 discrete studies.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NORI’s offshore exploration campaigns have included sampling to support environmental studies, collection of high-resolution imagery, full column physical and chemical oceanographic data and environmental baseline studies. Our last offshore campaign to collect environmental baseline data was completed in 2022. An integrated collector test involving trialing of collector vehicle and riser system took place in 2022. The environmental impacts of this test were monitored from a separate research vessel. An additional environmental campaign was executed in 2023 to return to the site 12 months after the test. Data collected from the test monitoring campaign and 12-month revisit campaigns will be used to forecast the impacts for a full-scale commercial operation in NORI’s EIS. 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are required.</w:t>
      </w:r>
    </w:p>
    <w:p>
      <w:pPr>
        <w:spacing w:after="0" w:line="135"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37" w:lineRule="exact"/>
        <w:rPr>
          <w:sz w:val="20"/>
          <w:szCs w:val="20"/>
          <w:color w:val="auto"/>
        </w:rPr>
      </w:pPr>
    </w:p>
    <w:p>
      <w:pPr>
        <w:jc w:val="both"/>
        <w:ind w:left="80" w:right="80" w:firstLine="275"/>
        <w:spacing w:after="0" w:line="305" w:lineRule="auto"/>
        <w:rPr>
          <w:sz w:val="20"/>
          <w:szCs w:val="20"/>
          <w:color w:val="auto"/>
        </w:rPr>
      </w:pPr>
      <w:r>
        <w:rPr>
          <w:rFonts w:ascii="Arial" w:cs="Arial" w:eastAsia="Arial" w:hAnsi="Arial"/>
          <w:sz w:val="14"/>
          <w:szCs w:val="14"/>
          <w:color w:val="auto"/>
        </w:rPr>
        <w:t>Pursuant to Article 165(2)(b) of the Convention and Paragraph 11(a) of the 1994 Agreement, an application for a Plan of Work is first reviewed by the LTC and a recommendation concerning the approval of the Plan of Work is submitted by the LTC to the Council. Rule 44 of the LTC’s Rules of Procedure requires decision making by consensus. If all efforts to reach consensus have been exhausted, however, then a decision by voting shall be taken by a majority of members present and voting.</w:t>
      </w:r>
    </w:p>
    <w:p>
      <w:pPr>
        <w:spacing w:after="0" w:line="118"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If a positive recommendation is submitted by the LTC to the Council concerning the approval of a Plan of Work, the Council is required to approve the LTC’s recommendation unless a two-thirds majority of its members present and voting, including a majority of members present and voting in each of the chambers of the Council, decides to disapprove the Plan of Work. If the Council does not take a decision on the LTC’s recommendation within 60 days, the recommendation shall be deemed to have been approved by the Council.</w:t>
      </w:r>
    </w:p>
    <w:p>
      <w:pPr>
        <w:spacing w:after="0" w:line="14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In addition, the sponsoring State has a responsibility to put in place legislation to ensure the entity it has sponsored complies with UNCLOS and ISA rules and regulations. Nauru implemented the Nauru International Seabed Minerals Act in 2015, which was amended and renamed to Nauru Seabed Minerals Authority Act in 2024, that NORI is required to comply with.</w:t>
      </w:r>
    </w:p>
    <w:p>
      <w:pPr>
        <w:spacing w:after="0" w:line="137" w:lineRule="exact"/>
        <w:rPr>
          <w:sz w:val="20"/>
          <w:szCs w:val="20"/>
          <w:color w:val="auto"/>
        </w:rPr>
      </w:pPr>
    </w:p>
    <w:p>
      <w:pPr>
        <w:jc w:val="both"/>
        <w:ind w:left="80" w:right="80" w:firstLine="276"/>
        <w:spacing w:after="0" w:line="299" w:lineRule="auto"/>
        <w:rPr>
          <w:sz w:val="20"/>
          <w:szCs w:val="20"/>
          <w:color w:val="auto"/>
        </w:rPr>
      </w:pPr>
      <w:r>
        <w:rPr>
          <w:rFonts w:ascii="Arial" w:cs="Arial" w:eastAsia="Arial" w:hAnsi="Arial"/>
          <w:sz w:val="15"/>
          <w:szCs w:val="15"/>
          <w:color w:val="auto"/>
        </w:rPr>
        <w:t>NORI’s assessment is that it is in compliance with existing exploration permits and contracts. In addition to working on key engineering aspects of the project such as designing the final nodule collector and the dewatering facility, NORI is also continuing the following tasks:</w:t>
      </w:r>
    </w:p>
    <w:p>
      <w:pPr>
        <w:spacing w:after="0" w:line="119" w:lineRule="exact"/>
        <w:rPr>
          <w:sz w:val="20"/>
          <w:szCs w:val="20"/>
          <w:color w:val="auto"/>
        </w:rPr>
      </w:pPr>
    </w:p>
    <w:p>
      <w:pPr>
        <w:ind w:left="660" w:hanging="283"/>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delineating nodule mineralization;</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characterizing the nature of any materials returned to the environment;</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developing oceanographic and physical information to inform models (e.g., sediment plume models); and</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developing other plans, including the EMMP and the various subordinate plans.</w:t>
      </w:r>
    </w:p>
    <w:p>
      <w:pPr>
        <w:spacing w:after="0" w:line="194" w:lineRule="exact"/>
        <w:rPr>
          <w:sz w:val="20"/>
          <w:szCs w:val="20"/>
          <w:color w:val="auto"/>
        </w:rPr>
      </w:pPr>
    </w:p>
    <w:p>
      <w:pPr>
        <w:jc w:val="both"/>
        <w:ind w:left="80" w:right="80" w:firstLine="274"/>
        <w:spacing w:after="0" w:line="308" w:lineRule="auto"/>
        <w:rPr>
          <w:sz w:val="20"/>
          <w:szCs w:val="20"/>
          <w:color w:val="auto"/>
        </w:rPr>
      </w:pPr>
      <w:r>
        <w:rPr>
          <w:rFonts w:ascii="Arial" w:cs="Arial" w:eastAsia="Arial" w:hAnsi="Arial"/>
          <w:sz w:val="13"/>
          <w:szCs w:val="13"/>
          <w:color w:val="auto"/>
        </w:rPr>
        <w:t>In November 2023, we entered into a binding MoU with PAMCO whereby 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 This is an existing facility that has processed laterite ores since the mid 1960’s and has all the required operating permits to do so. The planned metallurgical process is expected to generate near-zero solid waste products. The deleterious elements’ (for example, cadmium and arsenic) content of the nodules is understood to be very low, indicating that with careful management, the environmental impacts of the processing operation are expected to be low. PAMCO are working with Japanese authorities to ensure that the environmental impacts of treating nodules are minimized and can be undertaken within PAMCO existing permissions or ensuring appropriate permissions are issued if required.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Intellectual Property</w:t>
      </w:r>
    </w:p>
    <w:p>
      <w:pPr>
        <w:spacing w:after="0" w:line="196" w:lineRule="exact"/>
        <w:rPr>
          <w:sz w:val="20"/>
          <w:szCs w:val="20"/>
          <w:color w:val="auto"/>
        </w:rPr>
      </w:pPr>
    </w:p>
    <w:p>
      <w:pPr>
        <w:jc w:val="both"/>
        <w:ind w:left="80" w:right="80" w:firstLine="275"/>
        <w:spacing w:after="0" w:line="315" w:lineRule="auto"/>
        <w:rPr>
          <w:sz w:val="20"/>
          <w:szCs w:val="20"/>
          <w:color w:val="auto"/>
        </w:rPr>
      </w:pPr>
      <w:r>
        <w:rPr>
          <w:rFonts w:ascii="Arial" w:cs="Arial" w:eastAsia="Arial" w:hAnsi="Arial"/>
          <w:sz w:val="13"/>
          <w:szCs w:val="13"/>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17" w:lineRule="exact"/>
        <w:rPr>
          <w:sz w:val="20"/>
          <w:szCs w:val="20"/>
          <w:color w:val="auto"/>
        </w:rPr>
      </w:pPr>
    </w:p>
    <w:p>
      <w:pPr>
        <w:jc w:val="both"/>
        <w:ind w:left="80" w:right="100" w:firstLine="274"/>
        <w:spacing w:after="0" w:line="337" w:lineRule="auto"/>
        <w:rPr>
          <w:sz w:val="20"/>
          <w:szCs w:val="20"/>
          <w:color w:val="auto"/>
        </w:rPr>
      </w:pPr>
      <w:r>
        <w:rPr>
          <w:rFonts w:ascii="Arial" w:cs="Arial" w:eastAsia="Arial" w:hAnsi="Arial"/>
          <w:sz w:val="14"/>
          <w:szCs w:val="14"/>
          <w:color w:val="auto"/>
        </w:rPr>
        <w:t>We cannot conclusively state that any pending applications, existing or future intellectual property will be definitively useful in protecting or promoting our business and growth plans. Please see the section entitled “</w:t>
      </w:r>
      <w:r>
        <w:rPr>
          <w:rFonts w:ascii="Arial" w:cs="Arial" w:eastAsia="Arial" w:hAnsi="Arial"/>
          <w:sz w:val="14"/>
          <w:szCs w:val="14"/>
          <w:i w:val="1"/>
          <w:iCs w:val="1"/>
          <w:color w:val="auto"/>
        </w:rPr>
        <w:t>Risk Factors</w:t>
      </w:r>
      <w:r>
        <w:rPr>
          <w:rFonts w:ascii="Arial" w:cs="Arial" w:eastAsia="Arial" w:hAnsi="Arial"/>
          <w:sz w:val="14"/>
          <w:szCs w:val="14"/>
          <w:color w:val="auto"/>
        </w:rPr>
        <w:t>” for additional information on the risks associated with our intellectual property strategy and portfolio.</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Human Capital</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of December 31, 2024, we employed forty-seven (47) employees and contractors. None of our staff are covered by collective bargaining agreements.</w:t>
      </w:r>
    </w:p>
    <w:p>
      <w:pPr>
        <w:spacing w:after="0" w:line="194" w:lineRule="exact"/>
        <w:rPr>
          <w:sz w:val="20"/>
          <w:szCs w:val="20"/>
          <w:color w:val="auto"/>
        </w:rPr>
      </w:pPr>
    </w:p>
    <w:p>
      <w:pPr>
        <w:jc w:val="both"/>
        <w:ind w:left="80" w:right="80"/>
        <w:spacing w:after="0" w:line="269" w:lineRule="auto"/>
        <w:rPr>
          <w:sz w:val="20"/>
          <w:szCs w:val="20"/>
          <w:color w:val="auto"/>
        </w:rPr>
      </w:pPr>
      <w:r>
        <w:rPr>
          <w:rFonts w:ascii="Arial" w:cs="Arial" w:eastAsia="Arial" w:hAnsi="Arial"/>
          <w:sz w:val="15"/>
          <w:szCs w:val="15"/>
          <w:i w:val="1"/>
          <w:iCs w:val="1"/>
          <w:color w:val="auto"/>
        </w:rPr>
        <w:t>Attracting Talent</w:t>
      </w:r>
      <w:r>
        <w:rPr>
          <w:rFonts w:ascii="Arial" w:cs="Arial" w:eastAsia="Arial" w:hAnsi="Arial"/>
          <w:sz w:val="15"/>
          <w:szCs w:val="15"/>
          <w:color w:val="auto"/>
        </w:rPr>
        <w:t>. Our team is comprised of highly skilled individuals from a variety of fields. Geographically, our staff are located in Tonga, Nauru, U.S., Canada, Australia,</w:t>
      </w:r>
      <w:r>
        <w:rPr>
          <w:rFonts w:ascii="Arial" w:cs="Arial" w:eastAsia="Arial" w:hAnsi="Arial"/>
          <w:sz w:val="15"/>
          <w:szCs w:val="15"/>
          <w:i w:val="1"/>
          <w:iCs w:val="1"/>
          <w:color w:val="auto"/>
        </w:rPr>
        <w:t xml:space="preserve"> </w:t>
      </w:r>
      <w:r>
        <w:rPr>
          <w:rFonts w:ascii="Arial" w:cs="Arial" w:eastAsia="Arial" w:hAnsi="Arial"/>
          <w:sz w:val="15"/>
          <w:szCs w:val="15"/>
          <w:color w:val="auto"/>
        </w:rPr>
        <w:t>United Kingdom and United Arab Emirates. We are committed to attracting, developing and retaining world-class talent that is inclusive of a diverse range of perspectives, age, gender, gender identity, race, sexual orientation, physical capability, neurological difference, ethnicity and belief. Our goal is to develop cultural competency by seeking knowledge, increasing awareness, modeling respect and promoting inclusion.</w:t>
      </w:r>
    </w:p>
    <w:p>
      <w:pPr>
        <w:spacing w:after="0" w:line="141" w:lineRule="exact"/>
        <w:rPr>
          <w:sz w:val="20"/>
          <w:szCs w:val="20"/>
          <w:color w:val="auto"/>
        </w:rPr>
      </w:pPr>
    </w:p>
    <w:p>
      <w:pPr>
        <w:jc w:val="both"/>
        <w:ind w:left="80" w:right="80" w:firstLine="1"/>
        <w:spacing w:after="0" w:line="283" w:lineRule="auto"/>
        <w:rPr>
          <w:sz w:val="20"/>
          <w:szCs w:val="20"/>
          <w:color w:val="auto"/>
        </w:rPr>
      </w:pPr>
      <w:r>
        <w:rPr>
          <w:rFonts w:ascii="Arial" w:cs="Arial" w:eastAsia="Arial" w:hAnsi="Arial"/>
          <w:sz w:val="14"/>
          <w:szCs w:val="14"/>
          <w:i w:val="1"/>
          <w:iCs w:val="1"/>
          <w:color w:val="auto"/>
        </w:rPr>
        <w:t>People Engagement</w:t>
      </w:r>
      <w:r>
        <w:rPr>
          <w:rFonts w:ascii="Arial" w:cs="Arial" w:eastAsia="Arial" w:hAnsi="Arial"/>
          <w:sz w:val="14"/>
          <w:szCs w:val="14"/>
          <w:color w:val="auto"/>
        </w:rPr>
        <w:t>. As a company working to pioneer a new industry and new ways of doing things, our success depends on attracting and retaining strong, independent,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entrepreneurial, and multi-talented team members capable of dealing with high levels of uncertainty and adversity. Our team is distributed across several continents and several time zones, with remote working being the norm for most of our staff and multi-week offshore campaigns being the norm for our offshore team.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Arial" w:cs="Arial" w:eastAsia="Arial" w:hAnsi="Arial"/>
          <w:sz w:val="14"/>
          <w:szCs w:val="14"/>
          <w:i w:val="1"/>
          <w:iCs w:val="1"/>
          <w:color w:val="auto"/>
        </w:rPr>
        <w:t>ad hoc</w:t>
      </w:r>
      <w:r>
        <w:rPr>
          <w:rFonts w:ascii="Arial" w:cs="Arial" w:eastAsia="Arial" w:hAnsi="Arial"/>
          <w:sz w:val="14"/>
          <w:szCs w:val="14"/>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135" w:lineRule="exact"/>
        <w:rPr>
          <w:sz w:val="20"/>
          <w:szCs w:val="20"/>
          <w:color w:val="auto"/>
        </w:rPr>
      </w:pPr>
    </w:p>
    <w:p>
      <w:pPr>
        <w:jc w:val="both"/>
        <w:ind w:left="80" w:right="80"/>
        <w:spacing w:after="0" w:line="269" w:lineRule="auto"/>
        <w:rPr>
          <w:sz w:val="20"/>
          <w:szCs w:val="20"/>
          <w:color w:val="auto"/>
        </w:rPr>
      </w:pPr>
      <w:r>
        <w:rPr>
          <w:rFonts w:ascii="Arial" w:cs="Arial" w:eastAsia="Arial" w:hAnsi="Arial"/>
          <w:sz w:val="15"/>
          <w:szCs w:val="15"/>
          <w:i w:val="1"/>
          <w:iCs w:val="1"/>
          <w:color w:val="auto"/>
        </w:rPr>
        <w:t xml:space="preserve">Compensation and Benefits. </w:t>
      </w:r>
      <w:r>
        <w:rPr>
          <w:rFonts w:ascii="Arial" w:cs="Arial" w:eastAsia="Arial" w:hAnsi="Arial"/>
          <w:sz w:val="15"/>
          <w:szCs w:val="15"/>
          <w:color w:val="auto"/>
        </w:rPr>
        <w:t>We compensate our staff competitively, striving to be in the 50th-60th percentile of our peers for total compensation and benefits. In addition to</w:t>
      </w:r>
      <w:r>
        <w:rPr>
          <w:rFonts w:ascii="Arial" w:cs="Arial" w:eastAsia="Arial" w:hAnsi="Arial"/>
          <w:sz w:val="15"/>
          <w:szCs w:val="15"/>
          <w:i w:val="1"/>
          <w:iCs w:val="1"/>
          <w:color w:val="auto"/>
        </w:rPr>
        <w:t xml:space="preserve"> </w:t>
      </w:r>
      <w:r>
        <w:rPr>
          <w:rFonts w:ascii="Arial" w:cs="Arial" w:eastAsia="Arial" w:hAnsi="Arial"/>
          <w:sz w:val="15"/>
          <w:szCs w:val="15"/>
          <w:color w:val="auto"/>
        </w:rPr>
        <w:t>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42" w:lineRule="exact"/>
        <w:rPr>
          <w:sz w:val="20"/>
          <w:szCs w:val="20"/>
          <w:color w:val="auto"/>
        </w:rPr>
      </w:pPr>
    </w:p>
    <w:p>
      <w:pPr>
        <w:jc w:val="both"/>
        <w:ind w:left="80" w:right="100"/>
        <w:spacing w:after="0" w:line="294" w:lineRule="auto"/>
        <w:rPr>
          <w:sz w:val="20"/>
          <w:szCs w:val="20"/>
          <w:color w:val="auto"/>
        </w:rPr>
      </w:pPr>
      <w:r>
        <w:rPr>
          <w:rFonts w:ascii="Arial" w:cs="Arial" w:eastAsia="Arial" w:hAnsi="Arial"/>
          <w:sz w:val="14"/>
          <w:szCs w:val="14"/>
          <w:i w:val="1"/>
          <w:iCs w:val="1"/>
          <w:color w:val="auto"/>
        </w:rPr>
        <w:t xml:space="preserve">Environment, Health &amp; Safety (EHS). </w:t>
      </w:r>
      <w:r>
        <w:rPr>
          <w:rFonts w:ascii="Arial" w:cs="Arial" w:eastAsia="Arial" w:hAnsi="Arial"/>
          <w:sz w:val="14"/>
          <w:szCs w:val="14"/>
          <w:color w:val="auto"/>
        </w:rPr>
        <w:t>Our EHS vision is to fully integrate environmental, health and safety into our operations, and to create a workplace free of incidents. In</w:t>
      </w:r>
      <w:r>
        <w:rPr>
          <w:rFonts w:ascii="Arial" w:cs="Arial" w:eastAsia="Arial" w:hAnsi="Arial"/>
          <w:sz w:val="14"/>
          <w:szCs w:val="14"/>
          <w:i w:val="1"/>
          <w:iCs w:val="1"/>
          <w:color w:val="auto"/>
        </w:rPr>
        <w:t xml:space="preserve"> </w:t>
      </w:r>
      <w:r>
        <w:rPr>
          <w:rFonts w:ascii="Arial" w:cs="Arial" w:eastAsia="Arial" w:hAnsi="Arial"/>
          <w:sz w:val="14"/>
          <w:szCs w:val="14"/>
          <w:color w:val="auto"/>
        </w:rPr>
        <w:t>2024, we relied on the EHS programs of our partners Allseas and an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Available Information</w:t>
      </w:r>
    </w:p>
    <w:p>
      <w:pPr>
        <w:spacing w:after="0" w:line="196"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 xml:space="preserve">Our internet address is </w:t>
      </w:r>
      <w:r>
        <w:rPr>
          <w:rFonts w:ascii="Arial" w:cs="Arial" w:eastAsia="Arial" w:hAnsi="Arial"/>
          <w:sz w:val="15"/>
          <w:szCs w:val="15"/>
          <w:i w:val="1"/>
          <w:iCs w:val="1"/>
          <w:color w:val="auto"/>
        </w:rPr>
        <w:t>https:// metals.co</w:t>
      </w:r>
      <w:r>
        <w:rPr>
          <w:rFonts w:ascii="Arial" w:cs="Arial" w:eastAsia="Arial" w:hAnsi="Arial"/>
          <w:sz w:val="15"/>
          <w:szCs w:val="15"/>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Arial" w:cs="Arial" w:eastAsia="Arial" w:hAnsi="Arial"/>
          <w:sz w:val="15"/>
          <w:szCs w:val="15"/>
          <w:i w:val="1"/>
          <w:iCs w:val="1"/>
          <w:color w:val="auto"/>
        </w:rPr>
        <w:t>http://www.sec.gov</w:t>
      </w:r>
      <w:r>
        <w:rPr>
          <w:rFonts w:ascii="Arial" w:cs="Arial" w:eastAsia="Arial" w:hAnsi="Arial"/>
          <w:sz w:val="15"/>
          <w:szCs w:val="15"/>
          <w:color w:val="auto"/>
        </w:rPr>
        <w:t>) that contains reports, proxy and information statements, and other information regarding issuers that file electronically with the SEC. We include our website address in this Annual Report only as an inactive textual reference. Information contained in our website does not constitute a part of this Annual Report or our other filings with the SEC.</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Corporate Information</w:t>
      </w:r>
    </w:p>
    <w:p>
      <w:pPr>
        <w:spacing w:after="0" w:line="196"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We are a corporation existing under the laws of British Columbia, Canada. Our registered and records office is located at 1111 West Hastings Street, 15th Floor, Vancouver, British Columbia V6E 2J3, Canada, and our telephone number is (888) 458-3420. We do not have a physical office in Vancouver, British Columbia, our directors and executive officers work remotely in various countries around the world, and the Vancouver, British Columbia address disclosed is our registered and records office required under the Business Corporations Act (British Columbia)</w:t>
      </w:r>
    </w:p>
    <w:p>
      <w:pPr>
        <w:spacing w:after="0" w:line="139"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96"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29" w:lineRule="exact"/>
        <w:rPr>
          <w:sz w:val="20"/>
          <w:szCs w:val="20"/>
          <w:color w:val="auto"/>
        </w:rPr>
      </w:pPr>
    </w:p>
    <w:p>
      <w:pPr>
        <w:jc w:val="center"/>
        <w:ind w:right="6620"/>
        <w:spacing w:after="0"/>
        <w:rPr>
          <w:sz w:val="20"/>
          <w:szCs w:val="20"/>
          <w:color w:val="auto"/>
        </w:rPr>
      </w:pPr>
      <w:r>
        <w:rPr>
          <w:rFonts w:ascii="Arial" w:cs="Arial" w:eastAsia="Arial" w:hAnsi="Arial"/>
          <w:sz w:val="13"/>
          <w:szCs w:val="13"/>
          <w:b w:val="1"/>
          <w:bCs w:val="1"/>
          <w:color w:val="auto"/>
        </w:rPr>
        <w:t>Summary of the Material Risks Associated with Our Business</w:t>
      </w:r>
    </w:p>
    <w:p>
      <w:pPr>
        <w:spacing w:after="0" w:line="219" w:lineRule="exact"/>
        <w:rPr>
          <w:sz w:val="20"/>
          <w:szCs w:val="20"/>
          <w:color w:val="auto"/>
        </w:rPr>
      </w:pPr>
    </w:p>
    <w:p>
      <w:pPr>
        <w:jc w:val="center"/>
        <w:ind w:right="6620"/>
        <w:spacing w:after="0"/>
        <w:rPr>
          <w:sz w:val="20"/>
          <w:szCs w:val="20"/>
          <w:color w:val="auto"/>
        </w:rPr>
      </w:pPr>
      <w:r>
        <w:rPr>
          <w:rFonts w:ascii="Arial" w:cs="Arial" w:eastAsia="Arial" w:hAnsi="Arial"/>
          <w:sz w:val="15"/>
          <w:szCs w:val="15"/>
          <w:color w:val="auto"/>
        </w:rPr>
        <w:t>These risks include, but are not limited to, the following:</w:t>
      </w:r>
    </w:p>
    <w:p>
      <w:pPr>
        <w:spacing w:after="0" w:line="194" w:lineRule="exact"/>
        <w:rPr>
          <w:sz w:val="20"/>
          <w:szCs w:val="20"/>
          <w:color w:val="auto"/>
        </w:rPr>
      </w:pPr>
    </w:p>
    <w:p>
      <w:pPr>
        <w:ind w:left="660" w:hanging="282"/>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business is subject to numerous regulatory uncertainties which, if not resolved in our favor, would have a material adverse impact on our business.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resource development activities are subject to changes in government regulation and political instability.</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to any of the laws, rules, regulations or policies to which we are subject could have a significant impact on our business.</w:t>
      </w:r>
    </w:p>
    <w:p>
      <w:pPr>
        <w:spacing w:after="0" w:line="193" w:lineRule="exact"/>
        <w:rPr>
          <w:rFonts w:ascii="Arial" w:cs="Arial" w:eastAsia="Arial" w:hAnsi="Arial"/>
          <w:sz w:val="15"/>
          <w:szCs w:val="15"/>
          <w:color w:val="auto"/>
        </w:rPr>
      </w:pPr>
    </w:p>
    <w:p>
      <w:pPr>
        <w:jc w:val="both"/>
        <w:ind w:left="660" w:right="80" w:hanging="283"/>
        <w:spacing w:after="0" w:line="276"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exploration,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36" w:lineRule="exact"/>
        <w:rPr>
          <w:rFonts w:ascii="Arial" w:cs="Arial" w:eastAsia="Arial" w:hAnsi="Arial"/>
          <w:sz w:val="15"/>
          <w:szCs w:val="15"/>
          <w:color w:val="auto"/>
        </w:rPr>
      </w:pPr>
    </w:p>
    <w:p>
      <w:pPr>
        <w:ind w:left="660" w:right="80" w:hanging="282"/>
        <w:spacing w:after="0" w:line="299"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grade and quality of the polymetallic nodule deposits that we intend to develop are estimates, and there are no guarantees that such deposits will be suitable for collecting or commercialization.</w:t>
      </w:r>
    </w:p>
    <w:p>
      <w:pPr>
        <w:spacing w:after="0" w:line="119" w:lineRule="exact"/>
        <w:rPr>
          <w:rFonts w:ascii="Arial" w:cs="Arial" w:eastAsia="Arial" w:hAnsi="Arial"/>
          <w:sz w:val="15"/>
          <w:szCs w:val="15"/>
          <w:color w:val="auto"/>
        </w:rPr>
      </w:pPr>
    </w:p>
    <w:p>
      <w:pPr>
        <w:ind w:left="660" w:right="100" w:hanging="282"/>
        <w:spacing w:after="0" w:line="299"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No seafloor polymetallic nodule deposit has ever been commercially collected, and our offshore collection technology and development plans and processes may not be sufficient to accomplish our objectives.</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Mineral resource estimates from the contract areas of NORI and TOML are only estimates.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business is subject to significant risks, and we may never develop minerals in sufficient grade or quantities to justify commercial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28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Uncertainty in our estimates of polymetallic nodule deposits could result in lower-than-expected revenues and higher costs.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operate in a highly competitive industry, and there are no assurances that our efforts will be successful.</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prevailing market prices of nickel, manganese, copper, cobalt, and other commodities will have a material impact on our ability to achieve commercial success.</w:t>
      </w:r>
    </w:p>
    <w:p>
      <w:pPr>
        <w:spacing w:after="0" w:line="216" w:lineRule="exact"/>
        <w:rPr>
          <w:rFonts w:ascii="Arial" w:cs="Arial" w:eastAsia="Arial" w:hAnsi="Arial"/>
          <w:sz w:val="13"/>
          <w:szCs w:val="13"/>
          <w:color w:val="auto"/>
        </w:rPr>
      </w:pPr>
    </w:p>
    <w:p>
      <w:pPr>
        <w:ind w:left="660" w:hanging="28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be adversely affected by fluctuations in demand for nickel, manganese, copper, cobalt, and other commodities.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Negative perceptions related to the offshore collection of polymetallic nodules could have a material adverse effect on our business.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our partners and our shareholders may be adversely impacted by pressure and lobbying from non - governmental organizations.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Offshore collection and onshore processing and refining operations pose inherent risks and costs that may negatively impact our business.</w:t>
      </w:r>
    </w:p>
    <w:p>
      <w:pPr>
        <w:spacing w:after="0" w:line="193" w:lineRule="exact"/>
        <w:rPr>
          <w:rFonts w:ascii="Arial" w:cs="Arial" w:eastAsia="Arial" w:hAnsi="Arial"/>
          <w:sz w:val="15"/>
          <w:szCs w:val="15"/>
          <w:color w:val="auto"/>
        </w:rPr>
      </w:pPr>
    </w:p>
    <w:p>
      <w:pPr>
        <w:ind w:left="660" w:right="80" w:hanging="283"/>
        <w:spacing w:after="0" w:line="299" w:lineRule="auto"/>
        <w:tabs>
          <w:tab w:leader="none" w:pos="661"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Some of the offshore equipment that we will need to accomplish our objectives has not been manufactured and/or tested.</w:t>
      </w:r>
    </w:p>
    <w:p>
      <w:pPr>
        <w:spacing w:after="0" w:line="193" w:lineRule="exact"/>
        <w:rPr>
          <w:rFonts w:ascii="Arial" w:cs="Arial" w:eastAsia="Arial" w:hAnsi="Arial"/>
          <w:sz w:val="15"/>
          <w:szCs w:val="15"/>
          <w:color w:val="auto"/>
        </w:rPr>
      </w:pPr>
    </w:p>
    <w:p>
      <w:pPr>
        <w:ind w:left="660" w:right="100" w:hanging="283"/>
        <w:spacing w:after="0" w:line="299"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business is substantially dependent on our strategic relationship with Allseas. If we and Allseas are unable to successfully maintain and expand this relationship, our business may be materially harmed.</w:t>
      </w:r>
    </w:p>
    <w:p>
      <w:pPr>
        <w:spacing w:after="0" w:line="119" w:lineRule="exact"/>
        <w:rPr>
          <w:rFonts w:ascii="Arial" w:cs="Arial" w:eastAsia="Arial" w:hAnsi="Arial"/>
          <w:sz w:val="15"/>
          <w:szCs w:val="15"/>
          <w:color w:val="auto"/>
        </w:rPr>
      </w:pPr>
    </w:p>
    <w:p>
      <w:pPr>
        <w:jc w:val="both"/>
        <w:ind w:left="660" w:right="80" w:hanging="283"/>
        <w:spacing w:after="0" w:line="382" w:lineRule="auto"/>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73" w:lineRule="exact"/>
        <w:rPr>
          <w:rFonts w:ascii="Arial" w:cs="Arial" w:eastAsia="Arial" w:hAnsi="Arial"/>
          <w:sz w:val="13"/>
          <w:szCs w:val="13"/>
          <w:color w:val="auto"/>
        </w:rPr>
      </w:pPr>
    </w:p>
    <w:p>
      <w:pPr>
        <w:ind w:left="660" w:hanging="283"/>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exploration and polymetallic nodule collecting activities may be affected by natural hazards, which could have a material adverse effect on our business.</w:t>
      </w:r>
    </w:p>
    <w:p>
      <w:pPr>
        <w:spacing w:after="0" w:line="205" w:lineRule="exact"/>
        <w:rPr>
          <w:rFonts w:ascii="Arial" w:cs="Arial" w:eastAsia="Arial" w:hAnsi="Arial"/>
          <w:sz w:val="14"/>
          <w:szCs w:val="14"/>
          <w:color w:val="auto"/>
        </w:rPr>
      </w:pPr>
    </w:p>
    <w:p>
      <w:pPr>
        <w:ind w:left="660" w:right="80" w:hanging="283"/>
        <w:spacing w:after="0" w:line="299"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19" w:lineRule="exact"/>
        <w:rPr>
          <w:rFonts w:ascii="Arial" w:cs="Arial" w:eastAsia="Arial" w:hAnsi="Arial"/>
          <w:sz w:val="15"/>
          <w:szCs w:val="15"/>
          <w:color w:val="auto"/>
        </w:rPr>
      </w:pPr>
    </w:p>
    <w:p>
      <w:pPr>
        <w:ind w:left="660" w:right="100" w:hanging="283"/>
        <w:spacing w:after="0" w:line="299"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have a limited operating history, and there can be no assurance that we will be able to commercially develop our resource areas or achieve profitability in the future.</w:t>
      </w:r>
    </w:p>
    <w:p>
      <w:pPr>
        <w:spacing w:after="0" w:line="119" w:lineRule="exact"/>
        <w:rPr>
          <w:rFonts w:ascii="Arial" w:cs="Arial" w:eastAsia="Arial" w:hAnsi="Arial"/>
          <w:sz w:val="15"/>
          <w:szCs w:val="15"/>
          <w:color w:val="auto"/>
        </w:rPr>
      </w:pPr>
    </w:p>
    <w:p>
      <w:pPr>
        <w:ind w:left="660" w:right="100" w:hanging="282"/>
        <w:spacing w:after="0" w:line="299"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depend on key personnel for the success of our business. The loss of key personnel or the hiring of ineffective personnel could negatively impact our operations and profitability.</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are dependent upon information technology systems, which are subject to cyber threats, disruption, damage and failure.</w:t>
      </w:r>
    </w:p>
    <w:p>
      <w:pPr>
        <w:spacing w:after="0" w:line="193" w:lineRule="exact"/>
        <w:rPr>
          <w:rFonts w:ascii="Arial" w:cs="Arial" w:eastAsia="Arial" w:hAnsi="Arial"/>
          <w:sz w:val="15"/>
          <w:szCs w:val="15"/>
          <w:color w:val="auto"/>
        </w:rPr>
      </w:pPr>
    </w:p>
    <w:p>
      <w:pPr>
        <w:ind w:left="660" w:right="80" w:hanging="282"/>
        <w:spacing w:after="0" w:line="337"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right="80" w:hanging="283"/>
        <w:spacing w:after="0" w:line="337"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96" w:lineRule="exact"/>
        <w:rPr>
          <w:rFonts w:ascii="Arial" w:cs="Arial" w:eastAsia="Arial" w:hAnsi="Arial"/>
          <w:sz w:val="14"/>
          <w:szCs w:val="14"/>
          <w:color w:val="auto"/>
        </w:rPr>
      </w:pPr>
    </w:p>
    <w:p>
      <w:pPr>
        <w:ind w:left="660" w:hanging="283"/>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There can be no assurance that we will be able to comply with the continued listing standards of Nasdaq.</w:t>
      </w:r>
    </w:p>
    <w:p>
      <w:pPr>
        <w:spacing w:after="0" w:line="193" w:lineRule="exact"/>
        <w:rPr>
          <w:rFonts w:ascii="Arial" w:cs="Arial" w:eastAsia="Arial" w:hAnsi="Arial"/>
          <w:sz w:val="15"/>
          <w:szCs w:val="15"/>
          <w:color w:val="auto"/>
        </w:rPr>
      </w:pPr>
    </w:p>
    <w:p>
      <w:pPr>
        <w:ind w:left="660" w:right="80" w:hanging="283"/>
        <w:spacing w:after="0" w:line="299" w:lineRule="auto"/>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we are unable to implement and maintain effective internal controls over financial reporting, investors may lose confidence in the accuracy and completeness of our financial reports and we may face litigation.</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are exposed to risks vis-à-vis our multi-national operations, which could adversely affect our business.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may be classified as a PFIC in any taxable year, which could result in adverse U.S. federal income tax consequences to U.S. holders.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9">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4pt"/>
            </w:pict>
          </mc:Fallback>
        </mc:AlternateContent>
      </w:r>
    </w:p>
    <w:p>
      <w:pPr>
        <w:sectPr>
          <w:pgSz w:w="13680" w:h="17280" w:orient="portrait"/>
          <w:cols w:equalWidth="0" w:num="1">
            <w:col w:w="10800"/>
          </w:cols>
          <w:pgMar w:left="1440" w:top="1440" w:right="1440"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
        <w:spacing w:after="0"/>
        <w:tabs>
          <w:tab w:leader="none" w:pos="580" w:val="left"/>
        </w:tabs>
        <w:rPr>
          <w:sz w:val="20"/>
          <w:szCs w:val="20"/>
          <w:color w:val="auto"/>
        </w:rPr>
      </w:pPr>
      <w:r>
        <w:rPr>
          <w:rFonts w:ascii="Arial" w:cs="Arial" w:eastAsia="Arial" w:hAnsi="Arial"/>
          <w:sz w:val="15"/>
          <w:szCs w:val="15"/>
          <w:b w:val="1"/>
          <w:bCs w:val="1"/>
          <w:color w:val="auto"/>
        </w:rPr>
        <w:t>I.</w:t>
        <w:tab/>
        <w:t>Regulatory and Environmental Risks.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Our business is subject to numerous regulatory uncertainties which, if not resolved in our favor, would have a material adverse impact on our business.</w:t>
      </w:r>
    </w:p>
    <w:p>
      <w:pPr>
        <w:spacing w:after="0" w:line="204"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19" w:lineRule="exact"/>
        <w:rPr>
          <w:sz w:val="20"/>
          <w:szCs w:val="20"/>
          <w:color w:val="auto"/>
        </w:rPr>
      </w:pPr>
    </w:p>
    <w:p>
      <w:pPr>
        <w:jc w:val="both"/>
        <w:ind w:left="80" w:right="100" w:firstLine="275"/>
        <w:spacing w:after="0" w:line="269" w:lineRule="auto"/>
        <w:rPr>
          <w:sz w:val="20"/>
          <w:szCs w:val="20"/>
          <w:color w:val="auto"/>
        </w:rPr>
      </w:pPr>
      <w:r>
        <w:rPr>
          <w:rFonts w:ascii="Arial" w:cs="Arial" w:eastAsia="Arial" w:hAnsi="Arial"/>
          <w:sz w:val="15"/>
          <w:szCs w:val="15"/>
          <w:color w:val="auto"/>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and TOML contract areas.</w:t>
      </w:r>
    </w:p>
    <w:p>
      <w:pPr>
        <w:spacing w:after="0" w:line="141"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Section 1, paragraph 15 of the 1994 Agreement Relating to the Implementation of Part XI of UNCLOS (the “1994 Agreement”)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37" w:lineRule="exact"/>
        <w:rPr>
          <w:sz w:val="20"/>
          <w:szCs w:val="20"/>
          <w:color w:val="auto"/>
        </w:rPr>
      </w:pPr>
    </w:p>
    <w:p>
      <w:pPr>
        <w:jc w:val="both"/>
        <w:ind w:left="80" w:right="80" w:firstLine="276"/>
        <w:spacing w:after="0" w:line="278" w:lineRule="auto"/>
        <w:rPr>
          <w:sz w:val="20"/>
          <w:szCs w:val="20"/>
          <w:color w:val="auto"/>
        </w:rPr>
      </w:pPr>
      <w:r>
        <w:rPr>
          <w:rFonts w:ascii="Arial" w:cs="Arial" w:eastAsia="Arial" w:hAnsi="Arial"/>
          <w:sz w:val="14"/>
          <w:szCs w:val="14"/>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on the Mining Code. The Mining Code was not completed at the July 2024 ISA Council meetings and during these meetings, the ISA agreed to continue the negotiations of the Mining Code with a continued view to its adoption during the 30th Session of the ISA in 2025. The ISA Council has scheduled two ISA Council meetings, one in March 2025 and the other of which is expected to occur in July 2025, to progress the Mining Code. Although we believe the ISA will adopt the Mining Code, there can be no assurances that the Mining Code will be adopted in 2025, or at all, as a result of actions of ISA member States or otherwise. For example, at least 32 ISA member States out of the 170 ISA members have expressed reservations about the timing of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141"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As the ISA Council did not complete the adoption and elaboration of the Mining Code by the prescribed deadline of July 9, 2023, pursuant to Section 1, Paragraph 15(c) of the Annex to the 1994 Agreement,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including the principle of non-discrimination among contractors.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77" w:lineRule="auto"/>
        <w:rPr>
          <w:sz w:val="20"/>
          <w:szCs w:val="20"/>
          <w:color w:val="auto"/>
        </w:rPr>
      </w:pPr>
      <w:r>
        <w:rPr>
          <w:rFonts w:ascii="Arial" w:cs="Arial" w:eastAsia="Arial" w:hAnsi="Arial"/>
          <w:sz w:val="14"/>
          <w:szCs w:val="14"/>
          <w:color w:val="auto"/>
        </w:rPr>
        <w:t>NORI intends to submit an application to the ISA for an exploitation contract, which will include a plan of work for exploitation for the NORI contract area, expected to be filed on June 27, 2025. If the ISA has not adopted the final Mining Code by the time NORI submits this application, we believe that the ISA will review and provisionally approve the plan of work for exploitation included therein pursuant to Section 1, Paragraph 15(c) of the Annex to the 1994 Agreement discussed above. The ISA released its road map to finalize the Mining Code at its July 2023 session and at its July 2024 session agreed to continue the negotiations of the Mining Code with a continued view to its adoption during the 30th Session of the ISA in 2025, however, it has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LTC and whether and how long the ISA could delay its consideration of an application past the proscribed 60-day period. As a result, and to provide clarity on the application review process and timeline, the Republic of Nauru, in consultation with NORI, formally requested that this issue be added to the agenda of the Council’s March 2025 meeting. Nauru’s proposed agenda item was strongly opposed by Chile, and it is unlikely for there to be an agreed upon process until after an application is received. In light of some ISA Member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 On August 2, 2024, the ISA Assembly elected Leticia Carvalho of Brazil as the new Secretary-General of the ISA for the period 2025-2028. There can be no assurances that the ISA’s stated target for adoption of the Mining Code of 2025 will be met or that any application for an exploitation contract will be approved before the final Mining Code is adopted.</w:t>
      </w:r>
    </w:p>
    <w:p>
      <w:pPr>
        <w:spacing w:after="0" w:line="138"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Under UNCLOS, the collection of polymetallic nodules under our ISA exploration contracts, will require approval of an ISA Exploitation Contract (which will authorize commercial collection activities). As part of the application for an ISA Exploitation Contract, all contractors are required to complete baseline studies and an Environment and Social Impact Assessment (ESIA), culminating in an EIS, prior to collecting nodules at a commercial scale. The EIS would be accompanied by an Environmental Monitoring and Management Plan (EMMP)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3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In order to move our exploration projects into commercial production, our wholly owned subsidiaries, NORI and TOML will each need to receive an exploitation contract with the ISA,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47"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While the rates of payments are yet to be set by the ISA, the 1994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32" w:lineRule="exact"/>
        <w:rPr>
          <w:sz w:val="20"/>
          <w:szCs w:val="20"/>
          <w:color w:val="auto"/>
        </w:rPr>
      </w:pPr>
    </w:p>
    <w:p>
      <w:pPr>
        <w:jc w:val="both"/>
        <w:ind w:left="80" w:right="80" w:firstLine="275"/>
        <w:spacing w:after="0" w:line="305" w:lineRule="auto"/>
        <w:rPr>
          <w:sz w:val="20"/>
          <w:szCs w:val="20"/>
          <w:color w:val="auto"/>
        </w:rPr>
      </w:pPr>
      <w:r>
        <w:rPr>
          <w:rFonts w:ascii="Arial" w:cs="Arial" w:eastAsia="Arial" w:hAnsi="Arial"/>
          <w:sz w:val="14"/>
          <w:szCs w:val="14"/>
          <w:color w:val="auto"/>
        </w:rPr>
        <w:t>We currently hold exclusive exploration rights through our subsidiaries NORI and TOML to two polymetallic nodule areas in the CCZ. The exploration contracts for each of these areas require us to conduct certain activities in accordance with approved plans of work. The suspension or termination of our exploration contract for the NORI area would, and any of our other exploration contracts could, have a material and adverse effect on our future business prospects and financial condition.</w:t>
      </w:r>
    </w:p>
    <w:p>
      <w:pPr>
        <w:spacing w:after="0" w:line="118" w:lineRule="exact"/>
        <w:rPr>
          <w:sz w:val="20"/>
          <w:szCs w:val="20"/>
          <w:color w:val="auto"/>
        </w:rPr>
      </w:pPr>
    </w:p>
    <w:p>
      <w:pPr>
        <w:jc w:val="both"/>
        <w:ind w:left="80" w:right="80" w:firstLine="275"/>
        <w:spacing w:after="0" w:line="280" w:lineRule="auto"/>
        <w:rPr>
          <w:sz w:val="20"/>
          <w:szCs w:val="20"/>
          <w:color w:val="auto"/>
        </w:rPr>
      </w:pPr>
      <w:r>
        <w:rPr>
          <w:rFonts w:ascii="Arial" w:cs="Arial" w:eastAsia="Arial" w:hAnsi="Arial"/>
          <w:sz w:val="14"/>
          <w:szCs w:val="14"/>
          <w:color w:val="auto"/>
        </w:rPr>
        <w:t>In 2024, the LTC of the ISA established a new process to identify contractors who may be at risk of non-compliance with obligations under their respective exploration contract. In August 2024, as a result of this new process, the ISA sent notifications of such potential risk of non-compliance to TOML. The LTC’s notification to TOML cited concerns, which relate mainly to the failure to conduct planned sampling campaigns, the need to submit digital data in the revised reporting templates, delays in surveys for environmental baseline development, and the delay in submission of its scoping report. TOML responded by the November 30, 2024 deadline and is positioned to take corrective action if necessary. If the LTC deems TOML’s response incomplete or does not effectively address the LTC’s concerns, the LTC, in line with its established process, may report TOML to the ISA Council for further consideration and action. If TOML is deemed to have not remedied all issues raised by the LTC and the ISA then determines that TOML is not in compliance with its obligations under its exploration contract, the ISA could impose monetary sanctions on TOML, suspend some or all rights under the exploration contract, which could include halting exploration activities, or terminate TOML’s exploration contract, any of which could have a material and adverse effect on our future business prospects and financial condition.</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Our resource development activities are subject to changes in government regulation and political instability.</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Under UNCLOS, parties carrying out exploration and collection operations in the CCZ must be sponsored by a State that is a member of the ISA. The Sponsoring States of our subsidiaries NORI and TOML are Nauru and Tonga, respectively. If Nauru and Tonga cease such sponsorship, our subsidiaries would need to seek sponsorship elsewhere, which could impact our operations as a group.</w:t>
      </w:r>
    </w:p>
    <w:p>
      <w:pPr>
        <w:spacing w:after="0" w:line="137"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under UNCLOS to cease activities in the CCZ.</w:t>
      </w:r>
    </w:p>
    <w:p>
      <w:pPr>
        <w:spacing w:after="0" w:line="137" w:lineRule="exact"/>
        <w:rPr>
          <w:sz w:val="20"/>
          <w:szCs w:val="20"/>
          <w:color w:val="auto"/>
        </w:rPr>
      </w:pPr>
    </w:p>
    <w:p>
      <w:pPr>
        <w:jc w:val="both"/>
        <w:ind w:left="80" w:right="80" w:firstLine="274"/>
        <w:spacing w:after="0" w:line="263" w:lineRule="auto"/>
        <w:rPr>
          <w:sz w:val="20"/>
          <w:szCs w:val="20"/>
          <w:color w:val="auto"/>
        </w:rPr>
      </w:pPr>
      <w:r>
        <w:rPr>
          <w:rFonts w:ascii="Arial" w:cs="Arial" w:eastAsia="Arial" w:hAnsi="Arial"/>
          <w:sz w:val="15"/>
          <w:szCs w:val="15"/>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47"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Our efforts to explore a regulatory pathway for deep-sea nodule production under the U.S. Deep Seabed Hard Mineral Resources Act may subject us to conflicting regulatory requirements and other operational risks.</w:t>
      </w:r>
    </w:p>
    <w:p>
      <w:pPr>
        <w:spacing w:after="0" w:line="121"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We recently announced a plan to consider a U.S.-based regulatory pathway with NOAA and the U.S. Department of Commerce under the DSHMRA for the exploration and commercial recovery of deep-sea polymetallic nodules in the CCZ. Pursuing this pathway will likely introduce new uncertainties into our business, such as differing and potentially contradictory environmental, permitting and legal requirements, which could negatively impact our expected timelines, costs, ability to secure commercialization rights and operating results. In addition, reliance on a U.S.-based regulatory regime will require support from U.S. policy makers, which support can change over time, depending on a variety of factors.</w:t>
      </w:r>
    </w:p>
    <w:p>
      <w:pPr>
        <w:spacing w:after="0" w:line="146" w:lineRule="exact"/>
        <w:rPr>
          <w:sz w:val="20"/>
          <w:szCs w:val="20"/>
          <w:color w:val="auto"/>
        </w:rPr>
      </w:pPr>
    </w:p>
    <w:p>
      <w:pPr>
        <w:jc w:val="both"/>
        <w:ind w:left="80" w:right="80" w:firstLine="275"/>
        <w:spacing w:after="0" w:line="261" w:lineRule="auto"/>
        <w:rPr>
          <w:sz w:val="20"/>
          <w:szCs w:val="20"/>
          <w:color w:val="auto"/>
        </w:rPr>
      </w:pPr>
      <w:r>
        <w:rPr>
          <w:rFonts w:ascii="Arial" w:cs="Arial" w:eastAsia="Arial" w:hAnsi="Arial"/>
          <w:sz w:val="15"/>
          <w:szCs w:val="15"/>
          <w:color w:val="auto"/>
        </w:rPr>
        <w:t>Although we believe the U.S.-based regulatory pathway potentially offers a clear and predictable route to securing an exploration license and a commercial recovery permit for polymetallic nodules found in the CCZ, we are in the initial planning stages of this strategy and there are no assurances that we will be able to secure any exploration license and a commercial recovery permit under the DSHMRA in a timely manner, or at all, or that our ability to secure any such rights will be on economically viable terms. To date, NOAA has not granted any commercialization rights to seafloor nodule production. In addition, although we do not believe there are any provisions under UNCLOS or other ISA regulations that prohibit us from simultaneously seeking rights under this alternative regulatory pathway, the announcement of this strategy may cause additional regulatory and political instability, prolong the ISA’s review and approval of the final Mining Code and negatively impact our interactions with the ISA and ability to secure an exploitation contract from the ISA.</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Changes to any of the laws, rules, regulations or policies to which we are subject could have a significant impact on our business.</w:t>
      </w:r>
    </w:p>
    <w:p>
      <w:pPr>
        <w:spacing w:after="0" w:line="19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46"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38" w:lineRule="exact"/>
        <w:rPr>
          <w:sz w:val="20"/>
          <w:szCs w:val="20"/>
          <w:color w:val="auto"/>
        </w:rPr>
      </w:pPr>
    </w:p>
    <w:p>
      <w:pPr>
        <w:jc w:val="both"/>
        <w:ind w:left="80" w:right="80"/>
        <w:spacing w:after="0" w:line="276" w:lineRule="auto"/>
        <w:rPr>
          <w:sz w:val="20"/>
          <w:szCs w:val="20"/>
          <w:color w:val="auto"/>
        </w:rPr>
      </w:pPr>
      <w:r>
        <w:rPr>
          <w:rFonts w:ascii="Arial" w:cs="Arial" w:eastAsia="Arial" w:hAnsi="Arial"/>
          <w:sz w:val="15"/>
          <w:szCs w:val="15"/>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36"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All phases of exploring for and collecting and processing polymetallic nodules are subject to environmental regulation in various jurisdictions and under national as well as international laws and conventions. No seafloor polymetallic nodule deposit has been developed commercially to date,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5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campaigns to baseline wildlife and ecosystem function, pilot the nodule collection system and monitor impacts arising from the use of this system have been completed. Data processing and analysis is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as is the case in terrestrial environments. Accordingly, impacts on CCZ biodiversity may never be, completely and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spacing w:after="0" w:line="299" w:lineRule="auto"/>
        <w:rPr>
          <w:sz w:val="20"/>
          <w:szCs w:val="20"/>
          <w:color w:val="auto"/>
        </w:rPr>
      </w:pPr>
      <w:r>
        <w:rPr>
          <w:rFonts w:ascii="Arial" w:cs="Arial" w:eastAsia="Arial" w:hAnsi="Arial"/>
          <w:sz w:val="15"/>
          <w:szCs w:val="15"/>
          <w:color w:val="auto"/>
        </w:rPr>
        <w:t>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19" w:lineRule="exact"/>
        <w:rPr>
          <w:sz w:val="20"/>
          <w:szCs w:val="20"/>
          <w:color w:val="auto"/>
        </w:rPr>
      </w:pPr>
    </w:p>
    <w:p>
      <w:pPr>
        <w:jc w:val="both"/>
        <w:ind w:left="80" w:right="80" w:firstLine="275"/>
        <w:spacing w:after="0" w:line="262" w:lineRule="auto"/>
        <w:rPr>
          <w:sz w:val="20"/>
          <w:szCs w:val="20"/>
          <w:color w:val="auto"/>
        </w:rPr>
      </w:pPr>
      <w:r>
        <w:rPr>
          <w:rFonts w:ascii="Arial" w:cs="Arial" w:eastAsia="Arial" w:hAnsi="Arial"/>
          <w:sz w:val="15"/>
          <w:szCs w:val="15"/>
          <w:color w:val="auto"/>
        </w:rPr>
        <w:t>It is also currently not definitively known whether the risk of biodiversity loss in the CCZ could be eliminated through setting aside large representative areas of CCZ under protection (13 areas currently set aside by the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any potential nodule-dependent species in impacted areas will depend on factors like habitat connectivity, which is an area that is still under study.</w:t>
      </w:r>
    </w:p>
    <w:p>
      <w:pPr>
        <w:spacing w:after="0" w:line="146" w:lineRule="exact"/>
        <w:rPr>
          <w:sz w:val="20"/>
          <w:szCs w:val="20"/>
          <w:color w:val="auto"/>
        </w:rPr>
      </w:pPr>
    </w:p>
    <w:p>
      <w:pPr>
        <w:jc w:val="both"/>
        <w:ind w:left="80" w:right="80" w:firstLine="275"/>
        <w:spacing w:after="0" w:line="305" w:lineRule="auto"/>
        <w:rPr>
          <w:sz w:val="20"/>
          <w:szCs w:val="20"/>
          <w:color w:val="auto"/>
        </w:rPr>
      </w:pPr>
      <w:r>
        <w:rPr>
          <w:rFonts w:ascii="Arial" w:cs="Arial" w:eastAsia="Arial" w:hAnsi="Arial"/>
          <w:sz w:val="14"/>
          <w:szCs w:val="14"/>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18"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NORI and TOML contract areas.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26"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our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135" w:lineRule="exact"/>
        <w:rPr>
          <w:sz w:val="20"/>
          <w:szCs w:val="20"/>
          <w:color w:val="auto"/>
        </w:rPr>
      </w:pPr>
    </w:p>
    <w:p>
      <w:pPr>
        <w:jc w:val="both"/>
        <w:ind w:left="80" w:right="80" w:firstLine="274"/>
        <w:spacing w:after="0" w:line="278" w:lineRule="auto"/>
        <w:rPr>
          <w:sz w:val="20"/>
          <w:szCs w:val="20"/>
          <w:color w:val="auto"/>
        </w:rPr>
      </w:pPr>
      <w:r>
        <w:rPr>
          <w:rFonts w:ascii="Arial" w:cs="Arial" w:eastAsia="Arial" w:hAnsi="Arial"/>
          <w:sz w:val="14"/>
          <w:szCs w:val="14"/>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the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may become subject to environmental liabilities as a result of noncompliance with existing or future regulations.</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41" w:lineRule="exact"/>
        <w:rPr>
          <w:sz w:val="20"/>
          <w:szCs w:val="20"/>
          <w:color w:val="auto"/>
        </w:rPr>
      </w:pPr>
    </w:p>
    <w:p>
      <w:pPr>
        <w:jc w:val="both"/>
        <w:ind w:left="80" w:right="80" w:firstLine="274"/>
        <w:spacing w:after="0" w:line="323" w:lineRule="auto"/>
        <w:rPr>
          <w:sz w:val="20"/>
          <w:szCs w:val="20"/>
          <w:color w:val="auto"/>
        </w:rPr>
      </w:pPr>
      <w:r>
        <w:rPr>
          <w:rFonts w:ascii="Arial" w:cs="Arial" w:eastAsia="Arial" w:hAnsi="Arial"/>
          <w:sz w:val="13"/>
          <w:szCs w:val="13"/>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08"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5"/>
          <w:szCs w:val="15"/>
          <w:b w:val="1"/>
          <w:bCs w:val="1"/>
          <w:color w:val="auto"/>
        </w:rPr>
        <w:t>II.</w:t>
      </w:r>
      <w:r>
        <w:rPr>
          <w:sz w:val="20"/>
          <w:szCs w:val="20"/>
          <w:color w:val="auto"/>
        </w:rPr>
        <w:tab/>
      </w:r>
      <w:r>
        <w:rPr>
          <w:rFonts w:ascii="Arial" w:cs="Arial" w:eastAsia="Arial" w:hAnsi="Arial"/>
          <w:sz w:val="13"/>
          <w:szCs w:val="13"/>
          <w:b w:val="1"/>
          <w:bCs w:val="1"/>
          <w:color w:val="auto"/>
        </w:rPr>
        <w:t>Resource and Market Risks.</w:t>
      </w:r>
    </w:p>
    <w:p>
      <w:pPr>
        <w:spacing w:after="0" w:line="197"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21"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4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47" w:lineRule="exact"/>
        <w:rPr>
          <w:sz w:val="20"/>
          <w:szCs w:val="20"/>
          <w:color w:val="auto"/>
        </w:rPr>
      </w:pPr>
    </w:p>
    <w:p>
      <w:pPr>
        <w:jc w:val="both"/>
        <w:ind w:left="80" w:right="100"/>
        <w:spacing w:after="0" w:line="297" w:lineRule="auto"/>
        <w:rPr>
          <w:sz w:val="20"/>
          <w:szCs w:val="20"/>
          <w:color w:val="auto"/>
        </w:rPr>
      </w:pPr>
      <w:r>
        <w:rPr>
          <w:rFonts w:ascii="Arial" w:cs="Arial" w:eastAsia="Arial" w:hAnsi="Arial"/>
          <w:sz w:val="15"/>
          <w:szCs w:val="15"/>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21"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Seafloor polymetallic nodules have never been commercially mined, and there is a risk that our offshore collection and recovery methods and the equipment that we intend to utilize during this process, including transferring nodules to transport vessels and delivering of nodules to port,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transportation and development techniques for the prevailing material and seafloor conditions would have a material adverse effect on the business of our subsidiaries, and the results of their operations and financial condition. As a result, even if the ISA timely reviews and approves our expected application for an exploitation contract, which will include a plan of work for exploitation, for NORI Area D, there are no assurances that we will have successfully completed all development and pre-production work necessary to start commercial production.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spacing w:after="0" w:line="141"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On March 16, 2022, NORI and Allseas entered into a non-binding term sheet for the development and operation of the Project Zero Offshore Nodule Collection System. NORI and Allseas intend to equally finance all costs related to developing and getting Project Zero Offshore Nodule Collection System into production currently. The parties intend to detail and revise these cost estimates in three definitive agreements for the engineering, build and operations phases which the parties expect to enter into before the submission of our exploitation application on June 27, 2025. There can be no assurances, however, that we will enter into the binding Heads of Terms and definitive agreements with Allseas in a particular time period, or at all, or on terms similar to those set forth in the non-binding term sheet, or that if such definitive agreements are entered into by us that the proposed commercial systems and second production vessel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100"/>
        <w:spacing w:after="0" w:line="299" w:lineRule="auto"/>
        <w:rPr>
          <w:sz w:val="20"/>
          <w:szCs w:val="20"/>
          <w:color w:val="auto"/>
        </w:rPr>
      </w:pPr>
      <w:r>
        <w:rPr>
          <w:rFonts w:ascii="Arial" w:cs="Arial" w:eastAsia="Arial" w:hAnsi="Arial"/>
          <w:sz w:val="15"/>
          <w:szCs w:val="15"/>
          <w:color w:val="auto"/>
        </w:rPr>
        <w:t>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120"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21"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or become outdated over time or as our plans change,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Mineral resource estimates from the contract areas of NORI and TOML are only estimates</w:t>
      </w:r>
      <w:r>
        <w:rPr>
          <w:rFonts w:ascii="Arial" w:cs="Arial" w:eastAsia="Arial" w:hAnsi="Arial"/>
          <w:sz w:val="15"/>
          <w:szCs w:val="15"/>
          <w:color w:val="auto"/>
        </w:rPr>
        <w:t>.</w:t>
      </w:r>
    </w:p>
    <w:p>
      <w:pPr>
        <w:spacing w:after="0" w:line="193"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on a commercial scale,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35"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37"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32"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41"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Our business is subject to significant risks, and we may never develop minerals in sufficient grade or quantities to justify commercial operations.</w:t>
      </w:r>
    </w:p>
    <w:p>
      <w:pPr>
        <w:spacing w:after="0" w:line="192"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46"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48"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While we believe that seafloor polymetallic nodules in the contract areas of our subsidiaries account for some of the world’s largest aggregated estimated deposits of the four critical metals contained in nodules,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35" w:lineRule="exact"/>
        <w:rPr>
          <w:sz w:val="20"/>
          <w:szCs w:val="20"/>
          <w:color w:val="auto"/>
        </w:rPr>
      </w:pPr>
    </w:p>
    <w:p>
      <w:pPr>
        <w:jc w:val="both"/>
        <w:ind w:left="80" w:right="80" w:firstLine="274"/>
        <w:spacing w:after="0" w:line="337" w:lineRule="auto"/>
        <w:rPr>
          <w:sz w:val="20"/>
          <w:szCs w:val="20"/>
          <w:color w:val="auto"/>
        </w:rPr>
      </w:pPr>
      <w:r>
        <w:rPr>
          <w:rFonts w:ascii="Arial" w:cs="Arial" w:eastAsia="Arial" w:hAnsi="Arial"/>
          <w:sz w:val="14"/>
          <w:szCs w:val="14"/>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Uncertainty in our estimates of polymetallic nodule deposits could result in lower-than-expected revenues and higher costs.</w:t>
      </w:r>
    </w:p>
    <w:p>
      <w:pPr>
        <w:spacing w:after="0" w:line="192" w:lineRule="exact"/>
        <w:rPr>
          <w:sz w:val="20"/>
          <w:szCs w:val="20"/>
          <w:color w:val="auto"/>
        </w:rPr>
      </w:pPr>
    </w:p>
    <w:p>
      <w:pPr>
        <w:jc w:val="both"/>
        <w:ind w:left="80" w:right="80" w:firstLine="274"/>
        <w:spacing w:after="0" w:line="288" w:lineRule="auto"/>
        <w:rPr>
          <w:sz w:val="20"/>
          <w:szCs w:val="20"/>
          <w:color w:val="auto"/>
        </w:rPr>
      </w:pPr>
      <w:r>
        <w:rPr>
          <w:rFonts w:ascii="Arial" w:cs="Arial" w:eastAsia="Arial" w:hAnsi="Arial"/>
          <w:sz w:val="14"/>
          <w:szCs w:val="14"/>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32" w:lineRule="exact"/>
        <w:rPr>
          <w:sz w:val="20"/>
          <w:szCs w:val="20"/>
          <w:color w:val="auto"/>
        </w:rPr>
      </w:pPr>
    </w:p>
    <w:p>
      <w:pPr>
        <w:ind w:left="660" w:hanging="283"/>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environmental, geological, geotechnical, collecting and processing conditions that may not be fully identified by available data or that may differ from experience;</w:t>
      </w:r>
    </w:p>
    <w:p>
      <w:pPr>
        <w:spacing w:after="0" w:line="205" w:lineRule="exact"/>
        <w:rPr>
          <w:rFonts w:ascii="Arial" w:cs="Arial" w:eastAsia="Arial" w:hAnsi="Arial"/>
          <w:sz w:val="14"/>
          <w:szCs w:val="14"/>
          <w:color w:val="auto"/>
        </w:rPr>
      </w:pPr>
    </w:p>
    <w:p>
      <w:pPr>
        <w:ind w:left="660" w:right="80" w:hanging="283"/>
        <w:spacing w:after="0" w:line="299"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to the strategic approach to collecting and processing, which will depend in large part on market demand, corporate strategy and other prevailing economic and financial conditions;</w:t>
      </w:r>
    </w:p>
    <w:p>
      <w:pPr>
        <w:spacing w:after="0" w:line="119" w:lineRule="exact"/>
        <w:rPr>
          <w:rFonts w:ascii="Arial" w:cs="Arial" w:eastAsia="Arial" w:hAnsi="Arial"/>
          <w:sz w:val="15"/>
          <w:szCs w:val="15"/>
          <w:color w:val="auto"/>
        </w:rPr>
      </w:pPr>
    </w:p>
    <w:p>
      <w:pPr>
        <w:ind w:left="660" w:right="80" w:hanging="283"/>
        <w:spacing w:after="0" w:line="299"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assumptions concerning future prices of products (including, most notably, critical metals and manganese ore) foreign exchange rates, production rates, process recovery rates, transportation costs, operating costs, capital costs and reclamation costs;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right="80" w:hanging="283"/>
        <w:spacing w:after="0" w:line="299"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19"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operate in a competitive industry, and there are no assurances that our efforts will be successful.</w:t>
      </w:r>
    </w:p>
    <w:p>
      <w:pPr>
        <w:spacing w:after="0" w:line="192"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The critical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two contracts held by our subsidiaries and partners, 15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The prevailing market prices of nickel, manganese, copper, cobalt, and other commodities will have a material impact on our ability to achieve commercial success.</w:t>
      </w:r>
    </w:p>
    <w:p>
      <w:pPr>
        <w:spacing w:after="0" w:line="215"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The profitability of our nodule collection operations is significantly affected by changes in the market price of critical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the four critical metals contained in nodules from mine production, inventories and recycled metal; sales by holders and producers of these critical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41"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We are not currently party to any commodity hedging contracts, as we do not yet have any production. Debt financing may not be available on commercially reasonable terms, or at all.</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may be adversely affected by fluctuations in demand for nickel, manganese, copper, cobalt, and other commodities.</w:t>
      </w:r>
    </w:p>
    <w:p>
      <w:pPr>
        <w:spacing w:after="0" w:line="192"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China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34"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may experience difficulty in creating market acceptance for a novel manganese product.</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We will be producing a novel manganese silicate product which does not yet have recognition in the marketplace with customers. Metallurgical test 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41"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Additionally, manganese silicate is not a conventional mineral product and may require additional approvals for export and import from our processing facilities to our future customers.</w:t>
      </w:r>
    </w:p>
    <w:p>
      <w:pPr>
        <w:spacing w:after="0" w:line="120" w:lineRule="exact"/>
        <w:rPr>
          <w:sz w:val="20"/>
          <w:szCs w:val="20"/>
          <w:color w:val="auto"/>
        </w:rPr>
      </w:pPr>
    </w:p>
    <w:p>
      <w:pPr>
        <w:ind w:left="80" w:right="460"/>
        <w:spacing w:after="0" w:line="297" w:lineRule="auto"/>
        <w:rPr>
          <w:sz w:val="20"/>
          <w:szCs w:val="20"/>
          <w:color w:val="auto"/>
        </w:rPr>
      </w:pPr>
      <w:r>
        <w:rPr>
          <w:rFonts w:ascii="Arial" w:cs="Arial" w:eastAsia="Arial" w:hAnsi="Arial"/>
          <w:sz w:val="15"/>
          <w:szCs w:val="15"/>
          <w:b w:val="1"/>
          <w:bCs w:val="1"/>
          <w:i w:val="1"/>
          <w:iCs w:val="1"/>
          <w:color w:val="auto"/>
        </w:rPr>
        <w:t>Our ability to generate revenue will be diminished if we are unable to compete with substitutions for the minerals that we intend to process or adapt to shifts in end-market demand.</w:t>
      </w:r>
    </w:p>
    <w:p>
      <w:pPr>
        <w:spacing w:after="0" w:line="121" w:lineRule="exact"/>
        <w:rPr>
          <w:sz w:val="20"/>
          <w:szCs w:val="20"/>
          <w:color w:val="auto"/>
        </w:rPr>
      </w:pPr>
    </w:p>
    <w:p>
      <w:pPr>
        <w:jc w:val="both"/>
        <w:ind w:left="80" w:right="80" w:firstLine="276"/>
        <w:spacing w:after="0" w:line="263" w:lineRule="auto"/>
        <w:rPr>
          <w:sz w:val="20"/>
          <w:szCs w:val="20"/>
          <w:color w:val="auto"/>
        </w:rPr>
      </w:pPr>
      <w:r>
        <w:rPr>
          <w:rFonts w:ascii="Arial" w:cs="Arial" w:eastAsia="Arial" w:hAnsi="Arial"/>
          <w:sz w:val="15"/>
          <w:szCs w:val="15"/>
          <w:color w:val="auto"/>
        </w:rPr>
        <w:t>Technology changes rapidly in the industries and end markets that utilize the four metals contained in polymetallic nodules found in the CCZ, nickel, manganese, cobalt and copper. Some of these changes have resulted, and may continue to result, in decreased use of nickel, manganese, cobalt and/or copper in these industries and end markets. For instance, the adoption of lithium iron phosphate, or LFP, battery chemistries has grown substantially from 4% of the batteries used in passenger EVs in 2015 to an estimated 42% in 2023. The continuation of this trend in the use of LFP battery chemistries will decrease the overall demand for nickel- and cobalt-rich battery chemistries in EV use. Additionally, copper is increasingly being substituted with aluminum or other materials in electrical and infrastructure applications, potentially reducing the overall market demand for copper.</w:t>
      </w:r>
    </w:p>
    <w:p>
      <w:pPr>
        <w:spacing w:after="0" w:line="147"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Although we are actively monitoring these technological changes and shifts in end-market demand and taking steps designed to diversify the potential applications and markets for our metals, as these industries shift to new or substitute technologies or products or if these industries and end markets otherwise use less of the metals that we intend to collect and process, and our diversification efforts are not successful, there could be a decline in demand for our metal products. If the demand for our metal products decreases, it will have a material adverse effect on our business and the results of our operations and financial condition.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III. Social License and Public Perceptions Risks.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Negative perceptions related to the offshore collection of polymetallic nodules could have a material adverse effect on our business.</w:t>
      </w:r>
    </w:p>
    <w:p>
      <w:pPr>
        <w:spacing w:after="0" w:line="192" w:lineRule="exact"/>
        <w:rPr>
          <w:sz w:val="20"/>
          <w:szCs w:val="20"/>
          <w:color w:val="auto"/>
        </w:rPr>
      </w:pPr>
    </w:p>
    <w:p>
      <w:pPr>
        <w:jc w:val="both"/>
        <w:ind w:left="80" w:right="80" w:firstLine="275"/>
        <w:spacing w:after="0" w:line="323" w:lineRule="auto"/>
        <w:rPr>
          <w:sz w:val="20"/>
          <w:szCs w:val="20"/>
          <w:color w:val="auto"/>
        </w:rPr>
      </w:pPr>
      <w:r>
        <w:rPr>
          <w:rFonts w:ascii="Arial" w:cs="Arial" w:eastAsia="Arial" w:hAnsi="Arial"/>
          <w:sz w:val="13"/>
          <w:szCs w:val="13"/>
          <w:color w:val="auto"/>
        </w:rPr>
        <w:t>There exist certain negative perceptions related to acquiring metals produced from deep-sea minerals. Under pressure from non-governmental organizations, some governments and companies in the EV supply chain have expressed reservations about using critical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critical metals sourced from polymetallic nodules, it could have a material impact on our business and operations.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Reduced growth in the adoption of electric vehicles by consumers may change our strategy and our business and operating results may be impacted.</w:t>
      </w:r>
    </w:p>
    <w:p>
      <w:pPr>
        <w:spacing w:after="0" w:line="204"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Given that we have focused part of our operating plan on the sale of nodule-derived critical metals into the EV supply chain,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our partners and our shareholders may be adversely impacted by pressure and lobbying from non-governmental organizations.</w:t>
      </w:r>
    </w:p>
    <w:p>
      <w:pPr>
        <w:spacing w:after="0" w:line="192" w:lineRule="exact"/>
        <w:rPr>
          <w:sz w:val="20"/>
          <w:szCs w:val="20"/>
          <w:color w:val="auto"/>
        </w:rPr>
      </w:pPr>
    </w:p>
    <w:p>
      <w:pPr>
        <w:jc w:val="both"/>
        <w:ind w:left="80" w:right="80" w:firstLine="275"/>
        <w:spacing w:after="0" w:line="262" w:lineRule="auto"/>
        <w:rPr>
          <w:sz w:val="20"/>
          <w:szCs w:val="20"/>
          <w:color w:val="auto"/>
        </w:rPr>
      </w:pPr>
      <w:r>
        <w:rPr>
          <w:rFonts w:ascii="Arial" w:cs="Arial" w:eastAsia="Arial" w:hAnsi="Arial"/>
          <w:sz w:val="15"/>
          <w:szCs w:val="15"/>
          <w:color w:val="auto"/>
        </w:rPr>
        <w:t>Like other businesses that operate in the resources industry, we along with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 As seen during the coordinated and disruptive activities by Greenpeace International during Campaign 8A, designed to prevent and obstruct the campaign, such activities can have significant impacts from a timing, financial and safety perspective. There can be no assurances that such activities by Greenpeace and other stakeholder will not materially impact our ongoing operations.</w:t>
      </w:r>
    </w:p>
    <w:p>
      <w:pPr>
        <w:spacing w:after="0" w:line="143"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5"/>
          <w:szCs w:val="15"/>
          <w:b w:val="1"/>
          <w:bCs w:val="1"/>
          <w:color w:val="auto"/>
        </w:rPr>
        <w:t>IV.</w:t>
        <w:tab/>
        <w:t>Offshore and Onshore Technology Risks and Operational Risks.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Offshore collection and onshore processing and refining operations pose inherent risks and costs that may negatively impact our business.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Offshore collection and onshore processing and refining operations involve many hazards and uncertainties, including, among others:</w:t>
      </w:r>
    </w:p>
    <w:p>
      <w:pPr>
        <w:spacing w:after="0" w:line="193" w:lineRule="exact"/>
        <w:rPr>
          <w:sz w:val="20"/>
          <w:szCs w:val="20"/>
          <w:color w:val="auto"/>
        </w:rPr>
      </w:pPr>
    </w:p>
    <w:p>
      <w:pPr>
        <w:ind w:left="660" w:hanging="283"/>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technical and operational challenges in the offshore collection operations and scaling up of such operations;</w:t>
      </w:r>
    </w:p>
    <w:p>
      <w:pPr>
        <w:spacing w:after="0" w:line="193" w:lineRule="exact"/>
        <w:rPr>
          <w:rFonts w:ascii="Arial" w:cs="Arial" w:eastAsia="Arial" w:hAnsi="Arial"/>
          <w:sz w:val="15"/>
          <w:szCs w:val="15"/>
          <w:color w:val="auto"/>
        </w:rPr>
      </w:pPr>
    </w:p>
    <w:p>
      <w:pPr>
        <w:ind w:left="660" w:right="100" w:hanging="282"/>
        <w:spacing w:after="0" w:line="299"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challenges in and delays caused by transferring nodules to transport vessels and delivering nodules to port (including limited availability of and cost to secure the equipment to allow the activity);</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industrial accidents;</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unusual and unexpected maritime conditions;</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unexpected seafloor conditions;</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onshore metallurgical or other processing problems;</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unexpected environmental conditions, including contamination or leakage;</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periodic interruptions due to inclement or hazardous weather conditions or other acts of nature;</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fire;</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piracy and disruptive action by non-governmental actors opposed to deep-sea mineral extraction;</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organized labor disputes or work slowdowns;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283"/>
        <w:spacing w:after="0"/>
        <w:tabs>
          <w:tab w:leader="none" w:pos="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mechanical equipment failure and facility performance problems;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availability of financing, market demand, critical technology and equipment, and skilled labor; and</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inability of suppliers to provide key process inputs like electricity, gas, coal and processing reagents on a timely basis at the prices that have been forecast.</w:t>
      </w:r>
    </w:p>
    <w:p>
      <w:pPr>
        <w:spacing w:after="0" w:line="205"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47"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The polymetallic nodules that we may recover may require specialized transfer and delivery equipment and processes, and there is no certainty that we will be able to develop or otherwise access such transfer and delivery equipment or processes that are suitable for our purposes.</w:t>
      </w:r>
    </w:p>
    <w:p>
      <w:pPr>
        <w:spacing w:after="0" w:line="121"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polymetallic nodules that we may collect may require specialized equipment and processes in connection with the transfer of such nodules to transport vessels and delivery of the nodules to port. To date, we have not transferred significant quantities of nodules to transport vessels nor delivered significant quantities of nodules to port. The anticipated cost to develop this equipment and processes is significant. There is a risk that the equipment and/or processes necessary to transfer commercial quantities of nodules to transport vessels and deliver them to port may be economically prohibitive.</w:t>
      </w:r>
    </w:p>
    <w:p>
      <w:pPr>
        <w:spacing w:after="0" w:line="141"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Although we are currently negotiating with third-party shipping companies to transfer nodules to transport vessels and to deliver nodules to port, our future needs with respect to the required equipment and processes have yet to be fully determined, and as such, the capital costs, performance, reliability, and maintenance of such equipment and processes is currently uncertain and may be more expensive and take longer to develop than we currently estimate. In addition, the required equipment and processes may not be developed or become available at commercial scale in the time frame we require, which could have a material negative impact on our short-term operations and financial results.</w:t>
      </w:r>
    </w:p>
    <w:p>
      <w:pPr>
        <w:spacing w:after="0" w:line="147"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21"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37"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For example, we have been working with Hatch, a global engineering, project management, and professional services firm, to support the development of onshore processing technology for the production of readily saleable copper and manganese products, as well as products such as high-grade nickel and cobalt sulfates for the electric vehicle battery markets. In connection therewith, Hatch has supported us with the development of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developed a test system and demonstrated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 We are also in discussions with third party shipping companies to develop a system and method to transfer nodules to transport vessels and deliver nodules to port.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There can be no assurance that we will be able to continue to maintain and develop our existing relationships, or that we will be able to form the new relationships that are required for our business to be successful. There can be no assurances that we will be able to find additional partners with the correct capabilities to support our development efforts or whether we will be able to engage these partners on acceptable terms or at all.</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Some of the offshore equipment that we will need to accomplish our objectives has not been manufactured and/or tested.</w:t>
      </w:r>
    </w:p>
    <w:p>
      <w:pPr>
        <w:spacing w:after="0" w:line="192"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We have not yet identified a third-party shipping company with the necessary equipment to transfer nodules to transport vessels and deliver nodules to port.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142" w:lineRule="exact"/>
        <w:rPr>
          <w:sz w:val="20"/>
          <w:szCs w:val="20"/>
          <w:color w:val="auto"/>
        </w:rPr>
      </w:pPr>
    </w:p>
    <w:p>
      <w:pPr>
        <w:jc w:val="both"/>
        <w:ind w:left="80" w:right="100"/>
        <w:spacing w:after="0" w:line="297" w:lineRule="auto"/>
        <w:rPr>
          <w:sz w:val="20"/>
          <w:szCs w:val="20"/>
          <w:color w:val="auto"/>
        </w:rPr>
      </w:pPr>
      <w:r>
        <w:rPr>
          <w:rFonts w:ascii="Arial" w:cs="Arial" w:eastAsia="Arial" w:hAnsi="Arial"/>
          <w:sz w:val="15"/>
          <w:szCs w:val="15"/>
          <w:b w:val="1"/>
          <w:bCs w:val="1"/>
          <w:i w:val="1"/>
          <w:iCs w:val="1"/>
          <w:color w:val="auto"/>
        </w:rPr>
        <w:t>Our business is substantially dependent on our strategic relationship with Allseas. If we and Allseas are unable to successfully maintain and expand this relationship, our business may be materially harmed.</w:t>
      </w:r>
    </w:p>
    <w:p>
      <w:pPr>
        <w:spacing w:after="0" w:line="121"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 xml:space="preserve">We have partnered with Allseas, a leading global offshore contractor and significant shareholder in our Company, to undertake the development of many of the offshore systems we expect to utilize in our potential commercialization efforts (including equipment required for the transfer of nodules to transport vessels and delivery to port). We are also in discussions with Allseas to enter into binding agreements with them for the future development and operation of the Project Zero Offshore Nodule Collection System and other services. Allseas also provides us with exclusive access to the earlier of the development of the Project Zero Offshore Nodule Collection System and December 31, 2026 to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the converted drillship expected to be converted into a production vessel by Allseas for our commercial use. In addition, Allseas, and related companies, have provided us financial support through equity investments, unsecured credit facilities and short-term and working capital loans.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continue to provide us financial support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provides to us and is expected to continue doing so.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spacing w:after="0" w:line="139" w:lineRule="exact"/>
        <w:rPr>
          <w:sz w:val="20"/>
          <w:szCs w:val="20"/>
          <w:color w:val="auto"/>
        </w:rPr>
      </w:pPr>
    </w:p>
    <w:p>
      <w:pPr>
        <w:jc w:val="both"/>
        <w:ind w:left="80" w:right="80"/>
        <w:spacing w:after="0" w:line="380" w:lineRule="auto"/>
        <w:rPr>
          <w:sz w:val="20"/>
          <w:szCs w:val="20"/>
          <w:color w:val="auto"/>
        </w:rPr>
      </w:pPr>
      <w:r>
        <w:rPr>
          <w:rFonts w:ascii="Arial" w:cs="Arial" w:eastAsia="Arial" w:hAnsi="Arial"/>
          <w:sz w:val="13"/>
          <w:szCs w:val="13"/>
          <w:b w:val="1"/>
          <w:bCs w:val="1"/>
          <w:i w:val="1"/>
          <w:iCs w:val="1"/>
          <w:color w:val="auto"/>
        </w:rPr>
        <w:t>The polymetallic nodules that we may recover may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74"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there are presently unknown technical aspects that render the selected flowsheet unsuitable for processing to the products as described.</w:t>
      </w:r>
    </w:p>
    <w:p>
      <w:pPr>
        <w:spacing w:after="0" w:line="118"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While the metallurgical recovery estimates have been derived from commercial operation benchmarking, benchscale and pilot scale testwork, the commercial metal recoveries to products could vary significantly from these estimates.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are currently uncertain.</w:t>
      </w:r>
    </w:p>
    <w:p>
      <w:pPr>
        <w:spacing w:after="0" w:line="137"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We have identified potential tolling facilities to process nodules into two products, manganese silicate and nickel-copper-cobalt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spacing w:after="0" w:line="126" w:lineRule="exact"/>
        <w:rPr>
          <w:sz w:val="20"/>
          <w:szCs w:val="20"/>
          <w:color w:val="auto"/>
        </w:rPr>
      </w:pPr>
    </w:p>
    <w:p>
      <w:pPr>
        <w:jc w:val="both"/>
        <w:ind w:left="80" w:right="80" w:firstLine="274"/>
        <w:spacing w:after="0" w:line="262" w:lineRule="auto"/>
        <w:rPr>
          <w:sz w:val="20"/>
          <w:szCs w:val="20"/>
          <w:color w:val="auto"/>
        </w:rPr>
      </w:pPr>
      <w:r>
        <w:rPr>
          <w:rFonts w:ascii="Arial" w:cs="Arial" w:eastAsia="Arial" w:hAnsi="Arial"/>
          <w:sz w:val="15"/>
          <w:szCs w:val="15"/>
          <w:color w:val="auto"/>
        </w:rPr>
        <w:t>While we believe that we have identified specific sites for the potential construction of nodule processing plants (based on factors such as proximity to deep-water ports, cost of access to renewable electric power and natural gas, and proximity to customers), there is a risk that we will be unable to secure one or more of these sites on suitable terms. In the event that we are unable to secure one or more of the sites we have identified, or if modification scope identification, development and associated construction delays of this scope implementation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46"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Our exploration and polymetallic nodule collecting activities may be affected by natural hazards, which could have a material adverse effect on our business.</w:t>
      </w:r>
    </w:p>
    <w:p>
      <w:pPr>
        <w:spacing w:after="0" w:line="204"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including, without limitation, the transfer of nodules to transport vessels and delivery to port, may be subject to interruptions resulting from weather and related marine conditions that adversely affect our collection operations or the ports of delivery, and any such delays could have a material adverse effect on our business.</w:t>
      </w:r>
    </w:p>
    <w:p>
      <w:pPr>
        <w:spacing w:after="0" w:line="133" w:lineRule="exact"/>
        <w:rPr>
          <w:sz w:val="20"/>
          <w:szCs w:val="20"/>
          <w:color w:val="auto"/>
        </w:rPr>
      </w:pPr>
    </w:p>
    <w:p>
      <w:pPr>
        <w:jc w:val="both"/>
        <w:ind w:left="80" w:right="80"/>
        <w:spacing w:after="0" w:line="335" w:lineRule="auto"/>
        <w:rPr>
          <w:sz w:val="20"/>
          <w:szCs w:val="20"/>
          <w:color w:val="auto"/>
        </w:rPr>
      </w:pPr>
      <w:r>
        <w:rPr>
          <w:rFonts w:ascii="Arial" w:cs="Arial" w:eastAsia="Arial" w:hAnsi="Arial"/>
          <w:sz w:val="14"/>
          <w:szCs w:val="14"/>
          <w:b w:val="1"/>
          <w:bCs w:val="1"/>
          <w:i w:val="1"/>
          <w:iCs w:val="1"/>
          <w:color w:val="auto"/>
        </w:rPr>
        <w:t>Fluctuations in transportation costs or disruptions in transportation, processes or services, or damage or loss during transport could decrease our profitability or impair our ability to supply polymetallic nodules, processed minerals or products to our customers, which could adversely affect our results of operations.</w:t>
      </w:r>
    </w:p>
    <w:p>
      <w:pPr>
        <w:spacing w:after="0" w:line="98"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Once our subsidiaries have been able to successfully collect the polymetallic nodules, they will be required to transport them to onshore facilities for processing, including the transfer of nodules to transport vessels and delivery to port.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availability of appropriate equipment or processes for transfer of nodules to transport vessels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21"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this Annual Report or that we otherwise estimate from time to time.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or that we otherwise estimate from time to time and there can be no assurance that any of our development activities will result in profitable operations.</w:t>
      </w:r>
    </w:p>
    <w:p>
      <w:pPr>
        <w:spacing w:after="0" w:line="148"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For example, since 2021, we have continued to define our resource in the NORI area, with the goal to develop project economics to pre-feasibility level and are working towards a pre-feasibility study, which is nearing completion. As part of our ongoing refinement of our business plans and resource definition work, we are now pursuing a low-CAPEX approach to our development and commercialization of operations for our NORI Area D project where we reuse existing production assets opposed to the high-CAPEX approach where the majority of offshore and onshore production assets would be newly built by us as assumed in the 2021 economic analysis included in the NORI Technical Report Summary. As a result of these changes and the general passage of time since the valuation date of January 1, 2021, the 2021 point-in-time economic analysis included in Section 19 of the NORI Technical Report Summary and the estimated capital and operating costs set forth in Section 18 of the NORI Technical Report Summary, including any references thereto throughout the NORI Technical Report Summary, should no longer be relied upon or used by investors for any reason. In addition, as we continue our work towards the completion of a pre-feasibility study, any economic analysis resulting from this work as to the cash flows from or valuation of the potential extraction of nodules form NORI Area D or elsewhere may differ significantly from earlier or current estimates and any resulting analyses that are lower than earlier or current estimates or lower than those expected by investors or other stakeholders could have a material adverse effect on our share and warrant prices and results or operations. The same material adverse effects could occur if we are unable to complete the pre-feasibility study in a timely manner or at all.</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We have limited operating history, and there can be no assurance that we will be able to commercially develop our resource areas or achieve profitability in the future.</w:t>
      </w:r>
    </w:p>
    <w:p>
      <w:pPr>
        <w:spacing w:after="0" w:line="215"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There can be no assurance that we will be able to commercially develop these properties or that it will be able to generate profits in the future.</w:t>
      </w:r>
    </w:p>
    <w:p>
      <w:pPr>
        <w:spacing w:after="0" w:line="141"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 of expenses associated with our exploration, development, and commercialization processes will prove to be accurate.</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Work stoppages or similar difficulties could significantly disrupt our operations, reduce our revenues and materially adversely affect our results of operations.</w:t>
      </w:r>
    </w:p>
    <w:p>
      <w:pPr>
        <w:spacing w:after="0" w:line="204"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A shortage of skilled technicians and engineers may further increase operating costs, which could materially adversely affect our results of operations.</w:t>
      </w:r>
    </w:p>
    <w:p>
      <w:pPr>
        <w:spacing w:after="0" w:line="204"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27" w:lineRule="exact"/>
        <w:rPr>
          <w:sz w:val="20"/>
          <w:szCs w:val="20"/>
          <w:color w:val="auto"/>
        </w:rPr>
      </w:pPr>
    </w:p>
    <w:p>
      <w:pPr>
        <w:jc w:val="both"/>
        <w:ind w:left="80" w:right="100"/>
        <w:spacing w:after="0" w:line="297" w:lineRule="auto"/>
        <w:rPr>
          <w:sz w:val="20"/>
          <w:szCs w:val="20"/>
          <w:color w:val="auto"/>
        </w:rPr>
      </w:pPr>
      <w:r>
        <w:rPr>
          <w:rFonts w:ascii="Arial" w:cs="Arial" w:eastAsia="Arial" w:hAnsi="Arial"/>
          <w:sz w:val="15"/>
          <w:szCs w:val="15"/>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21"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Our growth will depend on our ability to execute on our plans and expand our operations and controls while maintaining effective cost controls.</w:t>
      </w:r>
    </w:p>
    <w:p>
      <w:pPr>
        <w:spacing w:after="0" w:line="19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are dependent upon information technology systems, which are subject to cyber threats, disruption, damage and failure.</w:t>
      </w:r>
    </w:p>
    <w:p>
      <w:pPr>
        <w:spacing w:after="0" w:line="192" w:lineRule="exact"/>
        <w:rPr>
          <w:sz w:val="20"/>
          <w:szCs w:val="20"/>
          <w:color w:val="auto"/>
        </w:rPr>
      </w:pPr>
    </w:p>
    <w:p>
      <w:pPr>
        <w:jc w:val="both"/>
        <w:ind w:left="80" w:right="80" w:firstLine="274"/>
        <w:spacing w:after="0" w:line="282" w:lineRule="auto"/>
        <w:rPr>
          <w:sz w:val="20"/>
          <w:szCs w:val="20"/>
          <w:color w:val="auto"/>
        </w:rPr>
      </w:pPr>
      <w:r>
        <w:rPr>
          <w:rFonts w:ascii="Arial" w:cs="Arial" w:eastAsia="Arial" w:hAnsi="Arial"/>
          <w:sz w:val="14"/>
          <w:szCs w:val="14"/>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Our business is subject to a variety of risks, some of which may not be covered by our future or existing insurance policies.</w:t>
      </w:r>
    </w:p>
    <w:p>
      <w:pPr>
        <w:spacing w:after="0" w:line="192" w:lineRule="exact"/>
        <w:rPr>
          <w:sz w:val="20"/>
          <w:szCs w:val="20"/>
          <w:color w:val="auto"/>
        </w:rPr>
      </w:pPr>
    </w:p>
    <w:p>
      <w:pPr>
        <w:jc w:val="both"/>
        <w:ind w:left="80" w:right="80" w:firstLine="275"/>
        <w:spacing w:after="0" w:line="311" w:lineRule="auto"/>
        <w:rPr>
          <w:sz w:val="20"/>
          <w:szCs w:val="20"/>
          <w:color w:val="auto"/>
        </w:rPr>
      </w:pPr>
      <w:r>
        <w:rPr>
          <w:rFonts w:ascii="Arial" w:cs="Arial" w:eastAsia="Arial" w:hAnsi="Arial"/>
          <w:sz w:val="13"/>
          <w:szCs w:val="13"/>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 (vii) 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5"/>
          <w:szCs w:val="15"/>
          <w:b w:val="1"/>
          <w:bCs w:val="1"/>
          <w:color w:val="auto"/>
        </w:rPr>
        <w:t>V.</w:t>
        <w:tab/>
        <w:t>Intellectual Property Risks.</w:t>
      </w:r>
    </w:p>
    <w:p>
      <w:pPr>
        <w:spacing w:after="0" w:line="197" w:lineRule="exact"/>
        <w:rPr>
          <w:sz w:val="20"/>
          <w:szCs w:val="20"/>
          <w:color w:val="auto"/>
        </w:rPr>
      </w:pPr>
    </w:p>
    <w:p>
      <w:pPr>
        <w:jc w:val="both"/>
        <w:ind w:left="80" w:right="100"/>
        <w:spacing w:after="0" w:line="297" w:lineRule="auto"/>
        <w:rPr>
          <w:sz w:val="20"/>
          <w:szCs w:val="20"/>
          <w:color w:val="auto"/>
        </w:rPr>
      </w:pPr>
      <w:r>
        <w:rPr>
          <w:rFonts w:ascii="Arial" w:cs="Arial" w:eastAsia="Arial" w:hAnsi="Arial"/>
          <w:sz w:val="15"/>
          <w:szCs w:val="15"/>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21"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37" w:lineRule="exact"/>
        <w:rPr>
          <w:sz w:val="20"/>
          <w:szCs w:val="20"/>
          <w:color w:val="auto"/>
        </w:rPr>
      </w:pPr>
    </w:p>
    <w:p>
      <w:pPr>
        <w:jc w:val="both"/>
        <w:ind w:left="80" w:right="80" w:firstLine="275"/>
        <w:spacing w:after="0" w:line="311" w:lineRule="auto"/>
        <w:rPr>
          <w:sz w:val="20"/>
          <w:szCs w:val="20"/>
          <w:color w:val="auto"/>
        </w:rPr>
      </w:pPr>
      <w:r>
        <w:rPr>
          <w:rFonts w:ascii="Arial" w:cs="Arial" w:eastAsia="Arial" w:hAnsi="Arial"/>
          <w:sz w:val="13"/>
          <w:szCs w:val="13"/>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20"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21"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35"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21"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3"/>
          <w:szCs w:val="13"/>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02" w:lineRule="exact"/>
        <w:rPr>
          <w:sz w:val="20"/>
          <w:szCs w:val="20"/>
          <w:color w:val="auto"/>
        </w:rPr>
      </w:pPr>
    </w:p>
    <w:p>
      <w:pPr>
        <w:ind w:left="660" w:right="80" w:hanging="283"/>
        <w:spacing w:after="0" w:line="299"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be prohibited from, or delayed in, selling or licensing some of our products or using some of our processes unless the patent holder licenses the patent to us, which it is not required to do;</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be required to pay substantial royalties or grant a cross license to our patents to another patent holder; or</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be required to redesign a product or process so it does not infringe a third-party’s patent, which may not be possible or could require substantial funds and time.</w:t>
      </w:r>
    </w:p>
    <w:p>
      <w:pPr>
        <w:spacing w:after="0" w:line="205"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In addition, we could be subject to claims that our employees, or we, have inadvertently or otherwise used or disclosed trade secrets or other proprietary information of third parties.</w:t>
      </w:r>
    </w:p>
    <w:p>
      <w:pPr>
        <w:spacing w:after="0" w:line="119"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19" w:lineRule="exact"/>
        <w:rPr>
          <w:sz w:val="20"/>
          <w:szCs w:val="20"/>
          <w:color w:val="auto"/>
        </w:rPr>
      </w:pPr>
    </w:p>
    <w:p>
      <w:pPr>
        <w:jc w:val="both"/>
        <w:ind w:left="80" w:right="100" w:firstLine="274"/>
        <w:spacing w:after="0" w:line="337" w:lineRule="auto"/>
        <w:rPr>
          <w:sz w:val="20"/>
          <w:szCs w:val="20"/>
          <w:color w:val="auto"/>
        </w:rPr>
      </w:pPr>
      <w:r>
        <w:rPr>
          <w:rFonts w:ascii="Arial" w:cs="Arial" w:eastAsia="Arial" w:hAnsi="Arial"/>
          <w:sz w:val="14"/>
          <w:szCs w:val="14"/>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94"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5"/>
          <w:szCs w:val="15"/>
          <w:b w:val="1"/>
          <w:bCs w:val="1"/>
          <w:color w:val="auto"/>
        </w:rPr>
        <w:t>VI.</w:t>
      </w:r>
      <w:r>
        <w:rPr>
          <w:sz w:val="20"/>
          <w:szCs w:val="20"/>
          <w:color w:val="auto"/>
        </w:rPr>
        <w:tab/>
      </w:r>
      <w:r>
        <w:rPr>
          <w:rFonts w:ascii="Arial" w:cs="Arial" w:eastAsia="Arial" w:hAnsi="Arial"/>
          <w:sz w:val="13"/>
          <w:szCs w:val="13"/>
          <w:b w:val="1"/>
          <w:bCs w:val="1"/>
          <w:color w:val="auto"/>
        </w:rPr>
        <w:t>Public Company Risks and Risks Related to our Securities</w:t>
      </w:r>
    </w:p>
    <w:p>
      <w:pPr>
        <w:spacing w:after="0" w:line="197" w:lineRule="exact"/>
        <w:rPr>
          <w:sz w:val="20"/>
          <w:szCs w:val="20"/>
          <w:color w:val="auto"/>
        </w:rPr>
      </w:pPr>
    </w:p>
    <w:p>
      <w:pPr>
        <w:jc w:val="both"/>
        <w:ind w:left="80" w:right="100"/>
        <w:spacing w:after="0" w:line="335" w:lineRule="auto"/>
        <w:rPr>
          <w:sz w:val="20"/>
          <w:szCs w:val="20"/>
          <w:color w:val="auto"/>
        </w:rPr>
      </w:pPr>
      <w:r>
        <w:rPr>
          <w:rFonts w:ascii="Arial" w:cs="Arial" w:eastAsia="Arial" w:hAnsi="Arial"/>
          <w:sz w:val="14"/>
          <w:szCs w:val="14"/>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98" w:lineRule="exact"/>
        <w:rPr>
          <w:sz w:val="20"/>
          <w:szCs w:val="20"/>
          <w:color w:val="auto"/>
        </w:rPr>
      </w:pPr>
    </w:p>
    <w:p>
      <w:pPr>
        <w:jc w:val="both"/>
        <w:ind w:left="80" w:right="80" w:firstLine="275"/>
        <w:spacing w:after="0" w:line="301" w:lineRule="auto"/>
        <w:rPr>
          <w:sz w:val="20"/>
          <w:szCs w:val="20"/>
          <w:color w:val="auto"/>
        </w:rPr>
      </w:pPr>
      <w:r>
        <w:rPr>
          <w:rFonts w:ascii="Arial" w:cs="Arial" w:eastAsia="Arial" w:hAnsi="Arial"/>
          <w:sz w:val="13"/>
          <w:szCs w:val="13"/>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 plan of work for exploitation for NORI Area D, by negotiating the settlement of program expenditures with our equity whenever possible in order to preserve our cash, and by utilizing existing assets for offshore and onshore production. The continuing exploration and development of the NORI and TOML contract areas, however, will depend upon our ability to obtain dilutive and/or non-dilutive financing through stake sales in our assets, offtakes with prepayments, debt financing, equity financing, joint ventures, project-based or asset-based financing or other means. The actual amount of capital needed or that we raise for our projects, however,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we are granted an exploitation contract and begin commercial production.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24"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Furthermore, the impact of geopolitical tension, such as a deterioration in the bilateral relationship between the U.S. and China or an escalation in conflict between Russia and Ukraine, or the ongoing conflict in Israel and Gaza, including any resulting sanctions, export controls or other restrictive actions, could also lead to disruption, instability and volatility in the global markets, which may have an impact on our ability to obtain additional funding.</w:t>
      </w:r>
    </w:p>
    <w:p>
      <w:pPr>
        <w:spacing w:after="0" w:line="138" w:lineRule="exact"/>
        <w:rPr>
          <w:sz w:val="20"/>
          <w:szCs w:val="20"/>
          <w:color w:val="auto"/>
        </w:rPr>
      </w:pPr>
    </w:p>
    <w:p>
      <w:pPr>
        <w:jc w:val="both"/>
        <w:ind w:left="80" w:right="100"/>
        <w:spacing w:after="0" w:line="335" w:lineRule="auto"/>
        <w:rPr>
          <w:sz w:val="20"/>
          <w:szCs w:val="20"/>
          <w:color w:val="auto"/>
        </w:rPr>
      </w:pPr>
      <w:r>
        <w:rPr>
          <w:rFonts w:ascii="Arial" w:cs="Arial" w:eastAsia="Arial" w:hAnsi="Arial"/>
          <w:sz w:val="14"/>
          <w:szCs w:val="14"/>
          <w:b w:val="1"/>
          <w:bCs w:val="1"/>
          <w:i w:val="1"/>
          <w:iCs w:val="1"/>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98"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As at December 31, 2024, we had 340,708,460 Common Shares, 14,300,575 Short-Term Incentive Plan (“STIP”) options, 9,644,875 Long-Term Incentive Plan (“LTIP”) options in each case issued under the 2018 Stock Option Plan (“2018 Plan”), 3,940,000 options issued under the 2021 Incentive Equity Plan and 38,180,770 warrants to acquire Common Shares issued and outstanding, which does not include the 5,000,000 Common Shares and 2,500,000 Class B warrants issued after December 31, 2024 as part of the financing we announced in November 2024.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70,262,856 Common Shares are reserved for issuance under the 2021 Incentive Equity Plan, including 13,628,338 shares added to the plan in January 2025 pursuant to the plan’s evergreen provision, of which 51,090,231 are available for future issuance, and 14,395,117 Common Shares are reserved for issuance under our 2021 Employee Stock Purchase Plan (the “ESPP”), including 3,407,085 shares added to the plan in January 2025, pursuant to the plan’s evergreen provision, of which 14,055,707 are available for future purchase,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upon exercise of warrants, upon conversion of the Special Shares or under the 2018 Plan, 2021 Incentive Equity Plan, the ESPP or other equity incentive plans that we may adopt in the future, would dilute the percentage ownership held by you.</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issuance of additional Common Shares or other equity securities of equal or senior rank would have the following effects:</w:t>
      </w:r>
    </w:p>
    <w:p>
      <w:pPr>
        <w:spacing w:after="0" w:line="194" w:lineRule="exact"/>
        <w:rPr>
          <w:sz w:val="20"/>
          <w:szCs w:val="20"/>
          <w:color w:val="auto"/>
        </w:rPr>
      </w:pPr>
    </w:p>
    <w:p>
      <w:pPr>
        <w:ind w:left="660" w:hanging="283"/>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existing shareholders’ proportionate ownership interest in us will decrease;</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amount of cash available per share, including for payment of dividends in the future, may decrease;</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relative voting strength of each previously outstanding common share may be diminished; and</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market price of our Common Shares may decline.</w:t>
      </w:r>
    </w:p>
    <w:p>
      <w:pPr>
        <w:spacing w:after="0" w:line="194"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In addition, sales of substantial amounts of our common shares in the public market, or the perception that such sales will occur, could adversely affect the market price of our Common Shares.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If our outstanding warrants are exercised, the number of shares eligible for future resale in the public market will increase and result in dilution to our shareholders.</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You will likely experience further dilution if we issue common shares in future financing transactions.</w:t>
      </w:r>
    </w:p>
    <w:p>
      <w:pPr>
        <w:spacing w:after="0" w:line="192" w:lineRule="exact"/>
        <w:rPr>
          <w:sz w:val="20"/>
          <w:szCs w:val="20"/>
          <w:color w:val="auto"/>
        </w:rPr>
      </w:pPr>
    </w:p>
    <w:p>
      <w:pPr>
        <w:jc w:val="both"/>
        <w:ind w:left="80" w:right="80" w:firstLine="275"/>
        <w:spacing w:after="0" w:line="280" w:lineRule="auto"/>
        <w:rPr>
          <w:sz w:val="20"/>
          <w:szCs w:val="20"/>
          <w:color w:val="auto"/>
        </w:rPr>
      </w:pPr>
      <w:r>
        <w:rPr>
          <w:rFonts w:ascii="Arial" w:cs="Arial" w:eastAsia="Arial" w:hAnsi="Arial"/>
          <w:sz w:val="14"/>
          <w:szCs w:val="14"/>
          <w:color w:val="auto"/>
        </w:rPr>
        <w:t>We have 15,000,000 outstanding Public Warrants to purchase 15,000,000 Common Shares and 9,500,000 Private Warrants outstanding exercisable for 9,500,000 shares of our Common Shares at an exercise price of $11.50 per share, which warrants became exercisable beginning on October 9, 2021. In addition, there are 6,230,770 Class A Warrants outstanding to purchase 6,230,770 Common Shares, issued as part of the August 2023 registered direct offering, and 7,450,000 Class B Warrants outstanding to purchase 7,450,000 Common Shares, issued as part of the November 2024 registered direct offering. Both Class A Warrants and Class B Warrants have an exercise price of $2.00 per share. In certain circumstances, the Public Warrants, Private Warrants, Class A Warrants and Class B Warrants may be exercised on a cashless basis and the proceeds from the exercise of such warrants will decrease.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4"/>
          <w:szCs w:val="14"/>
          <w:color w:val="auto"/>
        </w:rPr>
        <w:t>exchangeable or exercisable for common stock, our shareholders will experience additional dilution, and new investors could have rights superior to existing stockholders.</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There can be no assurance that the Public Warrants, Private Warrants, Class A Warrants and Class B Warrants will be in the money, and they may expire worthless.</w:t>
      </w:r>
    </w:p>
    <w:p>
      <w:pPr>
        <w:spacing w:after="0" w:line="215"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through March 20, 2025, the price of our Common Shares has ranged from a high of $10.38 to a low of $0.55 and as of March 21, 2025, the closing price of our Common Shares was $1.82. Based on the current trading price of our common shares we do not expect to receive any proceeds from exercise of the Public Warrants and Private Warrants unless there is a significant increase in the price of our Common Shares.</w:t>
      </w:r>
    </w:p>
    <w:p>
      <w:pPr>
        <w:spacing w:after="0" w:line="146"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There are currently outstanding an aggregate of 38,180,770 warrants to acquire our Common Shares, which comprise 9,500,000 Private Warrants, 15,000,000 Public Warrants and 6,230,770 Class A Warrants and 7,450,000 Class B Warrants (including 2,500,000 Class B Warrants issued after December 31, 2024). All of our warrants are currently exercisable for one common share in accordance with their terms. Therefore, as of December 31, 2024, if we assume that each outstanding whole warrant is exercised and one common share is issued as a result of such exercise, with payment of the exercise price ranging from $2.00 to $11.50 per share, our fully-diluted share capital would increase by a total of 38,180,770 shares, with approximately $309.1 million paid to us to exercise the warrants assuming the warrants are not cashless exercised.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9">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4pt"/>
            </w:pict>
          </mc:Fallback>
        </mc:AlternateContent>
      </w:r>
    </w:p>
    <w:p>
      <w:pPr>
        <w:sectPr>
          <w:pgSz w:w="13680" w:h="17280" w:orient="portrait"/>
          <w:cols w:equalWidth="0" w:num="1">
            <w:col w:w="10800"/>
          </w:cols>
          <w:pgMar w:left="1440" w:top="1440" w:right="1440"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21" w:lineRule="exact"/>
        <w:rPr>
          <w:sz w:val="20"/>
          <w:szCs w:val="20"/>
          <w:color w:val="auto"/>
        </w:rPr>
      </w:pPr>
    </w:p>
    <w:p>
      <w:pPr>
        <w:jc w:val="both"/>
        <w:ind w:left="80" w:right="80" w:firstLine="276"/>
        <w:spacing w:after="0" w:line="275" w:lineRule="auto"/>
        <w:rPr>
          <w:sz w:val="20"/>
          <w:szCs w:val="20"/>
          <w:color w:val="auto"/>
        </w:rPr>
      </w:pPr>
      <w:r>
        <w:rPr>
          <w:rFonts w:ascii="Arial" w:cs="Arial" w:eastAsia="Arial" w:hAnsi="Arial"/>
          <w:sz w:val="14"/>
          <w:szCs w:val="14"/>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and the appeal was heard by the Court on November 8, 2024. In December 2024, the NY Appellate Division issued a ruling upholding the lower court’s ruling, moving the case into the discovery phase.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49" w:lineRule="exact"/>
        <w:rPr>
          <w:sz w:val="20"/>
          <w:szCs w:val="20"/>
          <w:color w:val="auto"/>
        </w:rPr>
      </w:pPr>
    </w:p>
    <w:p>
      <w:pPr>
        <w:jc w:val="both"/>
        <w:ind w:left="80" w:right="80" w:firstLine="274"/>
        <w:spacing w:after="0" w:line="279" w:lineRule="auto"/>
        <w:rPr>
          <w:sz w:val="20"/>
          <w:szCs w:val="20"/>
          <w:color w:val="auto"/>
        </w:rPr>
      </w:pPr>
      <w:r>
        <w:rPr>
          <w:rFonts w:ascii="Arial" w:cs="Arial" w:eastAsia="Arial" w:hAnsi="Arial"/>
          <w:sz w:val="14"/>
          <w:szCs w:val="14"/>
          <w:color w:val="auto"/>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37"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In addition, although we commenced litigation against two investors who failed to fund their commitment to purchase approximately $220 million in connection with the financing at the close of the Business Combination, we may not recover any amounts from these investors.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100"/>
        <w:spacing w:after="0" w:line="276"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36" w:lineRule="exact"/>
        <w:rPr>
          <w:sz w:val="20"/>
          <w:szCs w:val="20"/>
          <w:color w:val="auto"/>
        </w:rPr>
      </w:pPr>
    </w:p>
    <w:p>
      <w:pPr>
        <w:jc w:val="both"/>
        <w:ind w:left="80" w:right="80" w:firstLine="276"/>
        <w:spacing w:after="0" w:line="279" w:lineRule="auto"/>
        <w:rPr>
          <w:sz w:val="20"/>
          <w:szCs w:val="20"/>
          <w:color w:val="auto"/>
        </w:rPr>
      </w:pPr>
      <w:r>
        <w:rPr>
          <w:rFonts w:ascii="Arial" w:cs="Arial" w:eastAsia="Arial" w:hAnsi="Arial"/>
          <w:sz w:val="14"/>
          <w:szCs w:val="14"/>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41" w:lineRule="exact"/>
        <w:rPr>
          <w:sz w:val="20"/>
          <w:szCs w:val="20"/>
          <w:color w:val="auto"/>
        </w:rPr>
      </w:pPr>
    </w:p>
    <w:p>
      <w:pPr>
        <w:jc w:val="both"/>
        <w:ind w:left="80" w:right="80" w:firstLine="275"/>
        <w:spacing w:after="0" w:line="282"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33"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We may incur debt in the future, and our ability to satisfy our obligations thereunder remains subject to a variety of factors, many of which are not within our control.</w:t>
      </w:r>
    </w:p>
    <w:p>
      <w:pPr>
        <w:spacing w:after="0" w:line="215"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We may seek to incur debt in the future to fund our exploration and operational programs, which would reduce our financial flexibility and could have a material adverse effect on our business, financial condition or results of operation.</w:t>
      </w:r>
    </w:p>
    <w:p>
      <w:pPr>
        <w:spacing w:after="0" w:line="119"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color w:val="auto"/>
        </w:rPr>
        <w:t>Should we incur debt, including through the drawdown of our credit facility with ERAS Capital LLC and Gerard Barron,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right="100"/>
        <w:spacing w:after="0" w:line="299" w:lineRule="auto"/>
        <w:rPr>
          <w:sz w:val="20"/>
          <w:szCs w:val="20"/>
          <w:color w:val="auto"/>
        </w:rPr>
      </w:pPr>
      <w:r>
        <w:rPr>
          <w:rFonts w:ascii="Arial" w:cs="Arial" w:eastAsia="Arial" w:hAnsi="Arial"/>
          <w:sz w:val="15"/>
          <w:szCs w:val="15"/>
          <w:color w:val="auto"/>
        </w:rPr>
        <w:t>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19"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An active trading market for our Common Shares and warrants may not be sustained, which would adversely affect the liquidity and price of our securities.</w:t>
      </w:r>
    </w:p>
    <w:p>
      <w:pPr>
        <w:spacing w:after="0" w:line="204"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There can be no assurance that we will be able to comply with the continued listing standards of Nasdaq.</w:t>
      </w:r>
    </w:p>
    <w:p>
      <w:pPr>
        <w:spacing w:after="0" w:line="192" w:lineRule="exact"/>
        <w:rPr>
          <w:sz w:val="20"/>
          <w:szCs w:val="20"/>
          <w:color w:val="auto"/>
        </w:rPr>
      </w:pPr>
    </w:p>
    <w:p>
      <w:pPr>
        <w:jc w:val="both"/>
        <w:ind w:left="80" w:right="100" w:firstLine="274"/>
        <w:spacing w:after="0" w:line="337" w:lineRule="auto"/>
        <w:rPr>
          <w:sz w:val="20"/>
          <w:szCs w:val="20"/>
          <w:color w:val="auto"/>
        </w:rPr>
      </w:pPr>
      <w:r>
        <w:rPr>
          <w:rFonts w:ascii="Arial" w:cs="Arial" w:eastAsia="Arial" w:hAnsi="Arial"/>
          <w:sz w:val="14"/>
          <w:szCs w:val="14"/>
          <w:color w:val="auto"/>
        </w:rPr>
        <w:t>Our Common Shares and Public Warrants are traded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97" w:lineRule="exact"/>
        <w:rPr>
          <w:sz w:val="20"/>
          <w:szCs w:val="20"/>
          <w:color w:val="auto"/>
        </w:rPr>
      </w:pPr>
    </w:p>
    <w:p>
      <w:pPr>
        <w:ind w:left="660" w:hanging="283"/>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limited availability of market quotations for our securities;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reduced liquidity for our securities;</w:t>
      </w:r>
    </w:p>
    <w:p>
      <w:pPr>
        <w:spacing w:after="0" w:line="193" w:lineRule="exact"/>
        <w:rPr>
          <w:rFonts w:ascii="Arial" w:cs="Arial" w:eastAsia="Arial" w:hAnsi="Arial"/>
          <w:sz w:val="15"/>
          <w:szCs w:val="15"/>
          <w:color w:val="auto"/>
        </w:rPr>
      </w:pPr>
    </w:p>
    <w:p>
      <w:pPr>
        <w:ind w:left="660" w:right="80" w:hanging="283"/>
        <w:spacing w:after="0" w:line="299" w:lineRule="auto"/>
        <w:tabs>
          <w:tab w:leader="none" w:pos="659"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limited amount of news and analyst coverage; and</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decreased ability to issue additional securities or obtain additional financing in the future.</w:t>
      </w:r>
    </w:p>
    <w:p>
      <w:pPr>
        <w:spacing w:after="0" w:line="193" w:lineRule="exact"/>
        <w:rPr>
          <w:sz w:val="20"/>
          <w:szCs w:val="20"/>
          <w:color w:val="auto"/>
        </w:rPr>
      </w:pPr>
    </w:p>
    <w:p>
      <w:pPr>
        <w:jc w:val="both"/>
        <w:ind w:left="80" w:right="80" w:firstLine="276"/>
        <w:spacing w:after="0" w:line="282" w:lineRule="auto"/>
        <w:rPr>
          <w:sz w:val="20"/>
          <w:szCs w:val="20"/>
          <w:color w:val="auto"/>
        </w:rPr>
      </w:pPr>
      <w:r>
        <w:rPr>
          <w:rFonts w:ascii="Arial" w:cs="Arial" w:eastAsia="Arial" w:hAnsi="Arial"/>
          <w:sz w:val="14"/>
          <w:szCs w:val="14"/>
          <w:color w:val="auto"/>
        </w:rPr>
        <w:t>The closing bid price of our Common Shares has been below the Nasdaq’s minimum $1.00 per share for extended periods of time in 2022, 2023 and 2024. As a result, we received written notices from the Nasdaq in 2022, 2023 and 2024 notifying us that the closing bid price of the Common Shares over 30 consecutive trading days had fallen below the minimum $1.00 per share. Although we regained compliance with the Nasdaq’s minimum closing bid price on each occurrence,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33"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If we are unable to implement and maintain effective internal controls over financial reporting, investors may lose confidence in the accuracy and completeness of our financial reports and we may face litigation.</w:t>
      </w:r>
    </w:p>
    <w:p>
      <w:pPr>
        <w:spacing w:after="0" w:line="121"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As a public company, we are required to implement and maintain internal controls over financial reporting and to report any material weaknesses in such internal controls. There is no guarantee we will maintain effective internal controls in the future.</w:t>
      </w:r>
    </w:p>
    <w:p>
      <w:pPr>
        <w:spacing w:after="0" w:line="119" w:lineRule="exact"/>
        <w:rPr>
          <w:sz w:val="20"/>
          <w:szCs w:val="20"/>
          <w:color w:val="auto"/>
        </w:rPr>
      </w:pPr>
    </w:p>
    <w:p>
      <w:pPr>
        <w:jc w:val="both"/>
        <w:ind w:left="80" w:right="80" w:firstLine="275"/>
        <w:spacing w:after="0" w:line="261" w:lineRule="auto"/>
        <w:rPr>
          <w:sz w:val="20"/>
          <w:szCs w:val="20"/>
          <w:color w:val="auto"/>
        </w:rPr>
      </w:pPr>
      <w:r>
        <w:rPr>
          <w:rFonts w:ascii="Arial" w:cs="Arial" w:eastAsia="Arial" w:hAnsi="Arial"/>
          <w:sz w:val="15"/>
          <w:szCs w:val="15"/>
          <w:color w:val="auto"/>
        </w:rPr>
        <w:t>If during the evaluation and testing process, we identify one or more material weaknesses in the design or effectiveness of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valuation of our common stock could be adversely affected.</w:t>
      </w:r>
    </w:p>
    <w:p>
      <w:pPr>
        <w:spacing w:after="0" w:line="151"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For example, as previously disclosed,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Although we have taken steps to remediate this material weakness which we believe worked effectively for a recent significant, non-routine transaction, the new internal control needs to be in operation and tested for sufficient instances to be considered effective and, therefore, these changes can only be deemed effective once they have been in place over a longer time period and applied in additional instances. Although we will continue to review the effectiveness of our newly implemented controls and make improvements as warranted, there is no assurance, however, that these control modifications will ultimately have the intended effects or that the material weakness will be remediated. In addition, as set forth above, a shareholder filed a putative class action lawsuit against us and certain of our executives following our announcement of this material weakness and the associated restatements to our previously issued financial statements for the three months ended March 31, 2023, the six months ended June 30, 2023 and the nine months ended September 30, 2023 contained in its Quarterly Reports on Form 10-Q for the quarter ended March 31, 2023, June 30, 2023 and September 30, 2023, respectively, filed with the SEC. We can provide no assurance that additional litigation or disputes will not arise in the future as a result of this or other material weaknesses or restatements. Any such litigation or dispute, whether successful or not, could have a material adverse effect on our business, results of operations and financial condition.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The market price of our securities may be volatile, which could cause the value of your investment to decline.</w:t>
      </w:r>
    </w:p>
    <w:p>
      <w:pPr>
        <w:spacing w:after="0" w:line="192" w:lineRule="exact"/>
        <w:rPr>
          <w:sz w:val="20"/>
          <w:szCs w:val="20"/>
          <w:color w:val="auto"/>
        </w:rPr>
      </w:pPr>
    </w:p>
    <w:p>
      <w:pPr>
        <w:jc w:val="both"/>
        <w:ind w:left="80" w:right="80" w:firstLine="275"/>
        <w:spacing w:after="0" w:line="300" w:lineRule="auto"/>
        <w:rPr>
          <w:sz w:val="20"/>
          <w:szCs w:val="20"/>
          <w:color w:val="auto"/>
        </w:rPr>
      </w:pPr>
      <w:r>
        <w:rPr>
          <w:rFonts w:ascii="Arial" w:cs="Arial" w:eastAsia="Arial" w:hAnsi="Arial"/>
          <w:sz w:val="13"/>
          <w:szCs w:val="13"/>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regional conflicts, geopolitical events and natural disasters),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29"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may redeem unexpired warrants prior to their exercise at a time that is disadvantageous, thereby making the warrants worthless.</w:t>
      </w:r>
    </w:p>
    <w:p>
      <w:pPr>
        <w:spacing w:after="0" w:line="192"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We have the ability to redeem outstanding Public Warrants and Private Warrants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Our Class A Warrants have a similar call provision if the price of our Common Shares is over $6.50 per share (subject to adjustments) for 30 consecutive trading days at a price per warrant share of $0.0001. Our Class B Warrants have a similar call provision if the price of our Common Shares is over $5.00 per share (subject to adjustments) for 30 consecutive trading days at a price per warrant share of $0.0001.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38"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1"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5"/>
          <w:szCs w:val="15"/>
          <w:color w:val="auto"/>
        </w:rPr>
        <w:t>analyst coverage, if no analysts commence coverage of us, the market price and volume for our Common Shares could be adversely affected.</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As we are not a reporting issuer in Canada, our Common Shares and Special Shares may be subject to restrictions on resale in Canada.</w:t>
      </w:r>
    </w:p>
    <w:p>
      <w:pPr>
        <w:spacing w:after="0" w:line="192" w:lineRule="exact"/>
        <w:rPr>
          <w:sz w:val="20"/>
          <w:szCs w:val="20"/>
          <w:color w:val="auto"/>
        </w:rPr>
      </w:pPr>
    </w:p>
    <w:p>
      <w:pPr>
        <w:jc w:val="both"/>
        <w:ind w:left="80" w:right="80" w:firstLine="275"/>
        <w:spacing w:after="0" w:line="259" w:lineRule="auto"/>
        <w:rPr>
          <w:sz w:val="20"/>
          <w:szCs w:val="20"/>
          <w:color w:val="auto"/>
        </w:rPr>
      </w:pPr>
      <w:r>
        <w:rPr>
          <w:rFonts w:ascii="Arial" w:cs="Arial" w:eastAsia="Arial" w:hAnsi="Arial"/>
          <w:sz w:val="15"/>
          <w:szCs w:val="15"/>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are exposed to risks vis-à-vis our multi-national operations, which could adversely affect our business.</w:t>
      </w:r>
    </w:p>
    <w:p>
      <w:pPr>
        <w:spacing w:after="0" w:line="192"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We may be classified as a PFIC in any taxable year which could result in adverse U.S. federal income tax consequences to U.S. holders.</w:t>
      </w:r>
    </w:p>
    <w:p>
      <w:pPr>
        <w:spacing w:after="0" w:line="192"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2024.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Arial" w:cs="Arial" w:eastAsia="Arial" w:hAnsi="Arial"/>
          <w:sz w:val="14"/>
          <w:szCs w:val="14"/>
          <w:i w:val="1"/>
          <w:iCs w:val="1"/>
          <w:color w:val="auto"/>
        </w:rPr>
        <w:t>U.S. Federal Income Tax Considerations — Tax Consequences of Ownership and</w:t>
      </w:r>
      <w:r>
        <w:rPr>
          <w:rFonts w:ascii="Arial" w:cs="Arial" w:eastAsia="Arial" w:hAnsi="Arial"/>
          <w:sz w:val="14"/>
          <w:szCs w:val="14"/>
          <w:color w:val="auto"/>
        </w:rPr>
        <w:t xml:space="preserve"> </w:t>
      </w:r>
      <w:r>
        <w:rPr>
          <w:rFonts w:ascii="Arial" w:cs="Arial" w:eastAsia="Arial" w:hAnsi="Arial"/>
          <w:sz w:val="14"/>
          <w:szCs w:val="14"/>
          <w:i w:val="1"/>
          <w:iCs w:val="1"/>
          <w:color w:val="auto"/>
        </w:rPr>
        <w:t>Disposition of Public Shares and Public Warrants — Passive Foreign Investment Company Rules</w:t>
      </w:r>
      <w:r>
        <w:rPr>
          <w:rFonts w:ascii="Arial" w:cs="Arial" w:eastAsia="Arial" w:hAnsi="Arial"/>
          <w:sz w:val="14"/>
          <w:szCs w:val="14"/>
          <w:color w:val="auto"/>
        </w:rPr>
        <w:t>” included in our registration statement on Form S-1 filed with the SEC on</w:t>
      </w:r>
      <w:r>
        <w:rPr>
          <w:rFonts w:ascii="Arial" w:cs="Arial" w:eastAsia="Arial" w:hAnsi="Arial"/>
          <w:sz w:val="14"/>
          <w:szCs w:val="14"/>
          <w:i w:val="1"/>
          <w:iCs w:val="1"/>
          <w:color w:val="auto"/>
        </w:rPr>
        <w:t xml:space="preserve"> </w:t>
      </w:r>
      <w:r>
        <w:rPr>
          <w:rFonts w:ascii="Arial" w:cs="Arial" w:eastAsia="Arial" w:hAnsi="Arial"/>
          <w:sz w:val="14"/>
          <w:szCs w:val="14"/>
          <w:color w:val="auto"/>
        </w:rPr>
        <w:t>October 7, 2021 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right="180"/>
        <w:spacing w:after="0" w:line="297" w:lineRule="auto"/>
        <w:rPr>
          <w:sz w:val="20"/>
          <w:szCs w:val="20"/>
          <w:color w:val="auto"/>
        </w:rPr>
      </w:pPr>
      <w:r>
        <w:rPr>
          <w:rFonts w:ascii="Arial" w:cs="Arial" w:eastAsia="Arial" w:hAnsi="Arial"/>
          <w:sz w:val="15"/>
          <w:szCs w:val="15"/>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21"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37"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For instance, our Notice of Articles and Articles contain provisions that establish certain advance notice procedures for nomination of candidates for election as directors at shareholders’ meetings.</w:t>
      </w:r>
    </w:p>
    <w:p>
      <w:pPr>
        <w:spacing w:after="0" w:line="119"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 xml:space="preserve">Limitations on the ability to acquire and hold Common Shares may also be imposed by the </w:t>
      </w:r>
      <w:r>
        <w:rPr>
          <w:rFonts w:ascii="Arial" w:cs="Arial" w:eastAsia="Arial" w:hAnsi="Arial"/>
          <w:sz w:val="14"/>
          <w:szCs w:val="14"/>
          <w:i w:val="1"/>
          <w:iCs w:val="1"/>
          <w:color w:val="auto"/>
        </w:rPr>
        <w:t>Competition Act</w:t>
      </w:r>
      <w:r>
        <w:rPr>
          <w:rFonts w:ascii="Arial" w:cs="Arial" w:eastAsia="Arial" w:hAnsi="Arial"/>
          <w:sz w:val="14"/>
          <w:szCs w:val="14"/>
          <w:color w:val="auto"/>
        </w:rPr>
        <w:t xml:space="preserve"> (Canada). This legislation permits the Commissioner of Competition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4"/>
          <w:szCs w:val="14"/>
          <w:i w:val="1"/>
          <w:iCs w:val="1"/>
          <w:color w:val="auto"/>
        </w:rPr>
        <w:t>Investment Canada Act</w:t>
      </w:r>
      <w:r>
        <w:rPr>
          <w:rFonts w:ascii="Arial" w:cs="Arial" w:eastAsia="Arial" w:hAnsi="Arial"/>
          <w:sz w:val="14"/>
          <w:szCs w:val="14"/>
          <w:color w:val="auto"/>
        </w:rPr>
        <w:t xml:space="preserve"> and obtain approval of the Minister prior to acquiring control of a “Canadian business” within the meaning of the </w:t>
      </w:r>
      <w:r>
        <w:rPr>
          <w:rFonts w:ascii="Arial" w:cs="Arial" w:eastAsia="Arial" w:hAnsi="Arial"/>
          <w:sz w:val="14"/>
          <w:szCs w:val="14"/>
          <w:i w:val="1"/>
          <w:iCs w:val="1"/>
          <w:color w:val="auto"/>
        </w:rPr>
        <w:t>Investment Canada Act</w:t>
      </w:r>
      <w:r>
        <w:rPr>
          <w:rFonts w:ascii="Arial" w:cs="Arial" w:eastAsia="Arial" w:hAnsi="Arial"/>
          <w:sz w:val="14"/>
          <w:szCs w:val="14"/>
          <w:color w:val="auto"/>
        </w:rPr>
        <w:t>, where prescribed financial thresholds are exceeded.</w:t>
      </w:r>
    </w:p>
    <w:p>
      <w:pPr>
        <w:spacing w:after="0" w:line="126"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20" w:lineRule="exact"/>
        <w:rPr>
          <w:sz w:val="20"/>
          <w:szCs w:val="20"/>
          <w:color w:val="auto"/>
        </w:rPr>
      </w:pPr>
    </w:p>
    <w:p>
      <w:pPr>
        <w:jc w:val="both"/>
        <w:ind w:left="80" w:right="80"/>
        <w:spacing w:after="0" w:line="275" w:lineRule="auto"/>
        <w:rPr>
          <w:sz w:val="20"/>
          <w:szCs w:val="20"/>
          <w:color w:val="auto"/>
        </w:rPr>
      </w:pPr>
      <w:r>
        <w:rPr>
          <w:rFonts w:ascii="Arial" w:cs="Arial" w:eastAsia="Arial" w:hAnsi="Arial"/>
          <w:sz w:val="15"/>
          <w:szCs w:val="15"/>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38" w:lineRule="exact"/>
        <w:rPr>
          <w:sz w:val="20"/>
          <w:szCs w:val="20"/>
          <w:color w:val="auto"/>
        </w:rPr>
      </w:pPr>
    </w:p>
    <w:p>
      <w:pPr>
        <w:jc w:val="both"/>
        <w:ind w:left="80" w:right="80" w:firstLine="274"/>
        <w:spacing w:after="0" w:line="272" w:lineRule="auto"/>
        <w:rPr>
          <w:sz w:val="20"/>
          <w:szCs w:val="20"/>
          <w:color w:val="auto"/>
        </w:rPr>
      </w:pPr>
      <w:r>
        <w:rPr>
          <w:rFonts w:ascii="Arial" w:cs="Arial" w:eastAsia="Arial" w:hAnsi="Arial"/>
          <w:sz w:val="14"/>
          <w:szCs w:val="14"/>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w:t>
      </w:r>
    </w:p>
    <w:p>
      <w:pPr>
        <w:spacing w:after="0" w:line="2" w:lineRule="exact"/>
        <w:rPr>
          <w:sz w:val="20"/>
          <w:szCs w:val="20"/>
          <w:color w:val="auto"/>
        </w:rPr>
      </w:pPr>
    </w:p>
    <w:p>
      <w:pPr>
        <w:jc w:val="both"/>
        <w:ind w:left="80" w:right="80"/>
        <w:spacing w:after="0" w:line="265" w:lineRule="auto"/>
        <w:tabs>
          <w:tab w:leader="none" w:pos="347"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46"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45" w:lineRule="exact"/>
        <w:rPr>
          <w:sz w:val="20"/>
          <w:szCs w:val="20"/>
          <w:color w:val="auto"/>
        </w:rPr>
      </w:pPr>
    </w:p>
    <w:p>
      <w:pPr>
        <w:jc w:val="both"/>
        <w:ind w:left="80" w:right="80" w:firstLine="275"/>
        <w:spacing w:after="0" w:line="338" w:lineRule="auto"/>
        <w:rPr>
          <w:sz w:val="20"/>
          <w:szCs w:val="20"/>
          <w:color w:val="auto"/>
        </w:rPr>
      </w:pPr>
      <w:r>
        <w:rPr>
          <w:rFonts w:ascii="Arial" w:cs="Arial" w:eastAsia="Arial" w:hAnsi="Arial"/>
          <w:sz w:val="13"/>
          <w:szCs w:val="13"/>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01"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0"/>
        <w:spacing w:after="0" w:line="299" w:lineRule="auto"/>
        <w:rPr>
          <w:sz w:val="20"/>
          <w:szCs w:val="20"/>
          <w:color w:val="auto"/>
        </w:rPr>
      </w:pPr>
      <w:r>
        <w:rPr>
          <w:rFonts w:ascii="Arial" w:cs="Arial" w:eastAsia="Arial" w:hAnsi="Arial"/>
          <w:sz w:val="15"/>
          <w:szCs w:val="15"/>
          <w:color w:val="auto"/>
        </w:rPr>
        <w:t>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20"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Our Notice and Articles permit us to issue an unlimited number of Common Shares and preferred shares without seeking approval of the holders of our Common Shares.</w:t>
      </w:r>
    </w:p>
    <w:p>
      <w:pPr>
        <w:spacing w:after="0" w:line="121"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37"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Our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pacing w:after="0" w:line="135" w:lineRule="exact"/>
        <w:rPr>
          <w:sz w:val="20"/>
          <w:szCs w:val="20"/>
          <w:color w:val="auto"/>
        </w:rPr>
      </w:pPr>
    </w:p>
    <w:p>
      <w:pPr>
        <w:jc w:val="both"/>
        <w:ind w:left="80" w:right="80"/>
        <w:spacing w:after="0" w:line="297" w:lineRule="auto"/>
        <w:rPr>
          <w:sz w:val="20"/>
          <w:szCs w:val="20"/>
          <w:color w:val="auto"/>
        </w:rPr>
      </w:pPr>
      <w:r>
        <w:rPr>
          <w:rFonts w:ascii="Arial" w:cs="Arial" w:eastAsia="Arial" w:hAnsi="Arial"/>
          <w:sz w:val="15"/>
          <w:szCs w:val="15"/>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21"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3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5"/>
          <w:szCs w:val="15"/>
          <w:b w:val="1"/>
          <w:bCs w:val="1"/>
          <w:color w:val="auto"/>
        </w:rPr>
        <w:t>Item 1B.</w:t>
        <w:tab/>
        <w:t>UNRESOLVED STAFF COMMENTS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5"/>
          <w:szCs w:val="15"/>
          <w:b w:val="1"/>
          <w:bCs w:val="1"/>
          <w:color w:val="auto"/>
        </w:rPr>
        <w:t>Item 1C.</w:t>
        <w:tab/>
        <w:t>CYBERSECURITY</w:t>
      </w:r>
    </w:p>
    <w:p>
      <w:pPr>
        <w:spacing w:after="0" w:line="196" w:lineRule="exact"/>
        <w:rPr>
          <w:sz w:val="20"/>
          <w:szCs w:val="20"/>
          <w:color w:val="auto"/>
        </w:rPr>
      </w:pPr>
    </w:p>
    <w:p>
      <w:pPr>
        <w:jc w:val="both"/>
        <w:ind w:left="80" w:right="100" w:firstLine="275"/>
        <w:spacing w:after="0" w:line="261" w:lineRule="auto"/>
        <w:rPr>
          <w:sz w:val="20"/>
          <w:szCs w:val="20"/>
          <w:color w:val="auto"/>
        </w:rPr>
      </w:pPr>
      <w:r>
        <w:rPr>
          <w:rFonts w:ascii="Arial" w:cs="Arial" w:eastAsia="Arial" w:hAnsi="Arial"/>
          <w:sz w:val="15"/>
          <w:szCs w:val="15"/>
          <w:color w:val="auto"/>
        </w:rPr>
        <w:t>We recognize the critical importance of maintaining the trust and confidence of investors, business partners and employees toward our business and are committed to protecting the confidentiality, integrity and availability of our business operations and systems. Our board of directors is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the International Organization for Standardization (“ISO”).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Cybersecurity Risk Management and Strategy; Effect of Risk</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right="100"/>
        <w:spacing w:after="0" w:line="299" w:lineRule="auto"/>
        <w:rPr>
          <w:sz w:val="20"/>
          <w:szCs w:val="20"/>
          <w:color w:val="auto"/>
        </w:rPr>
      </w:pPr>
      <w:r>
        <w:rPr>
          <w:rFonts w:ascii="Arial" w:cs="Arial" w:eastAsia="Arial" w:hAnsi="Arial"/>
          <w:sz w:val="15"/>
          <w:szCs w:val="15"/>
          <w:color w:val="auto"/>
        </w:rPr>
        <w:t>security monitoring for internal and external threats to ensure the confidentiality and integrity of our information assets. We consider risks from cybersecurity threats alongside other company risks as part of our overall risk assessment process.</w:t>
      </w:r>
    </w:p>
    <w:p>
      <w:pPr>
        <w:spacing w:after="0" w:line="119" w:lineRule="exact"/>
        <w:rPr>
          <w:sz w:val="20"/>
          <w:szCs w:val="20"/>
          <w:color w:val="auto"/>
        </w:rPr>
      </w:pPr>
    </w:p>
    <w:p>
      <w:pPr>
        <w:ind w:left="80" w:right="100" w:firstLine="274"/>
        <w:spacing w:after="0" w:line="299" w:lineRule="auto"/>
        <w:rPr>
          <w:sz w:val="20"/>
          <w:szCs w:val="20"/>
          <w:color w:val="auto"/>
        </w:rPr>
      </w:pPr>
      <w:r>
        <w:rPr>
          <w:rFonts w:ascii="Arial" w:cs="Arial" w:eastAsia="Arial" w:hAnsi="Arial"/>
          <w:sz w:val="15"/>
          <w:szCs w:val="15"/>
          <w:color w:val="auto"/>
        </w:rPr>
        <w:t>To mitigate these risks, we have implemented technology solutions that are designed to recognize anomalous activity and behavior on systems used by our employees, alongside other technical safeguards including:</w:t>
      </w:r>
    </w:p>
    <w:p>
      <w:pPr>
        <w:spacing w:after="0" w:line="119" w:lineRule="exact"/>
        <w:rPr>
          <w:sz w:val="20"/>
          <w:szCs w:val="20"/>
          <w:color w:val="auto"/>
        </w:rPr>
      </w:pPr>
    </w:p>
    <w:p>
      <w:pPr>
        <w:ind w:left="660" w:hanging="283"/>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Web Application Firewalls (WAF)</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Intrusion detection systems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Antivirus</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Endpoint protection and response</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Security Event and Incident Management (SIEM)</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Identity and Access management (IAM)</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Multi-factor authentication</w:t>
      </w:r>
    </w:p>
    <w:p>
      <w:pPr>
        <w:spacing w:after="0" w:line="193" w:lineRule="exact"/>
        <w:rPr>
          <w:sz w:val="20"/>
          <w:szCs w:val="20"/>
          <w:color w:val="auto"/>
        </w:rPr>
      </w:pPr>
    </w:p>
    <w:p>
      <w:pPr>
        <w:jc w:val="both"/>
        <w:ind w:left="80" w:right="80" w:firstLine="274"/>
        <w:spacing w:after="0" w:line="382" w:lineRule="auto"/>
        <w:rPr>
          <w:sz w:val="20"/>
          <w:szCs w:val="20"/>
          <w:color w:val="auto"/>
        </w:rPr>
      </w:pPr>
      <w:r>
        <w:rPr>
          <w:rFonts w:ascii="Arial" w:cs="Arial" w:eastAsia="Arial" w:hAnsi="Arial"/>
          <w:sz w:val="13"/>
          <w:szCs w:val="13"/>
          <w:color w:val="auto"/>
        </w:rPr>
        <w:t>We utilize a third-party consultancy to provide services including security audits, CISO, risk management and response strategies. This consultancy provides the Chief Technology Officer, who is responsible for leading our cyber security strategy, guidance on policy, standards and processes alongside managing the risk management process.</w:t>
      </w:r>
    </w:p>
    <w:p>
      <w:pPr>
        <w:spacing w:after="0" w:line="73" w:lineRule="exact"/>
        <w:rPr>
          <w:sz w:val="20"/>
          <w:szCs w:val="20"/>
          <w:color w:val="auto"/>
        </w:rPr>
      </w:pPr>
    </w:p>
    <w:p>
      <w:pPr>
        <w:ind w:left="80" w:right="80" w:firstLine="274"/>
        <w:spacing w:after="0" w:line="299" w:lineRule="auto"/>
        <w:rPr>
          <w:sz w:val="20"/>
          <w:szCs w:val="20"/>
          <w:color w:val="auto"/>
        </w:rPr>
      </w:pPr>
      <w:r>
        <w:rPr>
          <w:rFonts w:ascii="Arial" w:cs="Arial" w:eastAsia="Arial" w:hAnsi="Arial"/>
          <w:sz w:val="15"/>
          <w:szCs w:val="15"/>
          <w:color w:val="auto"/>
        </w:rPr>
        <w:t>We identify our cybersecurity threat risks by comparing our processes to standards set by the NIST and the ISO specifically basing our policies and procedures on ISO27001 guidelines.</w:t>
      </w:r>
    </w:p>
    <w:p>
      <w:pPr>
        <w:spacing w:after="0" w:line="119" w:lineRule="exact"/>
        <w:rPr>
          <w:sz w:val="20"/>
          <w:szCs w:val="20"/>
          <w:color w:val="auto"/>
        </w:rPr>
      </w:pPr>
    </w:p>
    <w:p>
      <w:pPr>
        <w:ind w:left="80" w:right="100" w:firstLine="275"/>
        <w:spacing w:after="0" w:line="299" w:lineRule="auto"/>
        <w:rPr>
          <w:sz w:val="20"/>
          <w:szCs w:val="20"/>
          <w:color w:val="auto"/>
        </w:rPr>
      </w:pPr>
      <w:r>
        <w:rPr>
          <w:rFonts w:ascii="Arial" w:cs="Arial" w:eastAsia="Arial" w:hAnsi="Arial"/>
          <w:sz w:val="15"/>
          <w:szCs w:val="15"/>
          <w:color w:val="auto"/>
        </w:rPr>
        <w:t>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19" w:lineRule="exact"/>
        <w:rPr>
          <w:sz w:val="20"/>
          <w:szCs w:val="20"/>
          <w:color w:val="auto"/>
        </w:rPr>
      </w:pPr>
    </w:p>
    <w:p>
      <w:pPr>
        <w:ind w:left="660" w:hanging="282"/>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monitor emerging data protection laws and implement changes to our processes that are designed to comply with such laws;</w:t>
      </w:r>
    </w:p>
    <w:p>
      <w:pPr>
        <w:spacing w:after="0" w:line="193" w:lineRule="exact"/>
        <w:rPr>
          <w:rFonts w:ascii="Arial" w:cs="Arial" w:eastAsia="Arial" w:hAnsi="Arial"/>
          <w:sz w:val="15"/>
          <w:szCs w:val="15"/>
          <w:color w:val="auto"/>
        </w:rPr>
      </w:pPr>
    </w:p>
    <w:p>
      <w:pPr>
        <w:ind w:left="660" w:right="100" w:hanging="283"/>
        <w:spacing w:after="0" w:line="299"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through our policies, practices and contracts (as applicable), require employees, as well as third parties that provide services on our behalf, to treat confidential information and data with care;</w:t>
      </w:r>
    </w:p>
    <w:p>
      <w:pPr>
        <w:spacing w:after="0" w:line="119" w:lineRule="exact"/>
        <w:rPr>
          <w:rFonts w:ascii="Arial" w:cs="Arial" w:eastAsia="Arial" w:hAnsi="Arial"/>
          <w:sz w:val="15"/>
          <w:szCs w:val="15"/>
          <w:color w:val="auto"/>
        </w:rPr>
      </w:pPr>
    </w:p>
    <w:p>
      <w:pPr>
        <w:ind w:left="660" w:right="80" w:hanging="283"/>
        <w:spacing w:after="0" w:line="382" w:lineRule="auto"/>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73" w:lineRule="exact"/>
        <w:rPr>
          <w:rFonts w:ascii="Arial" w:cs="Arial" w:eastAsia="Arial" w:hAnsi="Arial"/>
          <w:sz w:val="13"/>
          <w:szCs w:val="13"/>
          <w:color w:val="auto"/>
        </w:rPr>
      </w:pPr>
    </w:p>
    <w:p>
      <w:pPr>
        <w:ind w:left="660" w:right="100" w:hanging="283"/>
        <w:spacing w:after="0" w:line="299"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119" w:lineRule="exact"/>
        <w:rPr>
          <w:rFonts w:ascii="Arial" w:cs="Arial" w:eastAsia="Arial" w:hAnsi="Arial"/>
          <w:sz w:val="15"/>
          <w:szCs w:val="15"/>
          <w:color w:val="auto"/>
        </w:rPr>
      </w:pPr>
    </w:p>
    <w:p>
      <w:pPr>
        <w:ind w:left="660" w:right="100" w:hanging="283"/>
        <w:spacing w:after="0" w:line="299" w:lineRule="auto"/>
        <w:tabs>
          <w:tab w:leader="none" w:pos="659"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conduct regular phishing email simulations for all employees and contractors with access to our email systems to enhance awareness and responsiveness to possible threats;</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dark web scanning to determine any leaked credentials both corporate and personal for key employees.</w:t>
      </w:r>
    </w:p>
    <w:p>
      <w:pPr>
        <w:spacing w:after="0" w:line="193" w:lineRule="exact"/>
        <w:rPr>
          <w:rFonts w:ascii="Arial" w:cs="Arial" w:eastAsia="Arial" w:hAnsi="Arial"/>
          <w:sz w:val="15"/>
          <w:szCs w:val="15"/>
          <w:color w:val="auto"/>
        </w:rPr>
      </w:pPr>
    </w:p>
    <w:p>
      <w:pPr>
        <w:ind w:left="660" w:right="100" w:hanging="282"/>
        <w:spacing w:after="0" w:line="299" w:lineRule="auto"/>
        <w:tabs>
          <w:tab w:leader="none" w:pos="661" w:val="left"/>
        </w:tabs>
        <w:numPr>
          <w:ilvl w:val="0"/>
          <w:numId w:val="35"/>
        </w:numPr>
        <w:rPr>
          <w:rFonts w:ascii="Arial" w:cs="Arial" w:eastAsia="Arial" w:hAnsi="Arial"/>
          <w:sz w:val="15"/>
          <w:szCs w:val="15"/>
          <w:color w:val="auto"/>
        </w:rPr>
      </w:pPr>
      <w:r>
        <w:rPr>
          <w:rFonts w:ascii="Arial" w:cs="Arial" w:eastAsia="Arial" w:hAnsi="Arial"/>
          <w:sz w:val="15"/>
          <w:szCs w:val="15"/>
          <w:color w:val="auto"/>
        </w:rPr>
        <w:t>leverage the NIST incident handling framework and our MSPs to help us identify, protect, detect, respond and recover when there is an actual or potential cybersecurity incident;</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carry information security risk insurance that provides protection against the potential losses arising from a cybersecurity incident;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37"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As part of the above processes, we regularly engage with consultants, auditors and other third parties, including annually having a third-party review our cybersecurity program to help identify areas for continued focus, improvement and compliance.</w:t>
      </w:r>
    </w:p>
    <w:p>
      <w:pPr>
        <w:spacing w:after="0" w:line="119" w:lineRule="exact"/>
        <w:rPr>
          <w:sz w:val="20"/>
          <w:szCs w:val="20"/>
          <w:color w:val="auto"/>
        </w:rPr>
      </w:pPr>
    </w:p>
    <w:p>
      <w:pPr>
        <w:jc w:val="both"/>
        <w:ind w:left="80" w:right="80" w:firstLine="274"/>
        <w:spacing w:after="0" w:line="288" w:lineRule="auto"/>
        <w:rPr>
          <w:sz w:val="20"/>
          <w:szCs w:val="20"/>
          <w:color w:val="auto"/>
        </w:rPr>
      </w:pPr>
      <w:r>
        <w:rPr>
          <w:rFonts w:ascii="Arial" w:cs="Arial" w:eastAsia="Arial" w:hAnsi="Arial"/>
          <w:sz w:val="14"/>
          <w:szCs w:val="14"/>
          <w:color w:val="auto"/>
        </w:rPr>
        <w:t>Our processes also address cybersecurity threat risks associated with our use of third-party service providers, including our suppliers and manufacturers or who have access to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32" w:lineRule="exact"/>
        <w:rPr>
          <w:sz w:val="20"/>
          <w:szCs w:val="20"/>
          <w:color w:val="auto"/>
        </w:rPr>
      </w:pPr>
    </w:p>
    <w:p>
      <w:pPr>
        <w:jc w:val="both"/>
        <w:ind w:left="80" w:right="100" w:firstLine="274"/>
        <w:spacing w:after="0" w:line="305" w:lineRule="auto"/>
        <w:rPr>
          <w:sz w:val="20"/>
          <w:szCs w:val="20"/>
          <w:color w:val="auto"/>
        </w:rPr>
      </w:pPr>
      <w:r>
        <w:rPr>
          <w:rFonts w:ascii="Arial" w:cs="Arial" w:eastAsia="Arial" w:hAnsi="Arial"/>
          <w:sz w:val="14"/>
          <w:szCs w:val="14"/>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dependent upon information technology systems, which are subject to cyber threats, disruption, damage and failure” which disclosures are incorporated by reference herein.</w:t>
      </w:r>
    </w:p>
    <w:p>
      <w:pPr>
        <w:spacing w:after="0" w:line="118"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In the last three fiscal years, we have not experienced any material cybersecurity incidents and the expenses we have incurred from cybersecurity incidents were immaterial. This includes penalties and settlements, of which there were none.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Cybersecurity Governance; Management</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Cybersecurity is an important part of our risk management processes and an area of focus for our management. The audit committee of our board of directors is responsible for the oversight of risks from cybersecurity threats, as part of our Enterprise Risk Management system. In the event of a cybersecurity incident that meets established reporting thresholds, our audit committee will receive prompt and timely information regarding such incident, as well as ongoing updates until it has been addressed.</w:t>
      </w:r>
    </w:p>
    <w:p>
      <w:pPr>
        <w:spacing w:after="0" w:line="141" w:lineRule="exact"/>
        <w:rPr>
          <w:sz w:val="20"/>
          <w:szCs w:val="20"/>
          <w:color w:val="auto"/>
        </w:rPr>
      </w:pPr>
    </w:p>
    <w:p>
      <w:pPr>
        <w:jc w:val="both"/>
        <w:ind w:left="80" w:right="80" w:firstLine="274"/>
        <w:spacing w:after="0" w:line="263" w:lineRule="auto"/>
        <w:rPr>
          <w:sz w:val="20"/>
          <w:szCs w:val="20"/>
          <w:color w:val="auto"/>
        </w:rPr>
      </w:pPr>
      <w:r>
        <w:rPr>
          <w:rFonts w:ascii="Arial" w:cs="Arial" w:eastAsia="Arial" w:hAnsi="Arial"/>
          <w:sz w:val="15"/>
          <w:szCs w:val="15"/>
          <w:color w:val="auto"/>
        </w:rPr>
        <w:t>Our cybersecurity risk management and strategy processes, which are discussed in greater detail above, are led by our Chief Technology Officer with guidance from external security consultant. Such individuals have collectively over 40 years of prior work experience in various roles involving managing information security, developing cybersecurity strategy, implementing effective information and cybersecurity programs, as well as relevant degrees and certifications, including Certified Information Security Manager and Certified CISO.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2. PROPERTIES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u w:val="single" w:color="auto"/>
          <w:color w:val="auto"/>
        </w:rPr>
        <w:t>NORI Contract Area</w:t>
      </w:r>
    </w:p>
    <w:p>
      <w:pPr>
        <w:spacing w:after="0" w:line="196"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incorporated by reference as Exhibit 96.1 to this Annual Report.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Location of the NORI Area and access</w:t>
      </w:r>
    </w:p>
    <w:p>
      <w:pPr>
        <w:spacing w:after="0" w:line="192"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The NORI Contract Area is located within the CCZ of the northeast Pacific Ocean. The CCZ is located in international waters between Hawaii and Mexico. The western-end of the CCZ is approximately 1,000 kilometers south of the Hawaiian island group. From here, the CCZ extends almost 5,000 kilometers east-northeast, in an approximately 600 kilometers wide trend, with the eastern limits approximately 2,000 kilometers west of southern Mexico. The region is well-located to ship nodules to the American continent or across the Pacific to Asian markets. The NORI Contract Area comprises four separate blocks (A, B, C and D) in the CCZ with a combined area of 74,830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104775</wp:posOffset>
            </wp:positionV>
            <wp:extent cx="4168140" cy="3223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2">
                      <a:extLst>
                        <a:ext uri="{28A0092B-C50C-407E-A947-70E740481C1C}"/>
                      </a:extLst>
                    </a:blip>
                    <a:srcRect/>
                    <a:stretch>
                      <a:fillRect/>
                    </a:stretch>
                  </pic:blipFill>
                  <pic:spPr bwMode="auto">
                    <a:xfrm>
                      <a:off x="0" y="0"/>
                      <a:ext cx="4168140" cy="322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NORI Contract Area extents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Minimum</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Minimum</w:t>
            </w: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Minimum</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Maximum</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Minimum</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Maximum</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UTM</w:t>
            </w:r>
          </w:p>
        </w:tc>
        <w:tc>
          <w:tcPr>
            <w:tcW w:w="0" w:type="dxa"/>
            <w:vAlign w:val="bottom"/>
          </w:tcPr>
          <w:p>
            <w:pPr>
              <w:spacing w:after="0"/>
              <w:rPr>
                <w:sz w:val="1"/>
                <w:szCs w:val="1"/>
                <w:color w:val="auto"/>
              </w:rPr>
            </w:pPr>
          </w:p>
        </w:tc>
      </w:tr>
      <w:tr>
        <w:trPr>
          <w:trHeight w:val="126"/>
        </w:trPr>
        <w:tc>
          <w:tcPr>
            <w:tcW w:w="2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Area</w:t>
            </w:r>
          </w:p>
        </w:tc>
        <w:tc>
          <w:tcPr>
            <w:tcW w:w="90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4"/>
              </w:rPr>
              <w:t>Latitude</w:t>
            </w:r>
          </w:p>
        </w:tc>
        <w:tc>
          <w:tcPr>
            <w:tcW w:w="100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94"/>
              </w:rPr>
              <w:t>Latitude</w:t>
            </w: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3"/>
              </w:rPr>
              <w:t>Longitude</w:t>
            </w:r>
          </w:p>
        </w:tc>
        <w:tc>
          <w:tcPr>
            <w:tcW w:w="108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9"/>
              </w:rPr>
              <w:t>Longitude</w:t>
            </w:r>
          </w:p>
        </w:tc>
        <w:tc>
          <w:tcPr>
            <w:tcW w:w="940" w:type="dxa"/>
            <w:vAlign w:val="bottom"/>
            <w:gridSpan w:val="2"/>
          </w:tcPr>
          <w:p>
            <w:pPr>
              <w:ind w:left="200"/>
              <w:spacing w:after="0" w:line="126" w:lineRule="exact"/>
              <w:rPr>
                <w:sz w:val="20"/>
                <w:szCs w:val="20"/>
                <w:color w:val="auto"/>
              </w:rPr>
            </w:pPr>
            <w:r>
              <w:rPr>
                <w:rFonts w:ascii="Arial" w:cs="Arial" w:eastAsia="Arial" w:hAnsi="Arial"/>
                <w:sz w:val="12"/>
                <w:szCs w:val="12"/>
                <w:b w:val="1"/>
                <w:bCs w:val="1"/>
                <w:color w:val="auto"/>
              </w:rPr>
              <w:t>UTM X</w:t>
            </w:r>
          </w:p>
        </w:tc>
        <w:tc>
          <w:tcPr>
            <w:tcW w:w="960" w:type="dxa"/>
            <w:vAlign w:val="bottom"/>
            <w:gridSpan w:val="2"/>
          </w:tcPr>
          <w:p>
            <w:pPr>
              <w:ind w:left="200"/>
              <w:spacing w:after="0" w:line="126" w:lineRule="exact"/>
              <w:rPr>
                <w:sz w:val="20"/>
                <w:szCs w:val="20"/>
                <w:color w:val="auto"/>
              </w:rPr>
            </w:pPr>
            <w:r>
              <w:rPr>
                <w:rFonts w:ascii="Arial" w:cs="Arial" w:eastAsia="Arial" w:hAnsi="Arial"/>
                <w:sz w:val="12"/>
                <w:szCs w:val="12"/>
                <w:b w:val="1"/>
                <w:bCs w:val="1"/>
                <w:color w:val="auto"/>
              </w:rPr>
              <w:t>UTM X</w:t>
            </w:r>
          </w:p>
        </w:tc>
        <w:tc>
          <w:tcPr>
            <w:tcW w:w="900" w:type="dxa"/>
            <w:vAlign w:val="bottom"/>
            <w:gridSpan w:val="2"/>
          </w:tcPr>
          <w:p>
            <w:pPr>
              <w:ind w:left="160"/>
              <w:spacing w:after="0" w:line="126" w:lineRule="exact"/>
              <w:rPr>
                <w:sz w:val="20"/>
                <w:szCs w:val="20"/>
                <w:color w:val="auto"/>
              </w:rPr>
            </w:pPr>
            <w:r>
              <w:rPr>
                <w:rFonts w:ascii="Arial" w:cs="Arial" w:eastAsia="Arial" w:hAnsi="Arial"/>
                <w:sz w:val="12"/>
                <w:szCs w:val="12"/>
                <w:b w:val="1"/>
                <w:bCs w:val="1"/>
                <w:color w:val="auto"/>
              </w:rPr>
              <w:t>UTM Y</w:t>
            </w:r>
          </w:p>
        </w:tc>
        <w:tc>
          <w:tcPr>
            <w:tcW w:w="900" w:type="dxa"/>
            <w:vAlign w:val="bottom"/>
            <w:gridSpan w:val="2"/>
          </w:tcPr>
          <w:p>
            <w:pPr>
              <w:ind w:left="180"/>
              <w:spacing w:after="0" w:line="126" w:lineRule="exact"/>
              <w:rPr>
                <w:sz w:val="20"/>
                <w:szCs w:val="20"/>
                <w:color w:val="auto"/>
              </w:rPr>
            </w:pPr>
            <w:r>
              <w:rPr>
                <w:rFonts w:ascii="Arial" w:cs="Arial" w:eastAsia="Arial" w:hAnsi="Arial"/>
                <w:sz w:val="12"/>
                <w:szCs w:val="12"/>
                <w:b w:val="1"/>
                <w:bCs w:val="1"/>
                <w:color w:val="auto"/>
              </w:rPr>
              <w:t>UTM Y</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(DD)</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(DD)</w:t>
            </w: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(DD)</w:t>
            </w: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(DD)</w:t>
            </w:r>
          </w:p>
        </w:tc>
        <w:tc>
          <w:tcPr>
            <w:tcW w:w="940" w:type="dxa"/>
            <w:vAlign w:val="bottom"/>
            <w:gridSpan w:val="2"/>
          </w:tcPr>
          <w:p>
            <w:pPr>
              <w:ind w:left="300"/>
              <w:spacing w:after="0"/>
              <w:rPr>
                <w:sz w:val="20"/>
                <w:szCs w:val="20"/>
                <w:color w:val="auto"/>
              </w:rPr>
            </w:pPr>
            <w:r>
              <w:rPr>
                <w:rFonts w:ascii="Arial" w:cs="Arial" w:eastAsia="Arial" w:hAnsi="Arial"/>
                <w:sz w:val="12"/>
                <w:szCs w:val="12"/>
                <w:b w:val="1"/>
                <w:bCs w:val="1"/>
                <w:color w:val="auto"/>
              </w:rPr>
              <w:t>(m)</w:t>
            </w:r>
          </w:p>
        </w:tc>
        <w:tc>
          <w:tcPr>
            <w:tcW w:w="960" w:type="dxa"/>
            <w:vAlign w:val="bottom"/>
            <w:gridSpan w:val="2"/>
          </w:tcPr>
          <w:p>
            <w:pPr>
              <w:ind w:left="320"/>
              <w:spacing w:after="0"/>
              <w:rPr>
                <w:sz w:val="20"/>
                <w:szCs w:val="20"/>
                <w:color w:val="auto"/>
              </w:rPr>
            </w:pPr>
            <w:r>
              <w:rPr>
                <w:rFonts w:ascii="Arial" w:cs="Arial" w:eastAsia="Arial" w:hAnsi="Arial"/>
                <w:sz w:val="12"/>
                <w:szCs w:val="12"/>
                <w:b w:val="1"/>
                <w:bCs w:val="1"/>
                <w:color w:val="auto"/>
              </w:rPr>
              <w:t>(m)</w:t>
            </w:r>
          </w:p>
        </w:tc>
        <w:tc>
          <w:tcPr>
            <w:tcW w:w="900" w:type="dxa"/>
            <w:vAlign w:val="bottom"/>
            <w:gridSpan w:val="2"/>
          </w:tcPr>
          <w:p>
            <w:pPr>
              <w:ind w:left="280"/>
              <w:spacing w:after="0"/>
              <w:rPr>
                <w:sz w:val="20"/>
                <w:szCs w:val="20"/>
                <w:color w:val="auto"/>
              </w:rPr>
            </w:pPr>
            <w:r>
              <w:rPr>
                <w:rFonts w:ascii="Arial" w:cs="Arial" w:eastAsia="Arial" w:hAnsi="Arial"/>
                <w:sz w:val="12"/>
                <w:szCs w:val="12"/>
                <w:b w:val="1"/>
                <w:bCs w:val="1"/>
                <w:color w:val="auto"/>
              </w:rPr>
              <w:t>(m)</w:t>
            </w:r>
          </w:p>
        </w:tc>
        <w:tc>
          <w:tcPr>
            <w:tcW w:w="900" w:type="dxa"/>
            <w:vAlign w:val="bottom"/>
            <w:gridSpan w:val="2"/>
          </w:tcPr>
          <w:p>
            <w:pPr>
              <w:ind w:left="280"/>
              <w:spacing w:after="0"/>
              <w:rPr>
                <w:sz w:val="20"/>
                <w:szCs w:val="20"/>
                <w:color w:val="auto"/>
              </w:rPr>
            </w:pPr>
            <w:r>
              <w:rPr>
                <w:rFonts w:ascii="Arial" w:cs="Arial" w:eastAsia="Arial" w:hAnsi="Arial"/>
                <w:sz w:val="12"/>
                <w:szCs w:val="12"/>
                <w:b w:val="1"/>
                <w:bCs w:val="1"/>
                <w:color w:val="auto"/>
              </w:rPr>
              <w:t>(m)</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Zone</w:t>
            </w:r>
          </w:p>
        </w:tc>
        <w:tc>
          <w:tcPr>
            <w:tcW w:w="0" w:type="dxa"/>
            <w:vAlign w:val="bottom"/>
          </w:tcPr>
          <w:p>
            <w:pPr>
              <w:spacing w:after="0"/>
              <w:rPr>
                <w:sz w:val="1"/>
                <w:szCs w:val="1"/>
                <w:color w:val="auto"/>
              </w:rPr>
            </w:pPr>
          </w:p>
        </w:tc>
      </w:tr>
      <w:tr>
        <w:trPr>
          <w:trHeight w:val="174"/>
        </w:trPr>
        <w:tc>
          <w:tcPr>
            <w:tcW w:w="236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A</w:t>
            </w:r>
          </w:p>
        </w:tc>
        <w:tc>
          <w:tcPr>
            <w:tcW w:w="140" w:type="dxa"/>
            <w:vAlign w:val="bottom"/>
            <w:tcBorders>
              <w:top w:val="single" w:sz="8" w:color="D2EEF5"/>
            </w:tcBorders>
            <w:shd w:val="clear" w:color="auto" w:fill="D2EEF5"/>
          </w:tcPr>
          <w:p>
            <w:pPr>
              <w:spacing w:after="0"/>
              <w:rPr>
                <w:sz w:val="15"/>
                <w:szCs w:val="15"/>
                <w:color w:val="auto"/>
              </w:rPr>
            </w:pPr>
          </w:p>
        </w:tc>
        <w:tc>
          <w:tcPr>
            <w:tcW w:w="7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11.5000</w:t>
            </w:r>
          </w:p>
        </w:tc>
        <w:tc>
          <w:tcPr>
            <w:tcW w:w="160" w:type="dxa"/>
            <w:vAlign w:val="bottom"/>
            <w:tcBorders>
              <w:top w:val="single" w:sz="8" w:color="D2EEF5"/>
            </w:tcBorders>
            <w:shd w:val="clear" w:color="auto" w:fill="D2EEF5"/>
          </w:tcPr>
          <w:p>
            <w:pPr>
              <w:spacing w:after="0"/>
              <w:rPr>
                <w:sz w:val="15"/>
                <w:szCs w:val="15"/>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13.00000</w:t>
            </w:r>
          </w:p>
        </w:tc>
        <w:tc>
          <w:tcPr>
            <w:tcW w:w="140" w:type="dxa"/>
            <w:vAlign w:val="bottom"/>
            <w:tcBorders>
              <w:top w:val="single" w:sz="8" w:color="D2EEF5"/>
            </w:tcBorders>
            <w:shd w:val="clear" w:color="auto" w:fill="D2EEF5"/>
          </w:tcPr>
          <w:p>
            <w:pPr>
              <w:spacing w:after="0"/>
              <w:rPr>
                <w:sz w:val="15"/>
                <w:szCs w:val="15"/>
                <w:color w:val="auto"/>
              </w:rPr>
            </w:pPr>
          </w:p>
        </w:tc>
        <w:tc>
          <w:tcPr>
            <w:tcW w:w="9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(134.5830)</w:t>
            </w:r>
          </w:p>
        </w:tc>
        <w:tc>
          <w:tcPr>
            <w:tcW w:w="160" w:type="dxa"/>
            <w:vAlign w:val="bottom"/>
            <w:tcBorders>
              <w:top w:val="single" w:sz="8" w:color="D2EEF5"/>
            </w:tcBorders>
            <w:shd w:val="clear" w:color="auto" w:fill="D2EEF5"/>
          </w:tcPr>
          <w:p>
            <w:pPr>
              <w:spacing w:after="0"/>
              <w:rPr>
                <w:sz w:val="15"/>
                <w:szCs w:val="15"/>
                <w:color w:val="auto"/>
              </w:rPr>
            </w:pPr>
          </w:p>
        </w:tc>
        <w:tc>
          <w:tcPr>
            <w:tcW w:w="9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(133.8330)</w:t>
            </w:r>
          </w:p>
        </w:tc>
        <w:tc>
          <w:tcPr>
            <w:tcW w:w="16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ind w:left="180"/>
              <w:spacing w:after="0"/>
              <w:rPr>
                <w:sz w:val="20"/>
                <w:szCs w:val="20"/>
                <w:color w:val="auto"/>
              </w:rPr>
            </w:pPr>
            <w:r>
              <w:rPr>
                <w:rFonts w:ascii="Arial" w:cs="Arial" w:eastAsia="Arial" w:hAnsi="Arial"/>
                <w:sz w:val="15"/>
                <w:szCs w:val="15"/>
                <w:color w:val="auto"/>
                <w:w w:val="95"/>
              </w:rPr>
              <w:t>545220.4</w:t>
            </w:r>
          </w:p>
        </w:tc>
        <w:tc>
          <w:tcPr>
            <w:tcW w:w="14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ind w:left="180"/>
              <w:spacing w:after="0"/>
              <w:rPr>
                <w:sz w:val="20"/>
                <w:szCs w:val="20"/>
                <w:color w:val="auto"/>
              </w:rPr>
            </w:pPr>
            <w:r>
              <w:rPr>
                <w:rFonts w:ascii="Arial" w:cs="Arial" w:eastAsia="Arial" w:hAnsi="Arial"/>
                <w:sz w:val="15"/>
                <w:szCs w:val="15"/>
                <w:color w:val="auto"/>
                <w:w w:val="95"/>
              </w:rPr>
              <w:t>627276.0</w:t>
            </w:r>
          </w:p>
        </w:tc>
        <w:tc>
          <w:tcPr>
            <w:tcW w:w="160" w:type="dxa"/>
            <w:vAlign w:val="bottom"/>
            <w:tcBorders>
              <w:top w:val="single" w:sz="8" w:color="D2EEF5"/>
            </w:tcBorders>
            <w:shd w:val="clear" w:color="auto" w:fill="D2EEF5"/>
          </w:tcPr>
          <w:p>
            <w:pPr>
              <w:spacing w:after="0"/>
              <w:rPr>
                <w:sz w:val="15"/>
                <w:szCs w:val="15"/>
                <w:color w:val="auto"/>
              </w:rPr>
            </w:pPr>
          </w:p>
        </w:tc>
        <w:tc>
          <w:tcPr>
            <w:tcW w:w="740" w:type="dxa"/>
            <w:vAlign w:val="bottom"/>
            <w:tcBorders>
              <w:top w:val="single" w:sz="8" w:color="auto"/>
            </w:tcBorders>
            <w:shd w:val="clear" w:color="auto" w:fill="D2EEF5"/>
          </w:tcPr>
          <w:p>
            <w:pPr>
              <w:ind w:left="160"/>
              <w:spacing w:after="0"/>
              <w:rPr>
                <w:sz w:val="20"/>
                <w:szCs w:val="20"/>
                <w:color w:val="auto"/>
              </w:rPr>
            </w:pPr>
            <w:r>
              <w:rPr>
                <w:rFonts w:ascii="Arial" w:cs="Arial" w:eastAsia="Arial" w:hAnsi="Arial"/>
                <w:sz w:val="15"/>
                <w:szCs w:val="15"/>
                <w:color w:val="auto"/>
                <w:w w:val="95"/>
              </w:rPr>
              <w:t>1271339</w:t>
            </w:r>
          </w:p>
        </w:tc>
        <w:tc>
          <w:tcPr>
            <w:tcW w:w="160" w:type="dxa"/>
            <w:vAlign w:val="bottom"/>
            <w:tcBorders>
              <w:top w:val="single" w:sz="8" w:color="D2EEF5"/>
            </w:tcBorders>
            <w:shd w:val="clear" w:color="auto" w:fill="D2EEF5"/>
          </w:tcPr>
          <w:p>
            <w:pPr>
              <w:spacing w:after="0"/>
              <w:rPr>
                <w:sz w:val="15"/>
                <w:szCs w:val="15"/>
                <w:color w:val="auto"/>
              </w:rPr>
            </w:pPr>
          </w:p>
        </w:tc>
        <w:tc>
          <w:tcPr>
            <w:tcW w:w="740" w:type="dxa"/>
            <w:vAlign w:val="bottom"/>
            <w:tcBorders>
              <w:top w:val="single" w:sz="8" w:color="auto"/>
            </w:tcBorders>
            <w:shd w:val="clear" w:color="auto" w:fill="D2EEF5"/>
          </w:tcPr>
          <w:p>
            <w:pPr>
              <w:ind w:left="180"/>
              <w:spacing w:after="0"/>
              <w:rPr>
                <w:sz w:val="20"/>
                <w:szCs w:val="20"/>
                <w:color w:val="auto"/>
              </w:rPr>
            </w:pPr>
            <w:r>
              <w:rPr>
                <w:rFonts w:ascii="Arial" w:cs="Arial" w:eastAsia="Arial" w:hAnsi="Arial"/>
                <w:sz w:val="15"/>
                <w:szCs w:val="15"/>
                <w:color w:val="auto"/>
                <w:w w:val="92"/>
              </w:rPr>
              <w:t>1437255</w:t>
            </w:r>
          </w:p>
        </w:tc>
        <w:tc>
          <w:tcPr>
            <w:tcW w:w="160" w:type="dxa"/>
            <w:vAlign w:val="bottom"/>
            <w:tcBorders>
              <w:top w:val="single" w:sz="8" w:color="D2EEF5"/>
            </w:tcBorders>
            <w:shd w:val="clear" w:color="auto" w:fill="D2EEF5"/>
          </w:tcPr>
          <w:p>
            <w:pPr>
              <w:spacing w:after="0"/>
              <w:rPr>
                <w:sz w:val="15"/>
                <w:szCs w:val="15"/>
                <w:color w:val="auto"/>
              </w:rPr>
            </w:pPr>
          </w:p>
        </w:tc>
        <w:tc>
          <w:tcPr>
            <w:tcW w:w="3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3"/>
        </w:trPr>
        <w:tc>
          <w:tcPr>
            <w:tcW w:w="2500" w:type="dxa"/>
            <w:vAlign w:val="bottom"/>
            <w:gridSpan w:val="2"/>
          </w:tcPr>
          <w:p>
            <w:pPr>
              <w:spacing w:after="0"/>
              <w:rPr>
                <w:sz w:val="20"/>
                <w:szCs w:val="20"/>
                <w:color w:val="auto"/>
              </w:rPr>
            </w:pPr>
            <w:r>
              <w:rPr>
                <w:rFonts w:ascii="Arial" w:cs="Arial" w:eastAsia="Arial" w:hAnsi="Arial"/>
                <w:sz w:val="15"/>
                <w:szCs w:val="15"/>
                <w:color w:val="auto"/>
              </w:rPr>
              <w:t>B</w:t>
            </w:r>
          </w:p>
        </w:tc>
        <w:tc>
          <w:tcPr>
            <w:tcW w:w="740" w:type="dxa"/>
            <w:vAlign w:val="bottom"/>
          </w:tcPr>
          <w:p>
            <w:pPr>
              <w:jc w:val="right"/>
              <w:spacing w:after="0"/>
              <w:rPr>
                <w:sz w:val="20"/>
                <w:szCs w:val="20"/>
                <w:color w:val="auto"/>
              </w:rPr>
            </w:pPr>
            <w:r>
              <w:rPr>
                <w:rFonts w:ascii="Arial" w:cs="Arial" w:eastAsia="Arial" w:hAnsi="Arial"/>
                <w:sz w:val="15"/>
                <w:szCs w:val="15"/>
                <w:color w:val="auto"/>
              </w:rPr>
              <w:t>13.5801</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14.00000</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(134.0000)</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(133.2000)</w:t>
            </w:r>
          </w:p>
        </w:tc>
        <w:tc>
          <w:tcPr>
            <w:tcW w:w="800" w:type="dxa"/>
            <w:vAlign w:val="bottom"/>
          </w:tcPr>
          <w:p>
            <w:pPr>
              <w:ind w:left="180"/>
              <w:spacing w:after="0"/>
              <w:rPr>
                <w:sz w:val="20"/>
                <w:szCs w:val="20"/>
                <w:color w:val="auto"/>
              </w:rPr>
            </w:pPr>
            <w:r>
              <w:rPr>
                <w:rFonts w:ascii="Arial" w:cs="Arial" w:eastAsia="Arial" w:hAnsi="Arial"/>
                <w:sz w:val="15"/>
                <w:szCs w:val="15"/>
                <w:color w:val="auto"/>
                <w:w w:val="95"/>
              </w:rPr>
              <w:t>607995.7</w:t>
            </w:r>
          </w:p>
        </w:tc>
        <w:tc>
          <w:tcPr>
            <w:tcW w:w="140" w:type="dxa"/>
            <w:vAlign w:val="bottom"/>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5"/>
                <w:szCs w:val="15"/>
                <w:color w:val="auto"/>
                <w:w w:val="95"/>
              </w:rPr>
              <w:t>694759.8</w:t>
            </w:r>
          </w:p>
        </w:tc>
        <w:tc>
          <w:tcPr>
            <w:tcW w:w="16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5"/>
                <w:szCs w:val="15"/>
                <w:color w:val="auto"/>
                <w:w w:val="95"/>
              </w:rPr>
              <w:t>1501590</w:t>
            </w:r>
          </w:p>
        </w:tc>
        <w:tc>
          <w:tcPr>
            <w:tcW w:w="160" w:type="dxa"/>
            <w:vAlign w:val="bottom"/>
          </w:tcPr>
          <w:p>
            <w:pPr>
              <w:spacing w:after="0"/>
              <w:rPr>
                <w:sz w:val="15"/>
                <w:szCs w:val="15"/>
                <w:color w:val="auto"/>
              </w:rPr>
            </w:pPr>
          </w:p>
        </w:tc>
        <w:tc>
          <w:tcPr>
            <w:tcW w:w="740" w:type="dxa"/>
            <w:vAlign w:val="bottom"/>
          </w:tcPr>
          <w:p>
            <w:pPr>
              <w:ind w:left="180"/>
              <w:spacing w:after="0"/>
              <w:rPr>
                <w:sz w:val="20"/>
                <w:szCs w:val="20"/>
                <w:color w:val="auto"/>
              </w:rPr>
            </w:pPr>
            <w:r>
              <w:rPr>
                <w:rFonts w:ascii="Arial" w:cs="Arial" w:eastAsia="Arial" w:hAnsi="Arial"/>
                <w:sz w:val="15"/>
                <w:szCs w:val="15"/>
                <w:color w:val="auto"/>
                <w:w w:val="92"/>
              </w:rPr>
              <w:t>1548425</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3"/>
        </w:trPr>
        <w:tc>
          <w:tcPr>
            <w:tcW w:w="250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C</w:t>
            </w: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12.0000</w:t>
            </w:r>
          </w:p>
        </w:tc>
        <w:tc>
          <w:tcPr>
            <w:tcW w:w="16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14.93500</w:t>
            </w:r>
          </w:p>
        </w:tc>
        <w:tc>
          <w:tcPr>
            <w:tcW w:w="140" w:type="dxa"/>
            <w:vAlign w:val="bottom"/>
            <w:shd w:val="clear" w:color="auto" w:fill="D2EEF5"/>
          </w:tcPr>
          <w:p>
            <w:pPr>
              <w:spacing w:after="0"/>
              <w:rPr>
                <w:sz w:val="15"/>
                <w:szCs w:val="15"/>
                <w:color w:val="auto"/>
              </w:rPr>
            </w:pPr>
          </w:p>
        </w:tc>
        <w:tc>
          <w:tcPr>
            <w:tcW w:w="1080" w:type="dxa"/>
            <w:vAlign w:val="bottom"/>
            <w:gridSpan w:val="2"/>
            <w:shd w:val="clear" w:color="auto" w:fill="D2EEF5"/>
          </w:tcPr>
          <w:p>
            <w:pPr>
              <w:jc w:val="right"/>
              <w:ind w:right="160"/>
              <w:spacing w:after="0"/>
              <w:rPr>
                <w:sz w:val="20"/>
                <w:szCs w:val="20"/>
                <w:color w:val="auto"/>
              </w:rPr>
            </w:pPr>
            <w:r>
              <w:rPr>
                <w:rFonts w:ascii="Arial" w:cs="Arial" w:eastAsia="Arial" w:hAnsi="Arial"/>
                <w:sz w:val="15"/>
                <w:szCs w:val="15"/>
                <w:color w:val="auto"/>
              </w:rPr>
              <w:t>(123.0000)</w:t>
            </w:r>
          </w:p>
        </w:tc>
        <w:tc>
          <w:tcPr>
            <w:tcW w:w="1080" w:type="dxa"/>
            <w:vAlign w:val="bottom"/>
            <w:gridSpan w:val="2"/>
            <w:shd w:val="clear" w:color="auto" w:fill="D2EEF5"/>
          </w:tcPr>
          <w:p>
            <w:pPr>
              <w:jc w:val="right"/>
              <w:ind w:right="160"/>
              <w:spacing w:after="0"/>
              <w:rPr>
                <w:sz w:val="20"/>
                <w:szCs w:val="20"/>
                <w:color w:val="auto"/>
              </w:rPr>
            </w:pPr>
            <w:r>
              <w:rPr>
                <w:rFonts w:ascii="Arial" w:cs="Arial" w:eastAsia="Arial" w:hAnsi="Arial"/>
                <w:sz w:val="15"/>
                <w:szCs w:val="15"/>
                <w:color w:val="auto"/>
              </w:rPr>
              <w:t>(120.5000)</w:t>
            </w:r>
          </w:p>
        </w:tc>
        <w:tc>
          <w:tcPr>
            <w:tcW w:w="800" w:type="dxa"/>
            <w:vAlign w:val="bottom"/>
            <w:shd w:val="clear" w:color="auto" w:fill="D2EEF5"/>
          </w:tcPr>
          <w:p>
            <w:pPr>
              <w:ind w:left="180"/>
              <w:spacing w:after="0"/>
              <w:rPr>
                <w:sz w:val="20"/>
                <w:szCs w:val="20"/>
                <w:color w:val="auto"/>
              </w:rPr>
            </w:pPr>
            <w:r>
              <w:rPr>
                <w:rFonts w:ascii="Arial" w:cs="Arial" w:eastAsia="Arial" w:hAnsi="Arial"/>
                <w:sz w:val="15"/>
                <w:szCs w:val="15"/>
                <w:color w:val="auto"/>
                <w:w w:val="95"/>
              </w:rPr>
              <w:t>500000.0</w:t>
            </w:r>
          </w:p>
        </w:tc>
        <w:tc>
          <w:tcPr>
            <w:tcW w:w="140" w:type="dxa"/>
            <w:vAlign w:val="bottom"/>
            <w:shd w:val="clear" w:color="auto" w:fill="D2EEF5"/>
          </w:tcPr>
          <w:p>
            <w:pPr>
              <w:spacing w:after="0"/>
              <w:rPr>
                <w:sz w:val="15"/>
                <w:szCs w:val="15"/>
                <w:color w:val="auto"/>
              </w:rPr>
            </w:pPr>
          </w:p>
        </w:tc>
        <w:tc>
          <w:tcPr>
            <w:tcW w:w="800" w:type="dxa"/>
            <w:vAlign w:val="bottom"/>
            <w:shd w:val="clear" w:color="auto" w:fill="D2EEF5"/>
          </w:tcPr>
          <w:p>
            <w:pPr>
              <w:ind w:left="180"/>
              <w:spacing w:after="0"/>
              <w:rPr>
                <w:sz w:val="20"/>
                <w:szCs w:val="20"/>
                <w:color w:val="auto"/>
              </w:rPr>
            </w:pPr>
            <w:r>
              <w:rPr>
                <w:rFonts w:ascii="Arial" w:cs="Arial" w:eastAsia="Arial" w:hAnsi="Arial"/>
                <w:sz w:val="15"/>
                <w:szCs w:val="15"/>
                <w:color w:val="auto"/>
                <w:w w:val="95"/>
              </w:rPr>
              <w:t>769458.3</w:t>
            </w:r>
          </w:p>
        </w:tc>
        <w:tc>
          <w:tcPr>
            <w:tcW w:w="160" w:type="dxa"/>
            <w:vAlign w:val="bottom"/>
            <w:shd w:val="clear" w:color="auto" w:fill="D2EEF5"/>
          </w:tcPr>
          <w:p>
            <w:pPr>
              <w:spacing w:after="0"/>
              <w:rPr>
                <w:sz w:val="15"/>
                <w:szCs w:val="15"/>
                <w:color w:val="auto"/>
              </w:rPr>
            </w:pPr>
          </w:p>
        </w:tc>
        <w:tc>
          <w:tcPr>
            <w:tcW w:w="740" w:type="dxa"/>
            <w:vAlign w:val="bottom"/>
            <w:shd w:val="clear" w:color="auto" w:fill="D2EEF5"/>
          </w:tcPr>
          <w:p>
            <w:pPr>
              <w:ind w:left="160"/>
              <w:spacing w:after="0"/>
              <w:rPr>
                <w:sz w:val="20"/>
                <w:szCs w:val="20"/>
                <w:color w:val="auto"/>
              </w:rPr>
            </w:pPr>
            <w:r>
              <w:rPr>
                <w:rFonts w:ascii="Arial" w:cs="Arial" w:eastAsia="Arial" w:hAnsi="Arial"/>
                <w:sz w:val="15"/>
                <w:szCs w:val="15"/>
                <w:color w:val="auto"/>
                <w:w w:val="95"/>
              </w:rPr>
              <w:t>1326941</w:t>
            </w:r>
          </w:p>
        </w:tc>
        <w:tc>
          <w:tcPr>
            <w:tcW w:w="160" w:type="dxa"/>
            <w:vAlign w:val="bottom"/>
            <w:shd w:val="clear" w:color="auto" w:fill="D2EEF5"/>
          </w:tcPr>
          <w:p>
            <w:pPr>
              <w:spacing w:after="0"/>
              <w:rPr>
                <w:sz w:val="15"/>
                <w:szCs w:val="15"/>
                <w:color w:val="auto"/>
              </w:rPr>
            </w:pPr>
          </w:p>
        </w:tc>
        <w:tc>
          <w:tcPr>
            <w:tcW w:w="740" w:type="dxa"/>
            <w:vAlign w:val="bottom"/>
            <w:shd w:val="clear" w:color="auto" w:fill="D2EEF5"/>
          </w:tcPr>
          <w:p>
            <w:pPr>
              <w:ind w:left="180"/>
              <w:spacing w:after="0"/>
              <w:rPr>
                <w:sz w:val="20"/>
                <w:szCs w:val="20"/>
                <w:color w:val="auto"/>
              </w:rPr>
            </w:pPr>
            <w:r>
              <w:rPr>
                <w:rFonts w:ascii="Arial" w:cs="Arial" w:eastAsia="Arial" w:hAnsi="Arial"/>
                <w:sz w:val="15"/>
                <w:szCs w:val="15"/>
                <w:color w:val="auto"/>
                <w:w w:val="92"/>
              </w:rPr>
              <w:t>1652649</w:t>
            </w:r>
          </w:p>
        </w:tc>
        <w:tc>
          <w:tcPr>
            <w:tcW w:w="160" w:type="dxa"/>
            <w:vAlign w:val="bottom"/>
            <w:shd w:val="clear" w:color="auto" w:fill="D2EEF5"/>
          </w:tcPr>
          <w:p>
            <w:pPr>
              <w:spacing w:after="0"/>
              <w:rPr>
                <w:sz w:val="15"/>
                <w:szCs w:val="15"/>
                <w:color w:val="auto"/>
              </w:rPr>
            </w:pPr>
          </w:p>
        </w:tc>
        <w:tc>
          <w:tcPr>
            <w:tcW w:w="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1"/>
        </w:trPr>
        <w:tc>
          <w:tcPr>
            <w:tcW w:w="2500" w:type="dxa"/>
            <w:vAlign w:val="bottom"/>
            <w:gridSpan w:val="2"/>
          </w:tcPr>
          <w:p>
            <w:pPr>
              <w:spacing w:after="0"/>
              <w:rPr>
                <w:sz w:val="20"/>
                <w:szCs w:val="20"/>
                <w:color w:val="auto"/>
              </w:rPr>
            </w:pPr>
            <w:r>
              <w:rPr>
                <w:rFonts w:ascii="Arial" w:cs="Arial" w:eastAsia="Arial" w:hAnsi="Arial"/>
                <w:sz w:val="15"/>
                <w:szCs w:val="15"/>
                <w:b w:val="1"/>
                <w:bCs w:val="1"/>
                <w:color w:val="auto"/>
              </w:rPr>
              <w:t>D</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9.8950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11.08333</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(117.8167)</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(116.0667)</w:t>
            </w:r>
          </w:p>
        </w:tc>
        <w:tc>
          <w:tcPr>
            <w:tcW w:w="800" w:type="dxa"/>
            <w:vAlign w:val="bottom"/>
          </w:tcPr>
          <w:p>
            <w:pPr>
              <w:ind w:left="180"/>
              <w:spacing w:after="0"/>
              <w:rPr>
                <w:sz w:val="20"/>
                <w:szCs w:val="20"/>
                <w:color w:val="auto"/>
              </w:rPr>
            </w:pPr>
            <w:r>
              <w:rPr>
                <w:rFonts w:ascii="Arial" w:cs="Arial" w:eastAsia="Arial" w:hAnsi="Arial"/>
                <w:sz w:val="15"/>
                <w:szCs w:val="15"/>
                <w:b w:val="1"/>
                <w:bCs w:val="1"/>
                <w:color w:val="auto"/>
                <w:w w:val="95"/>
              </w:rPr>
              <w:t>410465.2</w:t>
            </w:r>
          </w:p>
        </w:tc>
        <w:tc>
          <w:tcPr>
            <w:tcW w:w="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5"/>
                <w:szCs w:val="15"/>
                <w:b w:val="1"/>
                <w:bCs w:val="1"/>
                <w:color w:val="auto"/>
                <w:w w:val="95"/>
              </w:rPr>
              <w:t>602326.1</w:t>
            </w:r>
          </w:p>
        </w:tc>
        <w:tc>
          <w:tcPr>
            <w:tcW w:w="1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w w:val="95"/>
              </w:rPr>
              <w:t>1093913</w:t>
            </w:r>
          </w:p>
        </w:tc>
        <w:tc>
          <w:tcPr>
            <w:tcW w:w="16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5"/>
                <w:szCs w:val="15"/>
                <w:b w:val="1"/>
                <w:bCs w:val="1"/>
                <w:color w:val="auto"/>
                <w:w w:val="92"/>
              </w:rPr>
              <w:t>1225353</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DD — Decimal degrees, UTM — Universal Transverse Mercator map projection</w:t>
      </w:r>
    </w:p>
    <w:p>
      <w:pPr>
        <w:spacing w:after="0" w:line="194"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See Section 3 of the NORI Technical Report Summary for further specific information of the location of the NORI Contract Area.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Tenements and permits</w:t>
      </w:r>
    </w:p>
    <w:p>
      <w:pPr>
        <w:spacing w:after="0" w:line="192"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See Business Regulations-The NORI Exploration Contract, Business Regulations-The NORI Sponsorship Agreement and Business Regulations- International Seabed Authority above for information related to tenements and permits in the NORI Contract Area.</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NORI obligations and sponsorship</w:t>
      </w:r>
    </w:p>
    <w:p>
      <w:pPr>
        <w:spacing w:after="0" w:line="192"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See Business Regulations-The NORI Exploration Contract, Business Regulations-The NORI Sponsorship Agreement above for information related to this agreement in the NORI Contract Area.</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Royalties and taxes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See Business Regulations-Royalties and taxes above for information with respect to our obligations for royalties and taxes in the NORI Contract Area.</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History of previous exploration activities in the NORI Contract Area</w:t>
      </w:r>
    </w:p>
    <w:p>
      <w:pPr>
        <w:spacing w:after="0" w:line="19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46"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meters of water. Approximately 800 tonnes of nodules were recovered.</w:t>
      </w:r>
    </w:p>
    <w:p>
      <w:pPr>
        <w:spacing w:after="0" w:line="14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Using a different system to OMI, Ocean Mining Associates recovered approximately 500 tonnes of nodules during its trial collection in the 1970s.</w:t>
      </w:r>
    </w:p>
    <w:p>
      <w:pPr>
        <w:spacing w:after="0" w:line="194"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19"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41"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4"/>
          <w:szCs w:val="14"/>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97" w:lineRule="exact"/>
        <w:rPr>
          <w:sz w:val="20"/>
          <w:szCs w:val="20"/>
          <w:color w:val="auto"/>
        </w:rPr>
      </w:pPr>
    </w:p>
    <w:p>
      <w:pPr>
        <w:ind w:left="80" w:right="1120" w:firstLine="274"/>
        <w:spacing w:after="0" w:line="509" w:lineRule="auto"/>
        <w:rPr>
          <w:sz w:val="20"/>
          <w:szCs w:val="20"/>
          <w:color w:val="auto"/>
        </w:rPr>
      </w:pPr>
      <w:r>
        <w:rPr>
          <w:rFonts w:ascii="Arial" w:cs="Arial" w:eastAsia="Arial" w:hAnsi="Arial"/>
          <w:sz w:val="15"/>
          <w:szCs w:val="15"/>
          <w:color w:val="auto"/>
        </w:rPr>
        <w:t xml:space="preserve">See Section 5 of the NORI Technical Report Summary for further specific information of the history of previous exploration of the NORI Contract Area. </w:t>
      </w:r>
      <w:r>
        <w:rPr>
          <w:rFonts w:ascii="Arial" w:cs="Arial" w:eastAsia="Arial" w:hAnsi="Arial"/>
          <w:sz w:val="15"/>
          <w:szCs w:val="15"/>
          <w:b w:val="1"/>
          <w:bCs w:val="1"/>
          <w:i w:val="1"/>
          <w:iCs w:val="1"/>
          <w:color w:val="auto"/>
        </w:rPr>
        <w:t>Geology and sampling</w:t>
      </w:r>
    </w:p>
    <w:p>
      <w:pPr>
        <w:jc w:val="both"/>
        <w:ind w:left="80" w:right="80" w:firstLine="275"/>
        <w:spacing w:after="0" w:line="299" w:lineRule="auto"/>
        <w:rPr>
          <w:sz w:val="20"/>
          <w:szCs w:val="20"/>
          <w:color w:val="auto"/>
        </w:rPr>
      </w:pPr>
      <w:r>
        <w:rPr>
          <w:rFonts w:ascii="Arial" w:cs="Arial" w:eastAsia="Arial" w:hAnsi="Arial"/>
          <w:sz w:val="15"/>
          <w:szCs w:val="15"/>
          <w:color w:val="auto"/>
        </w:rPr>
        <w:t>Seafloor polymetallic nodules occur in all oceans, but the CCZ hosts a relatively high abundance of high Ni and Cu grade nodules. The CCZ seafloor forms part of the Abyssal Plains, which are the largest physiographic province on Earth.</w:t>
      </w:r>
    </w:p>
    <w:p>
      <w:pPr>
        <w:spacing w:after="0" w:line="119"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average depth of the seafloor in the Project Area is 3,800 to 4,200 meters. Overall, the seafloor slopes at approximately 0.57˚ (1 meter per kilometer) but the Abyssal Plains are traversed by ridges, with amplitude of 50 to 300 meters (maximum 1,000 meters) and wavelength of 1 to 10 kilometers. The Abyssal Plains are punctuated by extinct volcanoes rising 500 to 2,000 meters above the seafloor.</w:t>
      </w:r>
    </w:p>
    <w:p>
      <w:pPr>
        <w:spacing w:after="0" w:line="137"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37"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4"/>
          <w:szCs w:val="14"/>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specific conditions of the CCZ (water depth, latitude, and seafloor sediment type) are considered to be the key controls for the formation of polymetallic nodules.</w:t>
      </w:r>
    </w:p>
    <w:p>
      <w:pPr>
        <w:spacing w:after="0" w:line="205" w:lineRule="exact"/>
        <w:rPr>
          <w:sz w:val="20"/>
          <w:szCs w:val="20"/>
          <w:color w:val="auto"/>
        </w:rPr>
      </w:pPr>
    </w:p>
    <w:p>
      <w:pPr>
        <w:jc w:val="both"/>
        <w:ind w:left="80" w:right="100" w:firstLine="275"/>
        <w:spacing w:after="0" w:line="269" w:lineRule="auto"/>
        <w:rPr>
          <w:sz w:val="20"/>
          <w:szCs w:val="20"/>
          <w:color w:val="auto"/>
        </w:rPr>
      </w:pPr>
      <w:r>
        <w:rPr>
          <w:rFonts w:ascii="Arial" w:cs="Arial" w:eastAsia="Arial" w:hAnsi="Arial"/>
          <w:sz w:val="15"/>
          <w:szCs w:val="15"/>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41"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NORI completed offshore exploration campaigns in 2012, 2013, 2018, 2019 and 2020. During these campaigns a variety of data was collected including:</w:t>
      </w:r>
    </w:p>
    <w:p>
      <w:pPr>
        <w:spacing w:after="0" w:line="194" w:lineRule="exact"/>
        <w:rPr>
          <w:sz w:val="20"/>
          <w:szCs w:val="20"/>
          <w:color w:val="auto"/>
        </w:rPr>
      </w:pPr>
    </w:p>
    <w:p>
      <w:pPr>
        <w:ind w:left="660" w:right="100" w:hanging="283"/>
        <w:spacing w:after="0" w:line="299" w:lineRule="auto"/>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19" w:lineRule="exact"/>
        <w:rPr>
          <w:rFonts w:ascii="Arial" w:cs="Arial" w:eastAsia="Arial" w:hAnsi="Arial"/>
          <w:sz w:val="15"/>
          <w:szCs w:val="15"/>
          <w:color w:val="auto"/>
        </w:rPr>
      </w:pPr>
    </w:p>
    <w:p>
      <w:pPr>
        <w:ind w:left="660" w:right="100" w:hanging="282"/>
        <w:spacing w:after="0" w:line="299" w:lineRule="auto"/>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detailed seafloor survey work with an autonomous underwater vehicle (AUV), utilizing an MBES, Side Scan Sonar (SSS), Sub-Bottom Profiler (SBP), and camera payload; and</w:t>
      </w:r>
    </w:p>
    <w:p>
      <w:pPr>
        <w:spacing w:after="0" w:line="119" w:lineRule="exact"/>
        <w:rPr>
          <w:rFonts w:ascii="Arial" w:cs="Arial" w:eastAsia="Arial" w:hAnsi="Arial"/>
          <w:sz w:val="15"/>
          <w:szCs w:val="15"/>
          <w:color w:val="auto"/>
        </w:rPr>
      </w:pPr>
    </w:p>
    <w:p>
      <w:pPr>
        <w:ind w:left="660" w:right="80" w:hanging="283"/>
        <w:spacing w:after="0" w:line="299" w:lineRule="auto"/>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total of 252 box core samples collected using a 0.75 square meters box corer, mainly on a 10 kilometers by 10 kilometers square grid were used for resource evaluation.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37"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18" w:lineRule="exact"/>
        <w:rPr>
          <w:sz w:val="20"/>
          <w:szCs w:val="20"/>
          <w:color w:val="auto"/>
        </w:rPr>
      </w:pPr>
    </w:p>
    <w:p>
      <w:pPr>
        <w:ind w:left="80" w:right="1020" w:firstLine="275"/>
        <w:spacing w:after="0" w:line="509" w:lineRule="auto"/>
        <w:rPr>
          <w:sz w:val="20"/>
          <w:szCs w:val="20"/>
          <w:color w:val="auto"/>
        </w:rPr>
      </w:pPr>
      <w:r>
        <w:rPr>
          <w:rFonts w:ascii="Arial" w:cs="Arial" w:eastAsia="Arial" w:hAnsi="Arial"/>
          <w:sz w:val="15"/>
          <w:szCs w:val="15"/>
          <w:color w:val="auto"/>
        </w:rPr>
        <w:t xml:space="preserve">For more information about the NORI exploration campaigns in 2012, 2013, 2018, 2019 and 2020, see Section 7 of the NORI Technical Report Summary. </w:t>
      </w:r>
      <w:r>
        <w:rPr>
          <w:rFonts w:ascii="Arial" w:cs="Arial" w:eastAsia="Arial" w:hAnsi="Arial"/>
          <w:sz w:val="15"/>
          <w:szCs w:val="15"/>
          <w:b w:val="1"/>
          <w:bCs w:val="1"/>
          <w:i w:val="1"/>
          <w:iCs w:val="1"/>
          <w:color w:val="auto"/>
        </w:rPr>
        <w:t>Mineral resource estimate</w:t>
      </w:r>
    </w:p>
    <w:p>
      <w:pPr>
        <w:jc w:val="both"/>
        <w:ind w:left="80" w:right="80" w:firstLine="274"/>
        <w:spacing w:after="0" w:line="299" w:lineRule="auto"/>
        <w:rPr>
          <w:sz w:val="20"/>
          <w:szCs w:val="20"/>
          <w:color w:val="auto"/>
        </w:rPr>
      </w:pPr>
      <w:r>
        <w:rPr>
          <w:rFonts w:ascii="Arial" w:cs="Arial" w:eastAsia="Arial" w:hAnsi="Arial"/>
          <w:sz w:val="15"/>
          <w:szCs w:val="15"/>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9"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37"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19"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measured mineral resource was assigned to the area within NORI Area D where box-core sampling was conducted on a nominal 7 kilometers by 7 kilometers spacing and infilled with estimates of nodule abundance from seafloor photography to a spacing of 3.5 kilometers by 3.5 kilometers.</w:t>
      </w:r>
    </w:p>
    <w:p>
      <w:pPr>
        <w:spacing w:after="0" w:line="119"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indicated mineral resource was assigned to the area within NORI Area D where box-core sampling was conducted on a nominal spacing of 7 kilometers by 7 kilometers or 10 kilometers by 10 kilometers but without additional photo-estimates of nodule abundance.</w:t>
      </w:r>
    </w:p>
    <w:p>
      <w:pPr>
        <w:spacing w:after="0" w:line="119" w:lineRule="exact"/>
        <w:rPr>
          <w:sz w:val="20"/>
          <w:szCs w:val="20"/>
          <w:color w:val="auto"/>
        </w:rPr>
      </w:pPr>
    </w:p>
    <w:p>
      <w:pPr>
        <w:jc w:val="both"/>
        <w:ind w:left="80" w:right="100" w:firstLine="275"/>
        <w:spacing w:after="0" w:line="337" w:lineRule="auto"/>
        <w:rPr>
          <w:sz w:val="20"/>
          <w:szCs w:val="20"/>
          <w:color w:val="auto"/>
        </w:rPr>
      </w:pPr>
      <w:r>
        <w:rPr>
          <w:rFonts w:ascii="Arial" w:cs="Arial" w:eastAsia="Arial" w:hAnsi="Arial"/>
          <w:sz w:val="14"/>
          <w:szCs w:val="14"/>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97" w:lineRule="exact"/>
        <w:rPr>
          <w:sz w:val="20"/>
          <w:szCs w:val="20"/>
          <w:color w:val="auto"/>
        </w:rPr>
      </w:pPr>
    </w:p>
    <w:p>
      <w:pPr>
        <w:jc w:val="both"/>
        <w:ind w:left="80" w:right="80" w:firstLine="275"/>
        <w:spacing w:after="0" w:line="282" w:lineRule="auto"/>
        <w:rPr>
          <w:sz w:val="20"/>
          <w:szCs w:val="20"/>
          <w:color w:val="auto"/>
        </w:rPr>
      </w:pPr>
      <w:r>
        <w:rPr>
          <w:rFonts w:ascii="Arial" w:cs="Arial" w:eastAsia="Arial" w:hAnsi="Arial"/>
          <w:sz w:val="14"/>
          <w:szCs w:val="14"/>
          <w:color w:val="auto"/>
        </w:rPr>
        <w:t>The mineral resource estimate for NORI Area D at a 4 kilogram/square meters abundance cut-off is set forth below. This cut-off is derived from the estimates of costs and revenues presented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133"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estimated mineral resources were determined in 2021 as of December 31, 2020 and also reflect the estimated mineral resources as of December 31, 2024, as none of the mineral resources in these areas were depleted by mining or any other activities. We do not believe there have been any other material changes to the estimated mineral resources since the 2021 determination thereof.</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NORI Area D December 31, 2024 In-Situ Mineral Resource estimate at 4 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abundance cut-off</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NORI Area</w:t>
            </w: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Category</w:t>
            </w: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Tonnes</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Abundance</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Nickel</w:t>
            </w:r>
          </w:p>
        </w:tc>
        <w:tc>
          <w:tcPr>
            <w:tcW w:w="680" w:type="dxa"/>
            <w:vAlign w:val="bottom"/>
          </w:tcPr>
          <w:p>
            <w:pPr>
              <w:jc w:val="right"/>
              <w:ind w:right="69"/>
              <w:spacing w:after="0"/>
              <w:rPr>
                <w:sz w:val="20"/>
                <w:szCs w:val="20"/>
                <w:color w:val="auto"/>
              </w:rPr>
            </w:pPr>
            <w:r>
              <w:rPr>
                <w:rFonts w:ascii="Arial" w:cs="Arial" w:eastAsia="Arial" w:hAnsi="Arial"/>
                <w:sz w:val="12"/>
                <w:szCs w:val="12"/>
                <w:b w:val="1"/>
                <w:bCs w:val="1"/>
                <w:color w:val="auto"/>
              </w:rPr>
              <w:t>Copper</w:t>
            </w:r>
          </w:p>
        </w:tc>
        <w:tc>
          <w:tcPr>
            <w:tcW w:w="14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Cobalt</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Manganese</w:t>
            </w:r>
          </w:p>
        </w:tc>
        <w:tc>
          <w:tcPr>
            <w:tcW w:w="680" w:type="dxa"/>
            <w:vAlign w:val="bottom"/>
          </w:tcPr>
          <w:p>
            <w:pPr>
              <w:jc w:val="right"/>
              <w:ind w:right="89"/>
              <w:spacing w:after="0"/>
              <w:rPr>
                <w:sz w:val="20"/>
                <w:szCs w:val="20"/>
                <w:color w:val="auto"/>
              </w:rPr>
            </w:pPr>
            <w:r>
              <w:rPr>
                <w:rFonts w:ascii="Arial" w:cs="Arial" w:eastAsia="Arial" w:hAnsi="Arial"/>
                <w:sz w:val="12"/>
                <w:szCs w:val="12"/>
                <w:b w:val="1"/>
                <w:bCs w:val="1"/>
                <w:color w:val="auto"/>
              </w:rPr>
              <w:t>Silicon</w:t>
            </w:r>
          </w:p>
        </w:tc>
        <w:tc>
          <w:tcPr>
            <w:tcW w:w="0" w:type="dxa"/>
            <w:vAlign w:val="bottom"/>
          </w:tcPr>
          <w:p>
            <w:pPr>
              <w:spacing w:after="0"/>
              <w:rPr>
                <w:sz w:val="1"/>
                <w:szCs w:val="1"/>
                <w:color w:val="auto"/>
              </w:rPr>
            </w:pPr>
          </w:p>
        </w:tc>
      </w:tr>
      <w:tr>
        <w:trPr>
          <w:trHeight w:val="149"/>
        </w:trPr>
        <w:tc>
          <w:tcPr>
            <w:tcW w:w="37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(Mt (wet))</w:t>
            </w:r>
          </w:p>
        </w:tc>
        <w:tc>
          <w:tcPr>
            <w:tcW w:w="920" w:type="dxa"/>
            <w:vAlign w:val="bottom"/>
            <w:gridSpan w:val="2"/>
          </w:tcPr>
          <w:p>
            <w:pPr>
              <w:ind w:left="80"/>
              <w:spacing w:after="0" w:line="149" w:lineRule="exact"/>
              <w:rPr>
                <w:sz w:val="20"/>
                <w:szCs w:val="20"/>
                <w:color w:val="auto"/>
              </w:rPr>
            </w:pPr>
            <w:r>
              <w:rPr>
                <w:rFonts w:ascii="Arial" w:cs="Arial" w:eastAsia="Arial" w:hAnsi="Arial"/>
                <w:sz w:val="12"/>
                <w:szCs w:val="12"/>
                <w:b w:val="1"/>
                <w:bCs w:val="1"/>
                <w:color w:val="auto"/>
              </w:rPr>
              <w:t>(wet kg/m</w:t>
            </w:r>
            <w:r>
              <w:rPr>
                <w:rFonts w:ascii="Arial" w:cs="Arial" w:eastAsia="Arial" w:hAnsi="Arial"/>
                <w:sz w:val="17"/>
                <w:szCs w:val="17"/>
                <w:b w:val="1"/>
                <w:bCs w:val="1"/>
                <w:color w:val="auto"/>
                <w:vertAlign w:val="superscript"/>
              </w:rPr>
              <w:t>2</w:t>
            </w:r>
            <w:r>
              <w:rPr>
                <w:rFonts w:ascii="Arial" w:cs="Arial" w:eastAsia="Arial" w:hAnsi="Arial"/>
                <w:sz w:val="12"/>
                <w:szCs w:val="12"/>
                <w:b w:val="1"/>
                <w:bCs w:val="1"/>
                <w:color w:val="auto"/>
              </w:rPr>
              <w:t>)</w:t>
            </w:r>
          </w:p>
        </w:tc>
        <w:tc>
          <w:tcPr>
            <w:tcW w:w="680" w:type="dxa"/>
            <w:vAlign w:val="bottom"/>
          </w:tcPr>
          <w:p>
            <w:pPr>
              <w:jc w:val="right"/>
              <w:ind w:right="169"/>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680" w:type="dxa"/>
            <w:vAlign w:val="bottom"/>
          </w:tcPr>
          <w:p>
            <w:pPr>
              <w:jc w:val="right"/>
              <w:ind w:right="169"/>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171"/>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78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680" w:type="dxa"/>
            <w:vAlign w:val="bottom"/>
          </w:tcPr>
          <w:p>
            <w:pPr>
              <w:jc w:val="right"/>
              <w:ind w:right="16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354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D</w:t>
            </w:r>
          </w:p>
        </w:tc>
        <w:tc>
          <w:tcPr>
            <w:tcW w:w="160" w:type="dxa"/>
            <w:vAlign w:val="bottom"/>
            <w:tcBorders>
              <w:top w:val="single" w:sz="8" w:color="D2EEF5"/>
            </w:tcBorders>
            <w:shd w:val="clear" w:color="auto" w:fill="D2EEF5"/>
          </w:tcPr>
          <w:p>
            <w:pPr>
              <w:spacing w:after="0"/>
              <w:rPr>
                <w:sz w:val="15"/>
                <w:szCs w:val="15"/>
                <w:color w:val="auto"/>
              </w:rPr>
            </w:pPr>
          </w:p>
        </w:tc>
        <w:tc>
          <w:tcPr>
            <w:tcW w:w="98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89"/>
              </w:rPr>
              <w:t>Measured</w:t>
            </w:r>
          </w:p>
        </w:tc>
        <w:tc>
          <w:tcPr>
            <w:tcW w:w="140" w:type="dxa"/>
            <w:vAlign w:val="bottom"/>
            <w:tcBorders>
              <w:top w:val="single" w:sz="8" w:color="D2EEF5"/>
            </w:tcBorders>
            <w:shd w:val="clear" w:color="auto" w:fill="D2EEF5"/>
          </w:tcPr>
          <w:p>
            <w:pPr>
              <w:spacing w:after="0"/>
              <w:rPr>
                <w:sz w:val="15"/>
                <w:szCs w:val="15"/>
                <w:color w:val="auto"/>
              </w:rPr>
            </w:pPr>
          </w:p>
        </w:tc>
        <w:tc>
          <w:tcPr>
            <w:tcW w:w="7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w:t>
            </w:r>
          </w:p>
        </w:tc>
        <w:tc>
          <w:tcPr>
            <w:tcW w:w="140" w:type="dxa"/>
            <w:vAlign w:val="bottom"/>
            <w:tcBorders>
              <w:top w:val="single" w:sz="8" w:color="D2EEF5"/>
            </w:tcBorders>
            <w:shd w:val="clear" w:color="auto" w:fill="D2EEF5"/>
          </w:tcPr>
          <w:p>
            <w:pPr>
              <w:spacing w:after="0"/>
              <w:rPr>
                <w:sz w:val="15"/>
                <w:szCs w:val="15"/>
                <w:color w:val="auto"/>
              </w:rPr>
            </w:pPr>
          </w:p>
        </w:tc>
        <w:tc>
          <w:tcPr>
            <w:tcW w:w="7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18.6</w:t>
            </w:r>
          </w:p>
        </w:tc>
        <w:tc>
          <w:tcPr>
            <w:tcW w:w="140" w:type="dxa"/>
            <w:vAlign w:val="bottom"/>
            <w:tcBorders>
              <w:top w:val="single" w:sz="8" w:color="D2EEF5"/>
            </w:tcBorders>
            <w:shd w:val="clear" w:color="auto" w:fill="D2EEF5"/>
          </w:tcPr>
          <w:p>
            <w:pPr>
              <w:spacing w:after="0"/>
              <w:rPr>
                <w:sz w:val="15"/>
                <w:szCs w:val="15"/>
                <w:color w:val="auto"/>
              </w:rPr>
            </w:pP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1.42</w:t>
            </w:r>
          </w:p>
        </w:tc>
        <w:tc>
          <w:tcPr>
            <w:tcW w:w="140" w:type="dxa"/>
            <w:vAlign w:val="bottom"/>
            <w:tcBorders>
              <w:top w:val="single" w:sz="8" w:color="D2EEF5"/>
            </w:tcBorders>
            <w:shd w:val="clear" w:color="auto" w:fill="D2EEF5"/>
          </w:tcPr>
          <w:p>
            <w:pPr>
              <w:spacing w:after="0"/>
              <w:rPr>
                <w:sz w:val="15"/>
                <w:szCs w:val="15"/>
                <w:color w:val="auto"/>
              </w:rPr>
            </w:pP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1.16</w:t>
            </w:r>
          </w:p>
        </w:tc>
        <w:tc>
          <w:tcPr>
            <w:tcW w:w="140" w:type="dxa"/>
            <w:vAlign w:val="bottom"/>
            <w:tcBorders>
              <w:top w:val="single" w:sz="8" w:color="D2EEF5"/>
            </w:tcBorders>
            <w:shd w:val="clear" w:color="auto" w:fill="D2EEF5"/>
          </w:tcPr>
          <w:p>
            <w:pPr>
              <w:spacing w:after="0"/>
              <w:rPr>
                <w:sz w:val="15"/>
                <w:szCs w:val="15"/>
                <w:color w:val="auto"/>
              </w:rPr>
            </w:pP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0.13</w:t>
            </w:r>
          </w:p>
        </w:tc>
        <w:tc>
          <w:tcPr>
            <w:tcW w:w="140" w:type="dxa"/>
            <w:vAlign w:val="bottom"/>
            <w:tcBorders>
              <w:top w:val="single" w:sz="8" w:color="D2EEF5"/>
            </w:tcBorders>
            <w:shd w:val="clear" w:color="auto" w:fill="D2EEF5"/>
          </w:tcPr>
          <w:p>
            <w:pPr>
              <w:spacing w:after="0"/>
              <w:rPr>
                <w:sz w:val="15"/>
                <w:szCs w:val="15"/>
                <w:color w:val="auto"/>
              </w:rPr>
            </w:pPr>
          </w:p>
        </w:tc>
        <w:tc>
          <w:tcPr>
            <w:tcW w:w="7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32.2</w:t>
            </w:r>
          </w:p>
        </w:tc>
        <w:tc>
          <w:tcPr>
            <w:tcW w:w="140" w:type="dxa"/>
            <w:vAlign w:val="bottom"/>
            <w:tcBorders>
              <w:top w:val="single" w:sz="8" w:color="D2EEF5"/>
            </w:tcBorders>
            <w:shd w:val="clear" w:color="auto" w:fill="D2EEF5"/>
          </w:tcPr>
          <w:p>
            <w:pPr>
              <w:spacing w:after="0"/>
              <w:rPr>
                <w:sz w:val="15"/>
                <w:szCs w:val="15"/>
                <w:color w:val="auto"/>
              </w:rPr>
            </w:pP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183"/>
        </w:trPr>
        <w:tc>
          <w:tcPr>
            <w:tcW w:w="3700" w:type="dxa"/>
            <w:vAlign w:val="bottom"/>
            <w:gridSpan w:val="2"/>
          </w:tcPr>
          <w:p>
            <w:pPr>
              <w:spacing w:after="0"/>
              <w:rPr>
                <w:sz w:val="20"/>
                <w:szCs w:val="20"/>
                <w:color w:val="auto"/>
              </w:rPr>
            </w:pPr>
            <w:r>
              <w:rPr>
                <w:rFonts w:ascii="Arial" w:cs="Arial" w:eastAsia="Arial" w:hAnsi="Arial"/>
                <w:sz w:val="15"/>
                <w:szCs w:val="15"/>
                <w:color w:val="auto"/>
              </w:rPr>
              <w:t>D</w:t>
            </w:r>
          </w:p>
        </w:tc>
        <w:tc>
          <w:tcPr>
            <w:tcW w:w="1120" w:type="dxa"/>
            <w:vAlign w:val="bottom"/>
            <w:gridSpan w:val="2"/>
          </w:tcPr>
          <w:p>
            <w:pPr>
              <w:jc w:val="center"/>
              <w:ind w:right="140"/>
              <w:spacing w:after="0"/>
              <w:rPr>
                <w:sz w:val="20"/>
                <w:szCs w:val="20"/>
                <w:color w:val="auto"/>
              </w:rPr>
            </w:pPr>
            <w:r>
              <w:rPr>
                <w:rFonts w:ascii="Arial" w:cs="Arial" w:eastAsia="Arial" w:hAnsi="Arial"/>
                <w:sz w:val="15"/>
                <w:szCs w:val="15"/>
                <w:color w:val="auto"/>
                <w:w w:val="95"/>
              </w:rPr>
              <w:t>Indicated</w:t>
            </w:r>
          </w:p>
        </w:tc>
        <w:tc>
          <w:tcPr>
            <w:tcW w:w="700" w:type="dxa"/>
            <w:vAlign w:val="bottom"/>
          </w:tcPr>
          <w:p>
            <w:pPr>
              <w:jc w:val="right"/>
              <w:spacing w:after="0"/>
              <w:rPr>
                <w:sz w:val="20"/>
                <w:szCs w:val="20"/>
                <w:color w:val="auto"/>
              </w:rPr>
            </w:pPr>
            <w:r>
              <w:rPr>
                <w:rFonts w:ascii="Arial" w:cs="Arial" w:eastAsia="Arial" w:hAnsi="Arial"/>
                <w:sz w:val="15"/>
                <w:szCs w:val="15"/>
                <w:color w:val="auto"/>
              </w:rPr>
              <w:t>341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0.14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31.2</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162"/>
        </w:trPr>
        <w:tc>
          <w:tcPr>
            <w:tcW w:w="3540" w:type="dxa"/>
            <w:vAlign w:val="bottom"/>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1120" w:type="dxa"/>
            <w:vAlign w:val="bottom"/>
            <w:gridSpan w:val="2"/>
            <w:shd w:val="clear" w:color="auto" w:fill="D2EEF5"/>
          </w:tcPr>
          <w:p>
            <w:pPr>
              <w:jc w:val="center"/>
              <w:ind w:right="160"/>
              <w:spacing w:after="0" w:line="161" w:lineRule="exact"/>
              <w:rPr>
                <w:sz w:val="20"/>
                <w:szCs w:val="20"/>
                <w:color w:val="auto"/>
              </w:rPr>
            </w:pPr>
            <w:r>
              <w:rPr>
                <w:rFonts w:ascii="Arial" w:cs="Arial" w:eastAsia="Arial" w:hAnsi="Arial"/>
                <w:sz w:val="15"/>
                <w:szCs w:val="15"/>
                <w:color w:val="auto"/>
                <w:w w:val="90"/>
              </w:rPr>
              <w:t>Measured +</w:t>
            </w:r>
          </w:p>
        </w:tc>
        <w:tc>
          <w:tcPr>
            <w:tcW w:w="70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78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68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68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68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78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680" w:type="dxa"/>
            <w:vAlign w:val="bottom"/>
            <w:shd w:val="clear" w:color="auto" w:fill="D2EEF5"/>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D</w:t>
            </w:r>
          </w:p>
        </w:tc>
        <w:tc>
          <w:tcPr>
            <w:tcW w:w="1120" w:type="dxa"/>
            <w:vAlign w:val="bottom"/>
            <w:gridSpan w:val="2"/>
            <w:shd w:val="clear" w:color="auto" w:fill="D2EEF5"/>
          </w:tcPr>
          <w:p>
            <w:pPr>
              <w:jc w:val="center"/>
              <w:ind w:right="140"/>
              <w:spacing w:after="0"/>
              <w:rPr>
                <w:sz w:val="20"/>
                <w:szCs w:val="20"/>
                <w:color w:val="auto"/>
              </w:rPr>
            </w:pPr>
            <w:r>
              <w:rPr>
                <w:rFonts w:ascii="Arial" w:cs="Arial" w:eastAsia="Arial" w:hAnsi="Arial"/>
                <w:sz w:val="15"/>
                <w:szCs w:val="15"/>
                <w:color w:val="auto"/>
                <w:w w:val="95"/>
              </w:rPr>
              <w:t>Indicated</w:t>
            </w: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345</w:t>
            </w:r>
          </w:p>
        </w:tc>
        <w:tc>
          <w:tcPr>
            <w:tcW w:w="140" w:type="dxa"/>
            <w:vAlign w:val="bottom"/>
            <w:shd w:val="clear" w:color="auto" w:fill="D2EEF5"/>
          </w:tcPr>
          <w:p>
            <w:pPr>
              <w:spacing w:after="0"/>
              <w:rPr>
                <w:sz w:val="17"/>
                <w:szCs w:val="17"/>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17.1</w:t>
            </w:r>
          </w:p>
        </w:tc>
        <w:tc>
          <w:tcPr>
            <w:tcW w:w="140" w:type="dxa"/>
            <w:vAlign w:val="bottom"/>
            <w:shd w:val="clear" w:color="auto" w:fill="D2EEF5"/>
          </w:tcPr>
          <w:p>
            <w:pPr>
              <w:spacing w:after="0"/>
              <w:rPr>
                <w:sz w:val="17"/>
                <w:szCs w:val="17"/>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1.40</w:t>
            </w:r>
          </w:p>
        </w:tc>
        <w:tc>
          <w:tcPr>
            <w:tcW w:w="140" w:type="dxa"/>
            <w:vAlign w:val="bottom"/>
            <w:shd w:val="clear" w:color="auto" w:fill="D2EEF5"/>
          </w:tcPr>
          <w:p>
            <w:pPr>
              <w:spacing w:after="0"/>
              <w:rPr>
                <w:sz w:val="17"/>
                <w:szCs w:val="17"/>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1.14</w:t>
            </w:r>
          </w:p>
        </w:tc>
        <w:tc>
          <w:tcPr>
            <w:tcW w:w="82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0.14</w:t>
            </w:r>
          </w:p>
        </w:tc>
        <w:tc>
          <w:tcPr>
            <w:tcW w:w="140" w:type="dxa"/>
            <w:vAlign w:val="bottom"/>
            <w:shd w:val="clear" w:color="auto" w:fill="D2EEF5"/>
          </w:tcPr>
          <w:p>
            <w:pPr>
              <w:spacing w:after="0"/>
              <w:rPr>
                <w:sz w:val="17"/>
                <w:szCs w:val="17"/>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31.2</w:t>
            </w:r>
          </w:p>
        </w:tc>
        <w:tc>
          <w:tcPr>
            <w:tcW w:w="140" w:type="dxa"/>
            <w:vAlign w:val="bottom"/>
            <w:shd w:val="clear" w:color="auto" w:fill="D2EEF5"/>
          </w:tcPr>
          <w:p>
            <w:pPr>
              <w:spacing w:after="0"/>
              <w:rPr>
                <w:sz w:val="17"/>
                <w:szCs w:val="17"/>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205"/>
        </w:trPr>
        <w:tc>
          <w:tcPr>
            <w:tcW w:w="3700" w:type="dxa"/>
            <w:vAlign w:val="bottom"/>
            <w:gridSpan w:val="2"/>
          </w:tcPr>
          <w:p>
            <w:pPr>
              <w:spacing w:after="0"/>
              <w:rPr>
                <w:sz w:val="20"/>
                <w:szCs w:val="20"/>
                <w:color w:val="auto"/>
              </w:rPr>
            </w:pPr>
            <w:r>
              <w:rPr>
                <w:rFonts w:ascii="Arial" w:cs="Arial" w:eastAsia="Arial" w:hAnsi="Arial"/>
                <w:sz w:val="15"/>
                <w:szCs w:val="15"/>
                <w:color w:val="auto"/>
              </w:rPr>
              <w:t>D</w:t>
            </w:r>
          </w:p>
        </w:tc>
        <w:tc>
          <w:tcPr>
            <w:tcW w:w="1120" w:type="dxa"/>
            <w:vAlign w:val="bottom"/>
            <w:gridSpan w:val="2"/>
          </w:tcPr>
          <w:p>
            <w:pPr>
              <w:jc w:val="center"/>
              <w:ind w:right="140"/>
              <w:spacing w:after="0"/>
              <w:rPr>
                <w:sz w:val="20"/>
                <w:szCs w:val="20"/>
                <w:color w:val="auto"/>
              </w:rPr>
            </w:pPr>
            <w:r>
              <w:rPr>
                <w:rFonts w:ascii="Arial" w:cs="Arial" w:eastAsia="Arial" w:hAnsi="Arial"/>
                <w:sz w:val="15"/>
                <w:szCs w:val="15"/>
                <w:color w:val="auto"/>
                <w:w w:val="96"/>
              </w:rPr>
              <w:t>Inferred</w:t>
            </w: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1.38</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0.12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31.0</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47625</wp:posOffset>
                </wp:positionV>
                <wp:extent cx="168465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89">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3.75pt" to="136.65pt,3.75pt" o:allowincell="f" strokecolor="#000000" strokeweight="0.5739pt"/>
            </w:pict>
          </mc:Fallback>
        </mc:AlternateContent>
      </w:r>
    </w:p>
    <w:p>
      <w:pPr>
        <w:spacing w:after="0" w:line="120" w:lineRule="exact"/>
        <w:rPr>
          <w:sz w:val="20"/>
          <w:szCs w:val="20"/>
          <w:color w:val="auto"/>
        </w:rPr>
      </w:pPr>
    </w:p>
    <w:p>
      <w:pPr>
        <w:jc w:val="both"/>
        <w:ind w:left="80" w:right="80"/>
        <w:spacing w:after="0" w:line="299" w:lineRule="auto"/>
        <w:rPr>
          <w:sz w:val="20"/>
          <w:szCs w:val="20"/>
          <w:color w:val="auto"/>
        </w:rPr>
      </w:pPr>
      <w:r>
        <w:rPr>
          <w:rFonts w:ascii="Arial" w:cs="Arial" w:eastAsia="Arial" w:hAnsi="Arial"/>
          <w:sz w:val="15"/>
          <w:szCs w:val="15"/>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19" w:lineRule="exact"/>
        <w:rPr>
          <w:sz w:val="20"/>
          <w:szCs w:val="20"/>
          <w:color w:val="auto"/>
        </w:rPr>
      </w:pPr>
    </w:p>
    <w:p>
      <w:pPr>
        <w:jc w:val="both"/>
        <w:ind w:left="80" w:right="80" w:firstLine="276"/>
        <w:spacing w:after="0" w:line="241" w:lineRule="auto"/>
        <w:rPr>
          <w:sz w:val="20"/>
          <w:szCs w:val="20"/>
          <w:color w:val="auto"/>
        </w:rPr>
      </w:pPr>
      <w:r>
        <w:rPr>
          <w:rFonts w:ascii="Arial" w:cs="Arial" w:eastAsia="Arial" w:hAnsi="Arial"/>
          <w:sz w:val="15"/>
          <w:szCs w:val="15"/>
          <w:color w:val="auto"/>
        </w:rPr>
        <w:t xml:space="preserve">Due to the extremely low variance in the grades and the high metal content of the nodules, a cut-off based on abundance is appropriate for determining the limits of economic exploitation. A cut-off of 4 kg/m </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copper metal $6,872/t; cobalt metal $46,333/t; cobalt in manganese in manganese silicate $4.50/dmtu. The price estimates are long term (2034 – 2046) forecasts provided in a report by CRU International Limited (CRU, October 23, 2020). The Qualified Person considered that this timeframe is reasonable in view of the likely time required to bring the majority of the NORI mineral resources into production.</w:t>
      </w:r>
    </w:p>
    <w:p>
      <w:pPr>
        <w:spacing w:after="0" w:line="161"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Sampling of NORI Area D at a spacing of 10 kilometers by 10 kilometers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46" w:lineRule="exact"/>
        <w:rPr>
          <w:sz w:val="20"/>
          <w:szCs w:val="20"/>
          <w:color w:val="auto"/>
        </w:rPr>
      </w:pPr>
    </w:p>
    <w:p>
      <w:pPr>
        <w:jc w:val="both"/>
        <w:ind w:left="80" w:right="80" w:firstLine="274"/>
        <w:spacing w:after="0" w:line="257" w:lineRule="auto"/>
        <w:rPr>
          <w:sz w:val="20"/>
          <w:szCs w:val="20"/>
          <w:color w:val="auto"/>
        </w:rPr>
      </w:pPr>
      <w:r>
        <w:rPr>
          <w:rFonts w:ascii="Arial" w:cs="Arial" w:eastAsia="Arial" w:hAnsi="Arial"/>
          <w:sz w:val="14"/>
          <w:szCs w:val="14"/>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Arial" w:cs="Arial" w:eastAsia="Arial" w:hAnsi="Arial"/>
          <w:sz w:val="20"/>
          <w:szCs w:val="20"/>
          <w:color w:val="auto"/>
          <w:vertAlign w:val="superscript"/>
        </w:rPr>
        <w:t>2</w:t>
      </w:r>
      <w:r>
        <w:rPr>
          <w:rFonts w:ascii="Arial" w:cs="Arial" w:eastAsia="Arial" w:hAnsi="Arial"/>
          <w:sz w:val="14"/>
          <w:szCs w:val="14"/>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151" w:lineRule="exact"/>
        <w:rPr>
          <w:sz w:val="20"/>
          <w:szCs w:val="20"/>
          <w:color w:val="auto"/>
        </w:rPr>
      </w:pPr>
    </w:p>
    <w:p>
      <w:pPr>
        <w:jc w:val="both"/>
        <w:ind w:left="80" w:right="80" w:firstLine="275"/>
        <w:spacing w:after="0" w:line="238" w:lineRule="auto"/>
        <w:rPr>
          <w:sz w:val="20"/>
          <w:szCs w:val="20"/>
          <w:color w:val="auto"/>
        </w:rPr>
      </w:pPr>
      <w:r>
        <w:rPr>
          <w:rFonts w:ascii="Arial" w:cs="Arial" w:eastAsia="Arial" w:hAnsi="Arial"/>
          <w:sz w:val="15"/>
          <w:szCs w:val="15"/>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at a 4 kg/m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163"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estimated mineral resources were determined in 2021 as of December 31, 2020 and also reflect the estimated mineral resources as of December 31, 2024, as none of the mineral resources in these areas were depleted by mining or any other activities. We do not believe there have been any other material changes to the estimated mineral resources since the 2021 determination thereof.</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NORI Area A, B and C December 31, 2024 In-Situ Mineral Resource estimate at 4 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abundance cut-off</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3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NORI Area</w:t>
            </w:r>
          </w:p>
        </w:tc>
        <w:tc>
          <w:tcPr>
            <w:tcW w:w="9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Category</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Nodule tonnage</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Abundance</w:t>
            </w:r>
          </w:p>
        </w:tc>
        <w:tc>
          <w:tcPr>
            <w:tcW w:w="980" w:type="dxa"/>
            <w:vAlign w:val="bottom"/>
            <w:gridSpan w:val="2"/>
          </w:tcPr>
          <w:p>
            <w:pPr>
              <w:ind w:left="340"/>
              <w:spacing w:after="0"/>
              <w:rPr>
                <w:sz w:val="20"/>
                <w:szCs w:val="20"/>
                <w:color w:val="auto"/>
              </w:rPr>
            </w:pPr>
            <w:r>
              <w:rPr>
                <w:rFonts w:ascii="Arial" w:cs="Arial" w:eastAsia="Arial" w:hAnsi="Arial"/>
                <w:sz w:val="12"/>
                <w:szCs w:val="12"/>
                <w:b w:val="1"/>
                <w:bCs w:val="1"/>
                <w:color w:val="auto"/>
              </w:rPr>
              <w:t>Ni</w:t>
            </w:r>
          </w:p>
        </w:tc>
        <w:tc>
          <w:tcPr>
            <w:tcW w:w="1000" w:type="dxa"/>
            <w:vAlign w:val="bottom"/>
            <w:gridSpan w:val="2"/>
          </w:tcPr>
          <w:p>
            <w:pPr>
              <w:ind w:left="340"/>
              <w:spacing w:after="0"/>
              <w:rPr>
                <w:sz w:val="20"/>
                <w:szCs w:val="20"/>
                <w:color w:val="auto"/>
              </w:rPr>
            </w:pPr>
            <w:r>
              <w:rPr>
                <w:rFonts w:ascii="Arial" w:cs="Arial" w:eastAsia="Arial" w:hAnsi="Arial"/>
                <w:sz w:val="12"/>
                <w:szCs w:val="12"/>
                <w:b w:val="1"/>
                <w:bCs w:val="1"/>
                <w:color w:val="auto"/>
              </w:rPr>
              <w:t>Cu</w:t>
            </w:r>
          </w:p>
        </w:tc>
        <w:tc>
          <w:tcPr>
            <w:tcW w:w="980" w:type="dxa"/>
            <w:vAlign w:val="bottom"/>
            <w:gridSpan w:val="2"/>
          </w:tcPr>
          <w:p>
            <w:pPr>
              <w:ind w:left="320"/>
              <w:spacing w:after="0"/>
              <w:rPr>
                <w:sz w:val="20"/>
                <w:szCs w:val="20"/>
                <w:color w:val="auto"/>
              </w:rPr>
            </w:pPr>
            <w:r>
              <w:rPr>
                <w:rFonts w:ascii="Arial" w:cs="Arial" w:eastAsia="Arial" w:hAnsi="Arial"/>
                <w:sz w:val="12"/>
                <w:szCs w:val="12"/>
                <w:b w:val="1"/>
                <w:bCs w:val="1"/>
                <w:color w:val="auto"/>
              </w:rPr>
              <w:t>Co</w:t>
            </w:r>
          </w:p>
        </w:tc>
        <w:tc>
          <w:tcPr>
            <w:tcW w:w="800" w:type="dxa"/>
            <w:vAlign w:val="bottom"/>
          </w:tcPr>
          <w:p>
            <w:pPr>
              <w:jc w:val="right"/>
              <w:ind w:right="250"/>
              <w:spacing w:after="0"/>
              <w:rPr>
                <w:sz w:val="20"/>
                <w:szCs w:val="20"/>
                <w:color w:val="auto"/>
              </w:rPr>
            </w:pPr>
            <w:r>
              <w:rPr>
                <w:rFonts w:ascii="Arial" w:cs="Arial" w:eastAsia="Arial" w:hAnsi="Arial"/>
                <w:sz w:val="12"/>
                <w:szCs w:val="12"/>
                <w:b w:val="1"/>
                <w:bCs w:val="1"/>
                <w:color w:val="auto"/>
              </w:rPr>
              <w:t>Mn</w:t>
            </w:r>
          </w:p>
        </w:tc>
        <w:tc>
          <w:tcPr>
            <w:tcW w:w="0" w:type="dxa"/>
            <w:vAlign w:val="bottom"/>
          </w:tcPr>
          <w:p>
            <w:pPr>
              <w:spacing w:after="0"/>
              <w:rPr>
                <w:sz w:val="1"/>
                <w:szCs w:val="1"/>
                <w:color w:val="auto"/>
              </w:rPr>
            </w:pPr>
          </w:p>
        </w:tc>
      </w:tr>
      <w:tr>
        <w:trPr>
          <w:trHeight w:val="149"/>
        </w:trPr>
        <w:tc>
          <w:tcPr>
            <w:tcW w:w="368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(Mt (wet))</w:t>
            </w:r>
          </w:p>
        </w:tc>
        <w:tc>
          <w:tcPr>
            <w:tcW w:w="980" w:type="dxa"/>
            <w:vAlign w:val="bottom"/>
            <w:gridSpan w:val="2"/>
          </w:tcPr>
          <w:p>
            <w:pPr>
              <w:ind w:left="100"/>
              <w:spacing w:after="0" w:line="149" w:lineRule="exact"/>
              <w:rPr>
                <w:sz w:val="20"/>
                <w:szCs w:val="20"/>
                <w:color w:val="auto"/>
              </w:rPr>
            </w:pPr>
            <w:r>
              <w:rPr>
                <w:rFonts w:ascii="Arial" w:cs="Arial" w:eastAsia="Arial" w:hAnsi="Arial"/>
                <w:sz w:val="12"/>
                <w:szCs w:val="12"/>
                <w:b w:val="1"/>
                <w:bCs w:val="1"/>
                <w:color w:val="auto"/>
              </w:rPr>
              <w:t>(wet kg/m</w:t>
            </w:r>
            <w:r>
              <w:rPr>
                <w:rFonts w:ascii="Arial" w:cs="Arial" w:eastAsia="Arial" w:hAnsi="Arial"/>
                <w:sz w:val="17"/>
                <w:szCs w:val="17"/>
                <w:b w:val="1"/>
                <w:bCs w:val="1"/>
                <w:color w:val="auto"/>
                <w:vertAlign w:val="superscript"/>
              </w:rPr>
              <w:t>2</w:t>
            </w:r>
            <w:r>
              <w:rPr>
                <w:rFonts w:ascii="Arial" w:cs="Arial" w:eastAsia="Arial" w:hAnsi="Arial"/>
                <w:sz w:val="12"/>
                <w:szCs w:val="12"/>
                <w:b w:val="1"/>
                <w:bCs w:val="1"/>
                <w:color w:val="auto"/>
              </w:rPr>
              <w:t>)</w:t>
            </w:r>
          </w:p>
        </w:tc>
        <w:tc>
          <w:tcPr>
            <w:tcW w:w="80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00" w:type="dxa"/>
            <w:vAlign w:val="bottom"/>
          </w:tcPr>
          <w:p>
            <w:pPr>
              <w:jc w:val="right"/>
              <w:ind w:right="21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80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0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3500" w:type="dxa"/>
            <w:vAlign w:val="bottom"/>
            <w:tcBorders>
              <w:top w:val="single" w:sz="8" w:color="auto"/>
            </w:tcBorders>
            <w:gridSpan w:val="2"/>
            <w:shd w:val="clear" w:color="auto" w:fill="D2EEF5"/>
          </w:tcPr>
          <w:p>
            <w:pPr>
              <w:spacing w:after="0"/>
              <w:rPr>
                <w:sz w:val="20"/>
                <w:szCs w:val="20"/>
                <w:color w:val="auto"/>
              </w:rPr>
            </w:pPr>
            <w:r>
              <w:rPr>
                <w:rFonts w:ascii="Arial" w:cs="Arial" w:eastAsia="Arial" w:hAnsi="Arial"/>
                <w:sz w:val="15"/>
                <w:szCs w:val="15"/>
                <w:color w:val="auto"/>
              </w:rPr>
              <w:t>A</w:t>
            </w:r>
          </w:p>
        </w:tc>
        <w:tc>
          <w:tcPr>
            <w:tcW w:w="18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ind w:left="160"/>
              <w:spacing w:after="0"/>
              <w:rPr>
                <w:sz w:val="20"/>
                <w:szCs w:val="20"/>
                <w:color w:val="auto"/>
              </w:rPr>
            </w:pPr>
            <w:r>
              <w:rPr>
                <w:rFonts w:ascii="Arial" w:cs="Arial" w:eastAsia="Arial" w:hAnsi="Arial"/>
                <w:sz w:val="15"/>
                <w:szCs w:val="15"/>
                <w:color w:val="auto"/>
              </w:rPr>
              <w:t>Inferred</w:t>
            </w:r>
          </w:p>
        </w:tc>
        <w:tc>
          <w:tcPr>
            <w:tcW w:w="180" w:type="dxa"/>
            <w:vAlign w:val="bottom"/>
            <w:tcBorders>
              <w:top w:val="single" w:sz="8" w:color="D2EEF5"/>
            </w:tcBorders>
            <w:shd w:val="clear" w:color="auto" w:fill="D2EEF5"/>
          </w:tcPr>
          <w:p>
            <w:pPr>
              <w:spacing w:after="0"/>
              <w:rPr>
                <w:sz w:val="15"/>
                <w:szCs w:val="15"/>
                <w:color w:val="auto"/>
              </w:rPr>
            </w:pPr>
          </w:p>
        </w:tc>
        <w:tc>
          <w:tcPr>
            <w:tcW w:w="10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72</w:t>
            </w:r>
          </w:p>
        </w:tc>
        <w:tc>
          <w:tcPr>
            <w:tcW w:w="18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9.4</w:t>
            </w:r>
          </w:p>
        </w:tc>
        <w:tc>
          <w:tcPr>
            <w:tcW w:w="18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1.35</w:t>
            </w:r>
          </w:p>
        </w:tc>
        <w:tc>
          <w:tcPr>
            <w:tcW w:w="18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1.06</w:t>
            </w:r>
          </w:p>
        </w:tc>
        <w:tc>
          <w:tcPr>
            <w:tcW w:w="20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0.22</w:t>
            </w:r>
          </w:p>
        </w:tc>
        <w:tc>
          <w:tcPr>
            <w:tcW w:w="18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5"/>
                <w:szCs w:val="15"/>
                <w:color w:val="auto"/>
              </w:rPr>
              <w:t>B</w:t>
            </w:r>
          </w:p>
        </w:tc>
        <w:tc>
          <w:tcPr>
            <w:tcW w:w="980" w:type="dxa"/>
            <w:vAlign w:val="bottom"/>
            <w:gridSpan w:val="2"/>
          </w:tcPr>
          <w:p>
            <w:pPr>
              <w:ind w:left="160"/>
              <w:spacing w:after="0"/>
              <w:rPr>
                <w:sz w:val="20"/>
                <w:szCs w:val="20"/>
                <w:color w:val="auto"/>
              </w:rPr>
            </w:pPr>
            <w:r>
              <w:rPr>
                <w:rFonts w:ascii="Arial" w:cs="Arial" w:eastAsia="Arial" w:hAnsi="Arial"/>
                <w:sz w:val="15"/>
                <w:szCs w:val="15"/>
                <w:color w:val="auto"/>
              </w:rPr>
              <w:t>Inferred</w:t>
            </w:r>
          </w:p>
        </w:tc>
        <w:tc>
          <w:tcPr>
            <w:tcW w:w="1060" w:type="dxa"/>
            <w:vAlign w:val="bottom"/>
          </w:tcPr>
          <w:p>
            <w:pPr>
              <w:jc w:val="right"/>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1.43</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1.13</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0.25</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r>
        <w:trPr>
          <w:trHeight w:val="183"/>
        </w:trPr>
        <w:tc>
          <w:tcPr>
            <w:tcW w:w="3680" w:type="dxa"/>
            <w:vAlign w:val="bottom"/>
            <w:gridSpan w:val="3"/>
            <w:shd w:val="clear" w:color="auto" w:fill="D2EEF5"/>
          </w:tcPr>
          <w:p>
            <w:pPr>
              <w:spacing w:after="0"/>
              <w:rPr>
                <w:sz w:val="20"/>
                <w:szCs w:val="20"/>
                <w:color w:val="auto"/>
              </w:rPr>
            </w:pPr>
            <w:r>
              <w:rPr>
                <w:rFonts w:ascii="Arial" w:cs="Arial" w:eastAsia="Arial" w:hAnsi="Arial"/>
                <w:sz w:val="15"/>
                <w:szCs w:val="15"/>
                <w:color w:val="auto"/>
              </w:rPr>
              <w:t>C</w:t>
            </w:r>
          </w:p>
        </w:tc>
        <w:tc>
          <w:tcPr>
            <w:tcW w:w="980" w:type="dxa"/>
            <w:vAlign w:val="bottom"/>
            <w:gridSpan w:val="2"/>
            <w:shd w:val="clear" w:color="auto" w:fill="D2EEF5"/>
          </w:tcPr>
          <w:p>
            <w:pPr>
              <w:ind w:left="160"/>
              <w:spacing w:after="0"/>
              <w:rPr>
                <w:sz w:val="20"/>
                <w:szCs w:val="20"/>
                <w:color w:val="auto"/>
              </w:rPr>
            </w:pPr>
            <w:r>
              <w:rPr>
                <w:rFonts w:ascii="Arial" w:cs="Arial" w:eastAsia="Arial" w:hAnsi="Arial"/>
                <w:sz w:val="15"/>
                <w:szCs w:val="15"/>
                <w:color w:val="auto"/>
              </w:rPr>
              <w:t>Inferred</w:t>
            </w: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402</w:t>
            </w:r>
          </w:p>
        </w:tc>
        <w:tc>
          <w:tcPr>
            <w:tcW w:w="180" w:type="dxa"/>
            <w:vAlign w:val="bottom"/>
            <w:shd w:val="clear" w:color="auto" w:fill="D2EEF5"/>
          </w:tcPr>
          <w:p>
            <w:pPr>
              <w:spacing w:after="0"/>
              <w:rPr>
                <w:sz w:val="15"/>
                <w:szCs w:val="15"/>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D2EEF5"/>
          </w:tcPr>
          <w:p>
            <w:pPr>
              <w:spacing w:after="0"/>
              <w:rPr>
                <w:sz w:val="15"/>
                <w:szCs w:val="15"/>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1.26</w:t>
            </w:r>
          </w:p>
        </w:tc>
        <w:tc>
          <w:tcPr>
            <w:tcW w:w="180" w:type="dxa"/>
            <w:vAlign w:val="bottom"/>
            <w:shd w:val="clear" w:color="auto" w:fill="D2EEF5"/>
          </w:tcPr>
          <w:p>
            <w:pPr>
              <w:spacing w:after="0"/>
              <w:rPr>
                <w:sz w:val="15"/>
                <w:szCs w:val="15"/>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1.03</w:t>
            </w:r>
          </w:p>
        </w:tc>
        <w:tc>
          <w:tcPr>
            <w:tcW w:w="200" w:type="dxa"/>
            <w:vAlign w:val="bottom"/>
            <w:shd w:val="clear" w:color="auto" w:fill="D2EEF5"/>
          </w:tcPr>
          <w:p>
            <w:pPr>
              <w:spacing w:after="0"/>
              <w:rPr>
                <w:sz w:val="15"/>
                <w:szCs w:val="15"/>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0.21</w:t>
            </w:r>
          </w:p>
        </w:tc>
        <w:tc>
          <w:tcPr>
            <w:tcW w:w="180" w:type="dxa"/>
            <w:vAlign w:val="bottom"/>
            <w:shd w:val="clear" w:color="auto" w:fill="D2EEF5"/>
          </w:tcPr>
          <w:p>
            <w:pPr>
              <w:spacing w:after="0"/>
              <w:rPr>
                <w:sz w:val="15"/>
                <w:szCs w:val="15"/>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91"/>
        </w:trPr>
        <w:tc>
          <w:tcPr>
            <w:tcW w:w="26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80" w:right="80"/>
        <w:spacing w:after="0" w:line="299" w:lineRule="auto"/>
        <w:rPr>
          <w:sz w:val="20"/>
          <w:szCs w:val="20"/>
          <w:color w:val="auto"/>
        </w:rPr>
      </w:pPr>
      <w:r>
        <w:rPr>
          <w:rFonts w:ascii="Arial" w:cs="Arial" w:eastAsia="Arial" w:hAnsi="Arial"/>
          <w:sz w:val="15"/>
          <w:szCs w:val="15"/>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86" w:lineRule="auto"/>
        <w:rPr>
          <w:sz w:val="20"/>
          <w:szCs w:val="20"/>
          <w:color w:val="auto"/>
        </w:rPr>
      </w:pPr>
      <w:r>
        <w:rPr>
          <w:rFonts w:ascii="Arial" w:cs="Arial" w:eastAsia="Arial" w:hAnsi="Arial"/>
          <w:sz w:val="14"/>
          <w:szCs w:val="14"/>
          <w:color w:val="auto"/>
        </w:rPr>
        <w:t xml:space="preserve">Information concerning our mineral properties in the NORI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4"/>
          <w:szCs w:val="14"/>
          <w:b w:val="1"/>
          <w:bCs w:val="1"/>
          <w:color w:val="auto"/>
        </w:rPr>
        <w:t>You are specifically cautioned not to assume that</w:t>
      </w:r>
      <w:r>
        <w:rPr>
          <w:rFonts w:ascii="Arial" w:cs="Arial" w:eastAsia="Arial" w:hAnsi="Arial"/>
          <w:sz w:val="14"/>
          <w:szCs w:val="14"/>
          <w:color w:val="auto"/>
        </w:rPr>
        <w:t xml:space="preserve"> </w:t>
      </w:r>
      <w:r>
        <w:rPr>
          <w:rFonts w:ascii="Arial" w:cs="Arial" w:eastAsia="Arial" w:hAnsi="Arial"/>
          <w:sz w:val="14"/>
          <w:szCs w:val="14"/>
          <w:b w:val="1"/>
          <w:bCs w:val="1"/>
          <w:color w:val="auto"/>
        </w:rPr>
        <w:t>any part or all of the mineral deposits in these categories will ever be converted into mineral reserves, as defined by the SEC.</w:t>
      </w:r>
    </w:p>
    <w:p>
      <w:pPr>
        <w:spacing w:after="0" w:line="130" w:lineRule="exact"/>
        <w:rPr>
          <w:sz w:val="20"/>
          <w:szCs w:val="20"/>
          <w:color w:val="auto"/>
        </w:rPr>
      </w:pPr>
    </w:p>
    <w:p>
      <w:pPr>
        <w:jc w:val="both"/>
        <w:ind w:left="80" w:right="80" w:firstLine="275"/>
        <w:spacing w:after="0" w:line="286" w:lineRule="auto"/>
        <w:rPr>
          <w:sz w:val="20"/>
          <w:szCs w:val="20"/>
          <w:color w:val="auto"/>
        </w:rPr>
      </w:pPr>
      <w:r>
        <w:rPr>
          <w:rFonts w:ascii="Arial" w:cs="Arial" w:eastAsia="Arial" w:hAnsi="Arial"/>
          <w:sz w:val="14"/>
          <w:szCs w:val="14"/>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Arial" w:cs="Arial" w:eastAsia="Arial" w:hAnsi="Arial"/>
          <w:sz w:val="14"/>
          <w:szCs w:val="14"/>
          <w:b w:val="1"/>
          <w:bCs w:val="1"/>
          <w:color w:val="auto"/>
        </w:rPr>
        <w:t>Therefore, you are cautioned not to assume that all or any part of an inferred mineral</w:t>
      </w:r>
      <w:r>
        <w:rPr>
          <w:rFonts w:ascii="Arial" w:cs="Arial" w:eastAsia="Arial" w:hAnsi="Arial"/>
          <w:sz w:val="14"/>
          <w:szCs w:val="14"/>
          <w:color w:val="auto"/>
        </w:rPr>
        <w:t xml:space="preserve"> </w:t>
      </w:r>
      <w:r>
        <w:rPr>
          <w:rFonts w:ascii="Arial" w:cs="Arial" w:eastAsia="Arial" w:hAnsi="Arial"/>
          <w:sz w:val="14"/>
          <w:szCs w:val="14"/>
          <w:b w:val="1"/>
          <w:bCs w:val="1"/>
          <w:color w:val="auto"/>
        </w:rPr>
        <w:t>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Development plan</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 The development plan has been refined since the creation of the NORI Technical Report Summary.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proposed seafloor development phases are as follows:</w:t>
      </w:r>
    </w:p>
    <w:p>
      <w:pPr>
        <w:spacing w:after="0" w:line="194" w:lineRule="exact"/>
        <w:rPr>
          <w:sz w:val="20"/>
          <w:szCs w:val="20"/>
          <w:color w:val="auto"/>
        </w:rPr>
      </w:pPr>
    </w:p>
    <w:p>
      <w:pPr>
        <w:jc w:val="both"/>
        <w:ind w:left="660" w:right="80" w:hanging="283"/>
        <w:spacing w:after="0" w:line="305"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The Collector Test was designed to perform proof of concept for the methods of collecting and lifting the nodules while acquiring sufficient data to design a commercial system. The Collector Test used a converted sixth generation drillship,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Nodules collected during the test were stored on the </w:t>
      </w:r>
      <w:r>
        <w:rPr>
          <w:rFonts w:ascii="Arial" w:cs="Arial" w:eastAsia="Arial" w:hAnsi="Arial"/>
          <w:sz w:val="14"/>
          <w:szCs w:val="14"/>
          <w:i w:val="1"/>
          <w:iCs w:val="1"/>
          <w:color w:val="auto"/>
        </w:rPr>
        <w:t>Hidden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Gem </w:t>
      </w:r>
      <w:r>
        <w:rPr>
          <w:rFonts w:ascii="Arial" w:cs="Arial" w:eastAsia="Arial" w:hAnsi="Arial"/>
          <w:sz w:val="14"/>
          <w:szCs w:val="14"/>
          <w:color w:val="auto"/>
        </w:rPr>
        <w:t>and brought to shore for use in large scale process pilot testing. The test did not demonstrate the transshipment of nodules to a shore-based facility.</w:t>
      </w:r>
    </w:p>
    <w:p>
      <w:pPr>
        <w:spacing w:after="0" w:line="117" w:lineRule="exact"/>
        <w:rPr>
          <w:rFonts w:ascii="Arial" w:cs="Arial" w:eastAsia="Arial" w:hAnsi="Arial"/>
          <w:sz w:val="14"/>
          <w:szCs w:val="14"/>
          <w:color w:val="auto"/>
        </w:rPr>
      </w:pPr>
    </w:p>
    <w:p>
      <w:pPr>
        <w:jc w:val="both"/>
        <w:ind w:left="660" w:right="80" w:hanging="283"/>
        <w:spacing w:after="0" w:line="294"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Project Zero System would be an extension of the Collector Test using an upgrade of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to produce a sufficient and continuous quantity of nodules to support commercial operation commencing at 1.3 Mtpa increasing in staged increments to 3.0 Mtpa of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26" w:lineRule="exact"/>
        <w:rPr>
          <w:rFonts w:ascii="Arial" w:cs="Arial" w:eastAsia="Arial" w:hAnsi="Arial"/>
          <w:sz w:val="14"/>
          <w:szCs w:val="14"/>
          <w:color w:val="auto"/>
        </w:rPr>
      </w:pPr>
    </w:p>
    <w:p>
      <w:pPr>
        <w:ind w:left="660" w:right="80" w:hanging="283"/>
        <w:spacing w:after="0" w:line="299"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Project Zero Plan of Work application contemplates that an increase in production is achieved via the introduction of another production vessel with the capacity of up to 3.0 Mtpa.</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processing of the polymetallic nodules would also be ramped up in phases:</w:t>
      </w:r>
    </w:p>
    <w:p>
      <w:pPr>
        <w:spacing w:after="0" w:line="193" w:lineRule="exact"/>
        <w:rPr>
          <w:rFonts w:ascii="Arial" w:cs="Arial" w:eastAsia="Arial" w:hAnsi="Arial"/>
          <w:sz w:val="15"/>
          <w:szCs w:val="15"/>
          <w:color w:val="auto"/>
        </w:rPr>
      </w:pPr>
    </w:p>
    <w:p>
      <w:pPr>
        <w:jc w:val="both"/>
        <w:ind w:left="660" w:right="80" w:hanging="283"/>
        <w:spacing w:after="0" w:line="260"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Project Zero, NORI proposes to toll-treat polymetallic nodules at existing RKEF smelters, utilizing excess industry capacity. NORI advises there is significant interest from many parties in China, Indonesia and Japan to utilize RKEF plants which may become stranded as a result of the Indonesian government nickel laterite ore export ban restricting supply of the nickel laterite feedstock that they currently utilize and the significant recent build-out of capacity in Indonesia which may have resulted in processing capacity oversupply. These RKEF plants were originally built to convert nickel laterite to nickel pig iron and could be converted to smelt polymetallic nodules with minor modifications. Furthermore, in November 2023, we entered into a binding MoU with PAMCO whereby 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60" w:right="80" w:hanging="283"/>
        <w:spacing w:after="0" w:line="276" w:lineRule="auto"/>
        <w:tabs>
          <w:tab w:leader="none" w:pos="661"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Project One, a purpose-built process plant may be constructed, including pyrometallurgical (~50% of Project One production, with the other ~50% tolled through existing RKEF facilities) and hydrometallurgical circuits (100% of Project One production). Nodule production would be increased in phases by treatment in this new plant and existing RKEFs.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Collection methods</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 xml:space="preserve">The main items of offshore infrastructure are the nodule collector vehicles, the riser, and three production support vessels (“PSV”): </w:t>
      </w:r>
      <w:r>
        <w:rPr>
          <w:rFonts w:ascii="Arial" w:cs="Arial" w:eastAsia="Arial" w:hAnsi="Arial"/>
          <w:sz w:val="15"/>
          <w:szCs w:val="15"/>
          <w:i w:val="1"/>
          <w:iCs w:val="1"/>
          <w:color w:val="auto"/>
        </w:rPr>
        <w:t>Hidden Gem</w:t>
      </w:r>
      <w:r>
        <w:rPr>
          <w:rFonts w:ascii="Arial" w:cs="Arial" w:eastAsia="Arial" w:hAnsi="Arial"/>
          <w:sz w:val="15"/>
          <w:szCs w:val="15"/>
          <w:color w:val="auto"/>
        </w:rPr>
        <w:t>; Drill Ship 2; and Collector Ship 1. Collector Ship 1 is intended to be supported by a collector support vessel.</w:t>
      </w:r>
    </w:p>
    <w:p>
      <w:pPr>
        <w:spacing w:after="0" w:line="119" w:lineRule="exact"/>
        <w:rPr>
          <w:sz w:val="20"/>
          <w:szCs w:val="20"/>
          <w:color w:val="auto"/>
        </w:rPr>
      </w:pPr>
    </w:p>
    <w:p>
      <w:pPr>
        <w:jc w:val="both"/>
        <w:ind w:left="80" w:right="80" w:firstLine="275"/>
        <w:spacing w:after="0" w:line="315" w:lineRule="auto"/>
        <w:rPr>
          <w:sz w:val="20"/>
          <w:szCs w:val="20"/>
          <w:color w:val="auto"/>
        </w:rPr>
      </w:pPr>
      <w:r>
        <w:rPr>
          <w:rFonts w:ascii="Arial" w:cs="Arial" w:eastAsia="Arial" w:hAnsi="Arial"/>
          <w:sz w:val="13"/>
          <w:szCs w:val="13"/>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17"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26"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up to 15 MPa.</w:t>
      </w:r>
    </w:p>
    <w:p>
      <w:pPr>
        <w:spacing w:after="0" w:line="141" w:lineRule="exact"/>
        <w:rPr>
          <w:sz w:val="20"/>
          <w:szCs w:val="20"/>
          <w:color w:val="auto"/>
        </w:rPr>
      </w:pPr>
    </w:p>
    <w:p>
      <w:pPr>
        <w:jc w:val="both"/>
        <w:ind w:left="80" w:right="80" w:firstLine="274"/>
        <w:spacing w:after="0" w:line="315" w:lineRule="auto"/>
        <w:rPr>
          <w:sz w:val="20"/>
          <w:szCs w:val="20"/>
          <w:color w:val="auto"/>
        </w:rPr>
      </w:pPr>
      <w:r>
        <w:rPr>
          <w:rFonts w:ascii="Arial" w:cs="Arial" w:eastAsia="Arial" w:hAnsi="Arial"/>
          <w:sz w:val="13"/>
          <w:szCs w:val="13"/>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tonnes, and housing a crew of around 120 personnel. Nodules are planned to be discharged from the RALS to the PSVs, where they are expected to be dewatered and temporarily stored or transferred directly to a transport vessel.</w:t>
      </w:r>
    </w:p>
    <w:p>
      <w:pPr>
        <w:spacing w:after="0" w:line="117" w:lineRule="exact"/>
        <w:rPr>
          <w:sz w:val="20"/>
          <w:szCs w:val="20"/>
          <w:color w:val="auto"/>
        </w:rPr>
      </w:pPr>
    </w:p>
    <w:p>
      <w:pPr>
        <w:jc w:val="both"/>
        <w:ind w:left="80" w:right="100" w:firstLine="275"/>
        <w:spacing w:after="0" w:line="337" w:lineRule="auto"/>
        <w:rPr>
          <w:sz w:val="20"/>
          <w:szCs w:val="20"/>
          <w:color w:val="auto"/>
        </w:rPr>
      </w:pPr>
      <w:r>
        <w:rPr>
          <w:rFonts w:ascii="Arial" w:cs="Arial" w:eastAsia="Arial" w:hAnsi="Arial"/>
          <w:sz w:val="14"/>
          <w:szCs w:val="14"/>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37"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Deep Reach Technology (“DRT”) (2015)).</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Expected Mineral Resource modifying factors</w:t>
      </w:r>
    </w:p>
    <w:p>
      <w:pPr>
        <w:spacing w:after="0" w:line="249"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2920" w:type="dxa"/>
            <w:vAlign w:val="bottom"/>
            <w:gridSpan w:val="2"/>
          </w:tcPr>
          <w:p>
            <w:pPr>
              <w:spacing w:after="0"/>
              <w:rPr>
                <w:sz w:val="20"/>
                <w:szCs w:val="20"/>
                <w:color w:val="auto"/>
              </w:rPr>
            </w:pPr>
            <w:r>
              <w:rPr>
                <w:rFonts w:ascii="Arial" w:cs="Arial" w:eastAsia="Arial" w:hAnsi="Arial"/>
                <w:sz w:val="12"/>
                <w:szCs w:val="12"/>
                <w:b w:val="1"/>
                <w:bCs w:val="1"/>
                <w:color w:val="auto"/>
              </w:rPr>
              <w:t>Modifying factors</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Value</w:t>
            </w:r>
          </w:p>
        </w:tc>
        <w:tc>
          <w:tcPr>
            <w:tcW w:w="676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53"/>
        </w:trPr>
        <w:tc>
          <w:tcPr>
            <w:tcW w:w="2660" w:type="dxa"/>
            <w:vAlign w:val="bottom"/>
            <w:tcBorders>
              <w:top w:val="single" w:sz="8" w:color="auto"/>
            </w:tcBorders>
            <w:shd w:val="clear" w:color="auto" w:fill="D2EEF5"/>
          </w:tcPr>
          <w:p>
            <w:pPr>
              <w:spacing w:after="0" w:line="154" w:lineRule="exact"/>
              <w:rPr>
                <w:sz w:val="20"/>
                <w:szCs w:val="20"/>
                <w:color w:val="auto"/>
              </w:rPr>
            </w:pPr>
            <w:r>
              <w:rPr>
                <w:rFonts w:ascii="Arial" w:cs="Arial" w:eastAsia="Arial" w:hAnsi="Arial"/>
                <w:sz w:val="15"/>
                <w:szCs w:val="15"/>
                <w:color w:val="auto"/>
              </w:rPr>
              <w:t>Resource area efficiency</w:t>
            </w:r>
          </w:p>
        </w:tc>
        <w:tc>
          <w:tcPr>
            <w:tcW w:w="260" w:type="dxa"/>
            <w:vAlign w:val="bottom"/>
            <w:tcBorders>
              <w:top w:val="single" w:sz="8" w:color="D2EEF5"/>
            </w:tcBorders>
            <w:shd w:val="clear" w:color="auto" w:fill="D2EEF5"/>
          </w:tcPr>
          <w:p>
            <w:pPr>
              <w:spacing w:after="0"/>
              <w:rPr>
                <w:sz w:val="13"/>
                <w:szCs w:val="13"/>
                <w:color w:val="auto"/>
              </w:rPr>
            </w:pPr>
          </w:p>
        </w:tc>
        <w:tc>
          <w:tcPr>
            <w:tcW w:w="740" w:type="dxa"/>
            <w:vAlign w:val="bottom"/>
            <w:tcBorders>
              <w:top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3"/>
              </w:rPr>
              <w:t>92%</w:t>
            </w:r>
          </w:p>
        </w:tc>
        <w:tc>
          <w:tcPr>
            <w:tcW w:w="220" w:type="dxa"/>
            <w:vAlign w:val="bottom"/>
            <w:tcBorders>
              <w:top w:val="single" w:sz="8" w:color="D2EEF5"/>
            </w:tcBorders>
            <w:shd w:val="clear" w:color="auto" w:fill="D2EEF5"/>
          </w:tcPr>
          <w:p>
            <w:pPr>
              <w:spacing w:after="0"/>
              <w:rPr>
                <w:sz w:val="13"/>
                <w:szCs w:val="13"/>
                <w:color w:val="auto"/>
              </w:rPr>
            </w:pPr>
          </w:p>
        </w:tc>
        <w:tc>
          <w:tcPr>
            <w:tcW w:w="6760" w:type="dxa"/>
            <w:vAlign w:val="bottom"/>
            <w:tcBorders>
              <w:top w:val="single" w:sz="8" w:color="auto"/>
            </w:tcBorders>
            <w:shd w:val="clear" w:color="auto" w:fill="D2EEF5"/>
          </w:tcPr>
          <w:p>
            <w:pPr>
              <w:spacing w:after="0" w:line="154" w:lineRule="exact"/>
              <w:rPr>
                <w:sz w:val="20"/>
                <w:szCs w:val="20"/>
                <w:color w:val="auto"/>
              </w:rPr>
            </w:pPr>
            <w:r>
              <w:rPr>
                <w:rFonts w:ascii="Arial" w:cs="Arial" w:eastAsia="Arial" w:hAnsi="Arial"/>
                <w:sz w:val="15"/>
                <w:szCs w:val="15"/>
                <w:color w:val="auto"/>
              </w:rPr>
              <w:t>The resource area efficiency factor is defined as the width of the collector divided by the width of the</w:t>
            </w:r>
          </w:p>
        </w:tc>
      </w:tr>
      <w:tr>
        <w:trPr>
          <w:trHeight w:val="183"/>
        </w:trPr>
        <w:tc>
          <w:tcPr>
            <w:tcW w:w="2660" w:type="dxa"/>
            <w:vAlign w:val="bottom"/>
            <w:shd w:val="clear" w:color="auto" w:fill="D2EEF5"/>
          </w:tcPr>
          <w:p>
            <w:pPr>
              <w:spacing w:after="0"/>
              <w:rPr>
                <w:sz w:val="15"/>
                <w:szCs w:val="15"/>
                <w:color w:val="auto"/>
              </w:rPr>
            </w:pPr>
          </w:p>
        </w:tc>
        <w:tc>
          <w:tcPr>
            <w:tcW w:w="26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760" w:type="dxa"/>
            <w:vAlign w:val="bottom"/>
            <w:shd w:val="clear" w:color="auto" w:fill="D2EEF5"/>
          </w:tcPr>
          <w:p>
            <w:pPr>
              <w:spacing w:after="0"/>
              <w:rPr>
                <w:sz w:val="20"/>
                <w:szCs w:val="20"/>
                <w:color w:val="auto"/>
              </w:rPr>
            </w:pPr>
            <w:r>
              <w:rPr>
                <w:rFonts w:ascii="Arial" w:cs="Arial" w:eastAsia="Arial" w:hAnsi="Arial"/>
                <w:sz w:val="15"/>
                <w:szCs w:val="15"/>
                <w:color w:val="auto"/>
                <w:w w:val="93"/>
              </w:rPr>
              <w:t>collector path. A 0.5 m undisturbed strip is to be left either side of the collector. For a 12 m wide collector, the</w:t>
            </w:r>
          </w:p>
        </w:tc>
      </w:tr>
      <w:tr>
        <w:trPr>
          <w:trHeight w:val="204"/>
        </w:trPr>
        <w:tc>
          <w:tcPr>
            <w:tcW w:w="2660" w:type="dxa"/>
            <w:vAlign w:val="bottom"/>
            <w:shd w:val="clear" w:color="auto" w:fill="D2EEF5"/>
          </w:tcPr>
          <w:p>
            <w:pPr>
              <w:spacing w:after="0"/>
              <w:rPr>
                <w:sz w:val="17"/>
                <w:szCs w:val="17"/>
                <w:color w:val="auto"/>
              </w:rPr>
            </w:pPr>
          </w:p>
        </w:tc>
        <w:tc>
          <w:tcPr>
            <w:tcW w:w="260" w:type="dxa"/>
            <w:vAlign w:val="bottom"/>
            <w:shd w:val="clear" w:color="auto" w:fill="D2EEF5"/>
          </w:tcPr>
          <w:p>
            <w:pPr>
              <w:spacing w:after="0"/>
              <w:rPr>
                <w:sz w:val="17"/>
                <w:szCs w:val="17"/>
                <w:color w:val="auto"/>
              </w:rPr>
            </w:pPr>
          </w:p>
        </w:tc>
        <w:tc>
          <w:tcPr>
            <w:tcW w:w="74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760" w:type="dxa"/>
            <w:vAlign w:val="bottom"/>
            <w:shd w:val="clear" w:color="auto" w:fill="D2EEF5"/>
          </w:tcPr>
          <w:p>
            <w:pPr>
              <w:spacing w:after="0"/>
              <w:rPr>
                <w:sz w:val="20"/>
                <w:szCs w:val="20"/>
                <w:color w:val="auto"/>
              </w:rPr>
            </w:pPr>
            <w:r>
              <w:rPr>
                <w:rFonts w:ascii="Arial" w:cs="Arial" w:eastAsia="Arial" w:hAnsi="Arial"/>
                <w:sz w:val="15"/>
                <w:szCs w:val="15"/>
                <w:color w:val="auto"/>
              </w:rPr>
              <w:t>resource area efficiency is calculated as 12/13.</w:t>
            </w:r>
          </w:p>
        </w:tc>
      </w:tr>
      <w:tr>
        <w:trPr>
          <w:trHeight w:val="183"/>
        </w:trPr>
        <w:tc>
          <w:tcPr>
            <w:tcW w:w="2920" w:type="dxa"/>
            <w:vAlign w:val="bottom"/>
            <w:gridSpan w:val="2"/>
          </w:tcPr>
          <w:p>
            <w:pPr>
              <w:spacing w:after="0"/>
              <w:rPr>
                <w:sz w:val="20"/>
                <w:szCs w:val="20"/>
                <w:color w:val="auto"/>
              </w:rPr>
            </w:pPr>
            <w:r>
              <w:rPr>
                <w:rFonts w:ascii="Arial" w:cs="Arial" w:eastAsia="Arial" w:hAnsi="Arial"/>
                <w:sz w:val="15"/>
                <w:szCs w:val="15"/>
                <w:color w:val="auto"/>
              </w:rPr>
              <w:t>Collector pick-up efficiency</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90%</w:t>
            </w:r>
          </w:p>
        </w:tc>
        <w:tc>
          <w:tcPr>
            <w:tcW w:w="2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w w:val="92"/>
              </w:rPr>
              <w:t>This is the percentage of nodule mass passed over by the collector that is picked-up up by the collector head.</w:t>
            </w:r>
          </w:p>
        </w:tc>
      </w:tr>
      <w:tr>
        <w:trPr>
          <w:trHeight w:val="183"/>
        </w:trPr>
        <w:tc>
          <w:tcPr>
            <w:tcW w:w="292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Collector underflow efficiency</w:t>
            </w:r>
          </w:p>
        </w:tc>
        <w:tc>
          <w:tcPr>
            <w:tcW w:w="7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95%</w:t>
            </w:r>
          </w:p>
        </w:tc>
        <w:tc>
          <w:tcPr>
            <w:tcW w:w="220" w:type="dxa"/>
            <w:vAlign w:val="bottom"/>
            <w:shd w:val="clear" w:color="auto" w:fill="D2EEF5"/>
          </w:tcPr>
          <w:p>
            <w:pPr>
              <w:spacing w:after="0"/>
              <w:rPr>
                <w:sz w:val="15"/>
                <w:szCs w:val="15"/>
                <w:color w:val="auto"/>
              </w:rPr>
            </w:pPr>
          </w:p>
        </w:tc>
        <w:tc>
          <w:tcPr>
            <w:tcW w:w="6760" w:type="dxa"/>
            <w:vAlign w:val="bottom"/>
            <w:shd w:val="clear" w:color="auto" w:fill="D2EEF5"/>
          </w:tcPr>
          <w:p>
            <w:pPr>
              <w:spacing w:after="0"/>
              <w:rPr>
                <w:sz w:val="20"/>
                <w:szCs w:val="20"/>
                <w:color w:val="auto"/>
              </w:rPr>
            </w:pPr>
            <w:r>
              <w:rPr>
                <w:rFonts w:ascii="Arial" w:cs="Arial" w:eastAsia="Arial" w:hAnsi="Arial"/>
                <w:sz w:val="15"/>
                <w:szCs w:val="15"/>
                <w:color w:val="auto"/>
              </w:rPr>
              <w:t>This is the percentage of nodule mass that is picked-up up that is passed to the collector underflow.</w:t>
            </w:r>
          </w:p>
        </w:tc>
      </w:tr>
      <w:tr>
        <w:trPr>
          <w:trHeight w:val="162"/>
        </w:trPr>
        <w:tc>
          <w:tcPr>
            <w:tcW w:w="2920" w:type="dxa"/>
            <w:vAlign w:val="bottom"/>
            <w:gridSpan w:val="2"/>
          </w:tcPr>
          <w:p>
            <w:pPr>
              <w:spacing w:after="0" w:line="161" w:lineRule="exact"/>
              <w:rPr>
                <w:sz w:val="20"/>
                <w:szCs w:val="20"/>
                <w:color w:val="auto"/>
              </w:rPr>
            </w:pPr>
            <w:r>
              <w:rPr>
                <w:rFonts w:ascii="Arial" w:cs="Arial" w:eastAsia="Arial" w:hAnsi="Arial"/>
                <w:sz w:val="15"/>
                <w:szCs w:val="15"/>
                <w:color w:val="auto"/>
              </w:rPr>
              <w:t>Nodule attrition</w:t>
            </w:r>
          </w:p>
        </w:tc>
        <w:tc>
          <w:tcPr>
            <w:tcW w:w="740" w:type="dxa"/>
            <w:vAlign w:val="bottom"/>
          </w:tcPr>
          <w:p>
            <w:pPr>
              <w:jc w:val="center"/>
              <w:spacing w:after="0" w:line="161" w:lineRule="exact"/>
              <w:rPr>
                <w:sz w:val="20"/>
                <w:szCs w:val="20"/>
                <w:color w:val="auto"/>
              </w:rPr>
            </w:pPr>
            <w:r>
              <w:rPr>
                <w:rFonts w:ascii="Arial" w:cs="Arial" w:eastAsia="Arial" w:hAnsi="Arial"/>
                <w:sz w:val="15"/>
                <w:szCs w:val="15"/>
                <w:color w:val="auto"/>
                <w:w w:val="92"/>
              </w:rPr>
              <w:t>0%</w:t>
            </w:r>
          </w:p>
        </w:tc>
        <w:tc>
          <w:tcPr>
            <w:tcW w:w="220" w:type="dxa"/>
            <w:vAlign w:val="bottom"/>
          </w:tcPr>
          <w:p>
            <w:pPr>
              <w:spacing w:after="0"/>
              <w:rPr>
                <w:sz w:val="14"/>
                <w:szCs w:val="14"/>
                <w:color w:val="auto"/>
              </w:rPr>
            </w:pPr>
          </w:p>
        </w:tc>
        <w:tc>
          <w:tcPr>
            <w:tcW w:w="6760" w:type="dxa"/>
            <w:vAlign w:val="bottom"/>
          </w:tcPr>
          <w:p>
            <w:pPr>
              <w:spacing w:after="0" w:line="161" w:lineRule="exact"/>
              <w:rPr>
                <w:sz w:val="20"/>
                <w:szCs w:val="20"/>
                <w:color w:val="auto"/>
              </w:rPr>
            </w:pPr>
            <w:r>
              <w:rPr>
                <w:rFonts w:ascii="Arial" w:cs="Arial" w:eastAsia="Arial" w:hAnsi="Arial"/>
                <w:sz w:val="15"/>
                <w:szCs w:val="15"/>
                <w:color w:val="auto"/>
                <w:w w:val="99"/>
              </w:rPr>
              <w:t>This is the percentage of mass of nodule lost through attrition from the seafloor to trans-shipment. It is</w:t>
            </w:r>
          </w:p>
        </w:tc>
      </w:tr>
      <w:tr>
        <w:trPr>
          <w:trHeight w:val="204"/>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included in the trans-shipment efficiency.</w:t>
            </w:r>
          </w:p>
        </w:tc>
      </w:tr>
      <w:tr>
        <w:trPr>
          <w:trHeight w:val="183"/>
        </w:trPr>
        <w:tc>
          <w:tcPr>
            <w:tcW w:w="292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Trans-shipment efficiency</w:t>
            </w:r>
          </w:p>
        </w:tc>
        <w:tc>
          <w:tcPr>
            <w:tcW w:w="7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93%</w:t>
            </w:r>
          </w:p>
        </w:tc>
        <w:tc>
          <w:tcPr>
            <w:tcW w:w="220" w:type="dxa"/>
            <w:vAlign w:val="bottom"/>
            <w:shd w:val="clear" w:color="auto" w:fill="D2EEF5"/>
          </w:tcPr>
          <w:p>
            <w:pPr>
              <w:spacing w:after="0"/>
              <w:rPr>
                <w:sz w:val="15"/>
                <w:szCs w:val="15"/>
                <w:color w:val="auto"/>
              </w:rPr>
            </w:pPr>
          </w:p>
        </w:tc>
        <w:tc>
          <w:tcPr>
            <w:tcW w:w="6760" w:type="dxa"/>
            <w:vAlign w:val="bottom"/>
            <w:shd w:val="clear" w:color="auto" w:fill="D2EEF5"/>
          </w:tcPr>
          <w:p>
            <w:pPr>
              <w:spacing w:after="0"/>
              <w:rPr>
                <w:sz w:val="20"/>
                <w:szCs w:val="20"/>
                <w:color w:val="auto"/>
              </w:rPr>
            </w:pPr>
            <w:r>
              <w:rPr>
                <w:rFonts w:ascii="Arial" w:cs="Arial" w:eastAsia="Arial" w:hAnsi="Arial"/>
                <w:sz w:val="15"/>
                <w:szCs w:val="15"/>
                <w:color w:val="auto"/>
              </w:rPr>
              <w:t>This is the percentage of nodule mass transferred from the production vessel to trans-shipment.</w:t>
            </w:r>
          </w:p>
        </w:tc>
      </w:tr>
      <w:tr>
        <w:trPr>
          <w:trHeight w:val="162"/>
        </w:trPr>
        <w:tc>
          <w:tcPr>
            <w:tcW w:w="2920" w:type="dxa"/>
            <w:vAlign w:val="bottom"/>
            <w:gridSpan w:val="2"/>
          </w:tcPr>
          <w:p>
            <w:pPr>
              <w:spacing w:after="0" w:line="161" w:lineRule="exact"/>
              <w:rPr>
                <w:sz w:val="20"/>
                <w:szCs w:val="20"/>
                <w:color w:val="auto"/>
              </w:rPr>
            </w:pPr>
            <w:r>
              <w:rPr>
                <w:rFonts w:ascii="Arial" w:cs="Arial" w:eastAsia="Arial" w:hAnsi="Arial"/>
                <w:sz w:val="15"/>
                <w:szCs w:val="15"/>
                <w:color w:val="auto"/>
              </w:rPr>
              <w:t>Overall collector efficiency</w:t>
            </w:r>
          </w:p>
        </w:tc>
        <w:tc>
          <w:tcPr>
            <w:tcW w:w="740" w:type="dxa"/>
            <w:vAlign w:val="bottom"/>
          </w:tcPr>
          <w:p>
            <w:pPr>
              <w:jc w:val="center"/>
              <w:spacing w:after="0" w:line="161" w:lineRule="exact"/>
              <w:rPr>
                <w:sz w:val="20"/>
                <w:szCs w:val="20"/>
                <w:color w:val="auto"/>
              </w:rPr>
            </w:pPr>
            <w:r>
              <w:rPr>
                <w:rFonts w:ascii="Arial" w:cs="Arial" w:eastAsia="Arial" w:hAnsi="Arial"/>
                <w:sz w:val="15"/>
                <w:szCs w:val="15"/>
                <w:color w:val="auto"/>
                <w:w w:val="93"/>
              </w:rPr>
              <w:t>80%</w:t>
            </w:r>
          </w:p>
        </w:tc>
        <w:tc>
          <w:tcPr>
            <w:tcW w:w="220" w:type="dxa"/>
            <w:vAlign w:val="bottom"/>
          </w:tcPr>
          <w:p>
            <w:pPr>
              <w:spacing w:after="0"/>
              <w:rPr>
                <w:sz w:val="14"/>
                <w:szCs w:val="14"/>
                <w:color w:val="auto"/>
              </w:rPr>
            </w:pPr>
          </w:p>
        </w:tc>
        <w:tc>
          <w:tcPr>
            <w:tcW w:w="6760" w:type="dxa"/>
            <w:vAlign w:val="bottom"/>
          </w:tcPr>
          <w:p>
            <w:pPr>
              <w:spacing w:after="0" w:line="161" w:lineRule="exact"/>
              <w:rPr>
                <w:sz w:val="20"/>
                <w:szCs w:val="20"/>
                <w:color w:val="auto"/>
              </w:rPr>
            </w:pPr>
            <w:r>
              <w:rPr>
                <w:rFonts w:ascii="Arial" w:cs="Arial" w:eastAsia="Arial" w:hAnsi="Arial"/>
                <w:sz w:val="15"/>
                <w:szCs w:val="15"/>
                <w:color w:val="auto"/>
                <w:w w:val="93"/>
              </w:rPr>
              <w:t>This is the percentage of nodule mass passed over by the collector that is delivered to the transport vessel. It</w:t>
            </w:r>
          </w:p>
        </w:tc>
      </w:tr>
      <w:tr>
        <w:trPr>
          <w:trHeight w:val="204"/>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includes losses in the pick-up, overflow, attrition and trans-shipment (90%*95%*100%*93%).</w:t>
            </w:r>
          </w:p>
        </w:tc>
      </w:tr>
      <w:tr>
        <w:trPr>
          <w:trHeight w:val="162"/>
        </w:trPr>
        <w:tc>
          <w:tcPr>
            <w:tcW w:w="2920" w:type="dxa"/>
            <w:vAlign w:val="bottom"/>
            <w:gridSpan w:val="2"/>
            <w:shd w:val="clear" w:color="auto" w:fill="D2EEF5"/>
          </w:tcPr>
          <w:p>
            <w:pPr>
              <w:spacing w:after="0" w:line="161" w:lineRule="exact"/>
              <w:rPr>
                <w:sz w:val="20"/>
                <w:szCs w:val="20"/>
                <w:color w:val="auto"/>
              </w:rPr>
            </w:pPr>
            <w:r>
              <w:rPr>
                <w:rFonts w:ascii="Arial" w:cs="Arial" w:eastAsia="Arial" w:hAnsi="Arial"/>
                <w:sz w:val="15"/>
                <w:szCs w:val="15"/>
                <w:color w:val="auto"/>
              </w:rPr>
              <w:t>Overall resource recovery factor</w:t>
            </w:r>
          </w:p>
        </w:tc>
        <w:tc>
          <w:tcPr>
            <w:tcW w:w="740" w:type="dxa"/>
            <w:vAlign w:val="bottom"/>
            <w:shd w:val="clear" w:color="auto" w:fill="D2EEF5"/>
          </w:tcPr>
          <w:p>
            <w:pPr>
              <w:jc w:val="center"/>
              <w:spacing w:after="0" w:line="161" w:lineRule="exact"/>
              <w:rPr>
                <w:sz w:val="20"/>
                <w:szCs w:val="20"/>
                <w:color w:val="auto"/>
              </w:rPr>
            </w:pPr>
            <w:r>
              <w:rPr>
                <w:rFonts w:ascii="Arial" w:cs="Arial" w:eastAsia="Arial" w:hAnsi="Arial"/>
                <w:sz w:val="15"/>
                <w:szCs w:val="15"/>
                <w:color w:val="auto"/>
                <w:w w:val="93"/>
              </w:rPr>
              <w:t>73%</w:t>
            </w:r>
          </w:p>
        </w:tc>
        <w:tc>
          <w:tcPr>
            <w:tcW w:w="220" w:type="dxa"/>
            <w:vAlign w:val="bottom"/>
            <w:shd w:val="clear" w:color="auto" w:fill="D2EEF5"/>
          </w:tcPr>
          <w:p>
            <w:pPr>
              <w:spacing w:after="0"/>
              <w:rPr>
                <w:sz w:val="14"/>
                <w:szCs w:val="14"/>
                <w:color w:val="auto"/>
              </w:rPr>
            </w:pPr>
          </w:p>
        </w:tc>
        <w:tc>
          <w:tcPr>
            <w:tcW w:w="6760" w:type="dxa"/>
            <w:vAlign w:val="bottom"/>
            <w:shd w:val="clear" w:color="auto" w:fill="D2EEF5"/>
          </w:tcPr>
          <w:p>
            <w:pPr>
              <w:spacing w:after="0" w:line="161" w:lineRule="exact"/>
              <w:rPr>
                <w:sz w:val="20"/>
                <w:szCs w:val="20"/>
                <w:color w:val="auto"/>
              </w:rPr>
            </w:pPr>
            <w:r>
              <w:rPr>
                <w:rFonts w:ascii="Arial" w:cs="Arial" w:eastAsia="Arial" w:hAnsi="Arial"/>
                <w:sz w:val="15"/>
                <w:szCs w:val="15"/>
                <w:color w:val="auto"/>
                <w:w w:val="95"/>
              </w:rPr>
              <w:t>Is the product of the resource area efficiency * collector pick-up efficiency * collector under flow efficiency *</w:t>
            </w:r>
          </w:p>
        </w:tc>
      </w:tr>
      <w:tr>
        <w:trPr>
          <w:trHeight w:val="204"/>
        </w:trPr>
        <w:tc>
          <w:tcPr>
            <w:tcW w:w="2660" w:type="dxa"/>
            <w:vAlign w:val="bottom"/>
            <w:shd w:val="clear" w:color="auto" w:fill="D2EEF5"/>
          </w:tcPr>
          <w:p>
            <w:pPr>
              <w:spacing w:after="0"/>
              <w:rPr>
                <w:sz w:val="17"/>
                <w:szCs w:val="17"/>
                <w:color w:val="auto"/>
              </w:rPr>
            </w:pPr>
          </w:p>
        </w:tc>
        <w:tc>
          <w:tcPr>
            <w:tcW w:w="260" w:type="dxa"/>
            <w:vAlign w:val="bottom"/>
            <w:shd w:val="clear" w:color="auto" w:fill="D2EEF5"/>
          </w:tcPr>
          <w:p>
            <w:pPr>
              <w:spacing w:after="0"/>
              <w:rPr>
                <w:sz w:val="17"/>
                <w:szCs w:val="17"/>
                <w:color w:val="auto"/>
              </w:rPr>
            </w:pPr>
          </w:p>
        </w:tc>
        <w:tc>
          <w:tcPr>
            <w:tcW w:w="74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760" w:type="dxa"/>
            <w:vAlign w:val="bottom"/>
            <w:shd w:val="clear" w:color="auto" w:fill="D2EEF5"/>
          </w:tcPr>
          <w:p>
            <w:pPr>
              <w:spacing w:after="0"/>
              <w:rPr>
                <w:sz w:val="20"/>
                <w:szCs w:val="20"/>
                <w:color w:val="auto"/>
              </w:rPr>
            </w:pPr>
            <w:r>
              <w:rPr>
                <w:rFonts w:ascii="Arial" w:cs="Arial" w:eastAsia="Arial" w:hAnsi="Arial"/>
                <w:sz w:val="15"/>
                <w:szCs w:val="15"/>
                <w:color w:val="auto"/>
              </w:rPr>
              <w:t>(1 — nodule attrition (%)), * trans-shipment efficiency (92%*90%*95%*100%*93%).</w:t>
            </w:r>
          </w:p>
        </w:tc>
      </w:tr>
    </w:tbl>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more information on polymetallic nodule collection methods, see Section 13 of the NORI Technical Report Summary.</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Mineral processing and metallurgical testing</w:t>
      </w:r>
    </w:p>
    <w:p>
      <w:pPr>
        <w:spacing w:after="0" w:line="192"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18"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Four RKEF lines and two hydrometallurgical refineries are expected to be required to meet our expected production demand.</w:t>
      </w:r>
    </w:p>
    <w:p>
      <w:pPr>
        <w:spacing w:after="0" w:line="194"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37"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45" w:lineRule="exact"/>
        <w:rPr>
          <w:sz w:val="20"/>
          <w:szCs w:val="20"/>
          <w:color w:val="auto"/>
        </w:rPr>
      </w:pPr>
    </w:p>
    <w:p>
      <w:pPr>
        <w:jc w:val="both"/>
        <w:ind w:left="80" w:right="80" w:firstLine="275"/>
        <w:spacing w:after="0" w:line="382" w:lineRule="auto"/>
        <w:rPr>
          <w:sz w:val="20"/>
          <w:szCs w:val="20"/>
          <w:color w:val="auto"/>
        </w:rPr>
      </w:pPr>
      <w:r>
        <w:rPr>
          <w:rFonts w:ascii="Arial" w:cs="Arial" w:eastAsia="Arial" w:hAnsi="Arial"/>
          <w:sz w:val="13"/>
          <w:szCs w:val="13"/>
          <w:color w:val="auto"/>
        </w:rPr>
        <w:t>The average targeted processing rate for the new processing plant at full capacity is expected to be 6.4 Mtpa of nodules (dry basis). The location and host country of the processing operation has not yet been determined. Engineering design has not yet been undertaken. Expected metallurgical recoveries are summarized in the table below.</w:t>
      </w:r>
    </w:p>
    <w:p>
      <w:pPr>
        <w:spacing w:after="0" w:line="7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224"/>
              <w:spacing w:after="0"/>
              <w:rPr>
                <w:sz w:val="20"/>
                <w:szCs w:val="20"/>
                <w:color w:val="auto"/>
              </w:rPr>
            </w:pPr>
            <w:r>
              <w:rPr>
                <w:rFonts w:ascii="Arial" w:cs="Arial" w:eastAsia="Arial" w:hAnsi="Arial"/>
                <w:sz w:val="12"/>
                <w:szCs w:val="12"/>
                <w:b w:val="1"/>
                <w:bCs w:val="1"/>
                <w:color w:val="auto"/>
                <w:w w:val="90"/>
              </w:rPr>
              <w:t>Nickel</w:t>
            </w:r>
          </w:p>
        </w:tc>
        <w:tc>
          <w:tcPr>
            <w:tcW w:w="1300" w:type="dxa"/>
            <w:vAlign w:val="bottom"/>
            <w:gridSpan w:val="2"/>
          </w:tcPr>
          <w:p>
            <w:pPr>
              <w:jc w:val="center"/>
              <w:ind w:right="224"/>
              <w:spacing w:after="0"/>
              <w:rPr>
                <w:sz w:val="20"/>
                <w:szCs w:val="20"/>
                <w:color w:val="auto"/>
              </w:rPr>
            </w:pPr>
            <w:r>
              <w:rPr>
                <w:rFonts w:ascii="Arial" w:cs="Arial" w:eastAsia="Arial" w:hAnsi="Arial"/>
                <w:sz w:val="12"/>
                <w:szCs w:val="12"/>
                <w:b w:val="1"/>
                <w:bCs w:val="1"/>
                <w:color w:val="auto"/>
                <w:w w:val="96"/>
              </w:rPr>
              <w:t>Cobalt</w:t>
            </w:r>
          </w:p>
        </w:tc>
        <w:tc>
          <w:tcPr>
            <w:tcW w:w="1320" w:type="dxa"/>
            <w:vAlign w:val="bottom"/>
            <w:gridSpan w:val="2"/>
          </w:tcPr>
          <w:p>
            <w:pPr>
              <w:jc w:val="center"/>
              <w:ind w:right="224"/>
              <w:spacing w:after="0"/>
              <w:rPr>
                <w:sz w:val="20"/>
                <w:szCs w:val="20"/>
                <w:color w:val="auto"/>
              </w:rPr>
            </w:pPr>
            <w:r>
              <w:rPr>
                <w:rFonts w:ascii="Arial" w:cs="Arial" w:eastAsia="Arial" w:hAnsi="Arial"/>
                <w:sz w:val="12"/>
                <w:szCs w:val="12"/>
                <w:b w:val="1"/>
                <w:bCs w:val="1"/>
                <w:color w:val="auto"/>
                <w:w w:val="90"/>
              </w:rPr>
              <w:t>Copper</w:t>
            </w:r>
          </w:p>
        </w:tc>
        <w:tc>
          <w:tcPr>
            <w:tcW w:w="0" w:type="dxa"/>
            <w:vAlign w:val="bottom"/>
          </w:tcPr>
          <w:p>
            <w:pPr>
              <w:spacing w:after="0"/>
              <w:rPr>
                <w:sz w:val="1"/>
                <w:szCs w:val="1"/>
                <w:color w:val="auto"/>
              </w:rPr>
            </w:pPr>
          </w:p>
        </w:tc>
      </w:tr>
      <w:tr>
        <w:trPr>
          <w:trHeight w:val="126"/>
        </w:trPr>
        <w:tc>
          <w:tcPr>
            <w:tcW w:w="6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Process Step</w:t>
            </w:r>
          </w:p>
        </w:tc>
        <w:tc>
          <w:tcPr>
            <w:tcW w:w="1300" w:type="dxa"/>
            <w:vAlign w:val="bottom"/>
            <w:gridSpan w:val="2"/>
          </w:tcPr>
          <w:p>
            <w:pPr>
              <w:jc w:val="center"/>
              <w:ind w:right="224"/>
              <w:spacing w:after="0" w:line="126" w:lineRule="exact"/>
              <w:rPr>
                <w:sz w:val="20"/>
                <w:szCs w:val="20"/>
                <w:color w:val="auto"/>
              </w:rPr>
            </w:pPr>
            <w:r>
              <w:rPr>
                <w:rFonts w:ascii="Arial" w:cs="Arial" w:eastAsia="Arial" w:hAnsi="Arial"/>
                <w:sz w:val="12"/>
                <w:szCs w:val="12"/>
                <w:b w:val="1"/>
                <w:bCs w:val="1"/>
                <w:color w:val="auto"/>
                <w:w w:val="88"/>
              </w:rPr>
              <w:t>Recovery</w:t>
            </w:r>
          </w:p>
        </w:tc>
        <w:tc>
          <w:tcPr>
            <w:tcW w:w="1300" w:type="dxa"/>
            <w:vAlign w:val="bottom"/>
            <w:gridSpan w:val="2"/>
          </w:tcPr>
          <w:p>
            <w:pPr>
              <w:jc w:val="center"/>
              <w:ind w:right="224"/>
              <w:spacing w:after="0" w:line="126" w:lineRule="exact"/>
              <w:rPr>
                <w:sz w:val="20"/>
                <w:szCs w:val="20"/>
                <w:color w:val="auto"/>
              </w:rPr>
            </w:pPr>
            <w:r>
              <w:rPr>
                <w:rFonts w:ascii="Arial" w:cs="Arial" w:eastAsia="Arial" w:hAnsi="Arial"/>
                <w:sz w:val="12"/>
                <w:szCs w:val="12"/>
                <w:b w:val="1"/>
                <w:bCs w:val="1"/>
                <w:color w:val="auto"/>
                <w:w w:val="88"/>
              </w:rPr>
              <w:t>Recovery</w:t>
            </w:r>
          </w:p>
        </w:tc>
        <w:tc>
          <w:tcPr>
            <w:tcW w:w="1320" w:type="dxa"/>
            <w:vAlign w:val="bottom"/>
            <w:gridSpan w:val="2"/>
          </w:tcPr>
          <w:p>
            <w:pPr>
              <w:jc w:val="center"/>
              <w:ind w:right="184"/>
              <w:spacing w:after="0" w:line="126" w:lineRule="exact"/>
              <w:rPr>
                <w:sz w:val="20"/>
                <w:szCs w:val="20"/>
                <w:color w:val="auto"/>
              </w:rPr>
            </w:pPr>
            <w:r>
              <w:rPr>
                <w:rFonts w:ascii="Arial" w:cs="Arial" w:eastAsia="Arial" w:hAnsi="Arial"/>
                <w:sz w:val="12"/>
                <w:szCs w:val="12"/>
                <w:b w:val="1"/>
                <w:bCs w:val="1"/>
                <w:color w:val="auto"/>
                <w:w w:val="92"/>
              </w:rPr>
              <w:t>Recovery</w:t>
            </w:r>
          </w:p>
        </w:tc>
        <w:tc>
          <w:tcPr>
            <w:tcW w:w="0" w:type="dxa"/>
            <w:vAlign w:val="bottom"/>
          </w:tcPr>
          <w:p>
            <w:pPr>
              <w:spacing w:after="0"/>
              <w:rPr>
                <w:sz w:val="1"/>
                <w:szCs w:val="1"/>
                <w:color w:val="auto"/>
              </w:rPr>
            </w:pPr>
          </w:p>
        </w:tc>
      </w:tr>
      <w:tr>
        <w:trPr>
          <w:trHeight w:val="149"/>
        </w:trPr>
        <w:tc>
          <w:tcPr>
            <w:tcW w:w="6720" w:type="dxa"/>
            <w:vAlign w:val="bottom"/>
            <w:gridSpan w:val="2"/>
            <w:vMerge w:val="continue"/>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46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Final matte</w:t>
            </w:r>
          </w:p>
        </w:tc>
        <w:tc>
          <w:tcPr>
            <w:tcW w:w="260" w:type="dxa"/>
            <w:vAlign w:val="bottom"/>
            <w:tcBorders>
              <w:top w:val="single" w:sz="8" w:color="D2EEF5"/>
            </w:tcBorders>
            <w:shd w:val="clear" w:color="auto" w:fill="D2EEF5"/>
          </w:tcPr>
          <w:p>
            <w:pPr>
              <w:spacing w:after="0"/>
              <w:rPr>
                <w:sz w:val="15"/>
                <w:szCs w:val="15"/>
                <w:color w:val="auto"/>
              </w:rPr>
            </w:pPr>
          </w:p>
        </w:tc>
        <w:tc>
          <w:tcPr>
            <w:tcW w:w="10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94.6</w:t>
            </w:r>
          </w:p>
        </w:tc>
        <w:tc>
          <w:tcPr>
            <w:tcW w:w="260" w:type="dxa"/>
            <w:vAlign w:val="bottom"/>
            <w:tcBorders>
              <w:top w:val="single" w:sz="8" w:color="D2EEF5"/>
            </w:tcBorders>
            <w:shd w:val="clear" w:color="auto" w:fill="D2EEF5"/>
          </w:tcPr>
          <w:p>
            <w:pPr>
              <w:jc w:val="right"/>
              <w:ind w:right="64"/>
              <w:spacing w:after="0"/>
              <w:rPr>
                <w:sz w:val="20"/>
                <w:szCs w:val="20"/>
                <w:color w:val="auto"/>
              </w:rPr>
            </w:pPr>
            <w:r>
              <w:rPr>
                <w:rFonts w:ascii="Arial" w:cs="Arial" w:eastAsia="Arial" w:hAnsi="Arial"/>
                <w:sz w:val="15"/>
                <w:szCs w:val="15"/>
                <w:color w:val="auto"/>
                <w:w w:val="74"/>
              </w:rPr>
              <w:t>%</w:t>
            </w:r>
          </w:p>
        </w:tc>
        <w:tc>
          <w:tcPr>
            <w:tcW w:w="10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77.4</w:t>
            </w:r>
          </w:p>
        </w:tc>
        <w:tc>
          <w:tcPr>
            <w:tcW w:w="260" w:type="dxa"/>
            <w:vAlign w:val="bottom"/>
            <w:tcBorders>
              <w:top w:val="single" w:sz="8" w:color="D2EEF5"/>
            </w:tcBorders>
            <w:shd w:val="clear" w:color="auto" w:fill="D2EEF5"/>
          </w:tcPr>
          <w:p>
            <w:pPr>
              <w:jc w:val="right"/>
              <w:ind w:right="64"/>
              <w:spacing w:after="0"/>
              <w:rPr>
                <w:sz w:val="20"/>
                <w:szCs w:val="20"/>
                <w:color w:val="auto"/>
              </w:rPr>
            </w:pPr>
            <w:r>
              <w:rPr>
                <w:rFonts w:ascii="Arial" w:cs="Arial" w:eastAsia="Arial" w:hAnsi="Arial"/>
                <w:sz w:val="15"/>
                <w:szCs w:val="15"/>
                <w:color w:val="auto"/>
                <w:w w:val="74"/>
              </w:rPr>
              <w:t>%</w:t>
            </w:r>
          </w:p>
        </w:tc>
        <w:tc>
          <w:tcPr>
            <w:tcW w:w="10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86.5</w:t>
            </w:r>
          </w:p>
        </w:tc>
        <w:tc>
          <w:tcPr>
            <w:tcW w:w="260" w:type="dxa"/>
            <w:vAlign w:val="bottom"/>
            <w:tcBorders>
              <w:top w:val="single" w:sz="8" w:color="D2EEF5"/>
            </w:tcBorders>
            <w:shd w:val="clear" w:color="auto" w:fill="D2EEF5"/>
          </w:tcPr>
          <w:p>
            <w:pPr>
              <w:jc w:val="right"/>
              <w:ind w:right="6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83"/>
        </w:trPr>
        <w:tc>
          <w:tcPr>
            <w:tcW w:w="6720" w:type="dxa"/>
            <w:vAlign w:val="bottom"/>
            <w:gridSpan w:val="2"/>
          </w:tcPr>
          <w:p>
            <w:pPr>
              <w:spacing w:after="0"/>
              <w:rPr>
                <w:sz w:val="20"/>
                <w:szCs w:val="20"/>
                <w:color w:val="auto"/>
              </w:rPr>
            </w:pPr>
            <w:r>
              <w:rPr>
                <w:rFonts w:ascii="Arial" w:cs="Arial" w:eastAsia="Arial" w:hAnsi="Arial"/>
                <w:sz w:val="15"/>
                <w:szCs w:val="15"/>
                <w:color w:val="auto"/>
              </w:rPr>
              <w:t>Hydrometallurgical products before recycle</w:t>
            </w:r>
          </w:p>
        </w:tc>
        <w:tc>
          <w:tcPr>
            <w:tcW w:w="1300" w:type="dxa"/>
            <w:vAlign w:val="bottom"/>
            <w:gridSpan w:val="2"/>
          </w:tcPr>
          <w:p>
            <w:pPr>
              <w:jc w:val="right"/>
              <w:ind w:right="64"/>
              <w:spacing w:after="0"/>
              <w:rPr>
                <w:sz w:val="20"/>
                <w:szCs w:val="20"/>
                <w:color w:val="auto"/>
              </w:rPr>
            </w:pPr>
            <w:r>
              <w:rPr>
                <w:rFonts w:ascii="Arial" w:cs="Arial" w:eastAsia="Arial" w:hAnsi="Arial"/>
                <w:sz w:val="15"/>
                <w:szCs w:val="15"/>
                <w:color w:val="auto"/>
              </w:rPr>
              <w:t>98.9 %</w:t>
            </w:r>
          </w:p>
        </w:tc>
        <w:tc>
          <w:tcPr>
            <w:tcW w:w="1300" w:type="dxa"/>
            <w:vAlign w:val="bottom"/>
            <w:gridSpan w:val="2"/>
          </w:tcPr>
          <w:p>
            <w:pPr>
              <w:jc w:val="right"/>
              <w:ind w:right="64"/>
              <w:spacing w:after="0"/>
              <w:rPr>
                <w:sz w:val="20"/>
                <w:szCs w:val="20"/>
                <w:color w:val="auto"/>
              </w:rPr>
            </w:pPr>
            <w:r>
              <w:rPr>
                <w:rFonts w:ascii="Arial" w:cs="Arial" w:eastAsia="Arial" w:hAnsi="Arial"/>
                <w:sz w:val="15"/>
                <w:szCs w:val="15"/>
                <w:color w:val="auto"/>
              </w:rPr>
              <w:t>98.0 %</w:t>
            </w:r>
          </w:p>
        </w:tc>
        <w:tc>
          <w:tcPr>
            <w:tcW w:w="1060" w:type="dxa"/>
            <w:vAlign w:val="bottom"/>
          </w:tcPr>
          <w:p>
            <w:pPr>
              <w:jc w:val="right"/>
              <w:spacing w:after="0"/>
              <w:rPr>
                <w:sz w:val="20"/>
                <w:szCs w:val="20"/>
                <w:color w:val="auto"/>
              </w:rPr>
            </w:pPr>
            <w:r>
              <w:rPr>
                <w:rFonts w:ascii="Arial" w:cs="Arial" w:eastAsia="Arial" w:hAnsi="Arial"/>
                <w:sz w:val="15"/>
                <w:szCs w:val="15"/>
                <w:color w:val="auto"/>
              </w:rPr>
              <w:t>96.2</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83"/>
        </w:trPr>
        <w:tc>
          <w:tcPr>
            <w:tcW w:w="672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Recycled residue</w:t>
            </w:r>
          </w:p>
        </w:tc>
        <w:tc>
          <w:tcPr>
            <w:tcW w:w="1300" w:type="dxa"/>
            <w:vAlign w:val="bottom"/>
            <w:gridSpan w:val="2"/>
            <w:shd w:val="clear" w:color="auto" w:fill="D2EEF5"/>
          </w:tcPr>
          <w:p>
            <w:pPr>
              <w:jc w:val="right"/>
              <w:ind w:right="64"/>
              <w:spacing w:after="0"/>
              <w:rPr>
                <w:sz w:val="20"/>
                <w:szCs w:val="20"/>
                <w:color w:val="auto"/>
              </w:rPr>
            </w:pPr>
            <w:r>
              <w:rPr>
                <w:rFonts w:ascii="Arial" w:cs="Arial" w:eastAsia="Arial" w:hAnsi="Arial"/>
                <w:sz w:val="15"/>
                <w:szCs w:val="15"/>
                <w:color w:val="auto"/>
              </w:rPr>
              <w:t>94.6 %</w:t>
            </w:r>
          </w:p>
        </w:tc>
        <w:tc>
          <w:tcPr>
            <w:tcW w:w="1300" w:type="dxa"/>
            <w:vAlign w:val="bottom"/>
            <w:gridSpan w:val="2"/>
            <w:shd w:val="clear" w:color="auto" w:fill="D2EEF5"/>
          </w:tcPr>
          <w:p>
            <w:pPr>
              <w:jc w:val="right"/>
              <w:ind w:right="64"/>
              <w:spacing w:after="0"/>
              <w:rPr>
                <w:sz w:val="20"/>
                <w:szCs w:val="20"/>
                <w:color w:val="auto"/>
              </w:rPr>
            </w:pPr>
            <w:r>
              <w:rPr>
                <w:rFonts w:ascii="Arial" w:cs="Arial" w:eastAsia="Arial" w:hAnsi="Arial"/>
                <w:sz w:val="15"/>
                <w:szCs w:val="15"/>
                <w:color w:val="auto"/>
              </w:rPr>
              <w:t>77.4 %</w:t>
            </w: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86.5</w:t>
            </w:r>
          </w:p>
        </w:tc>
        <w:tc>
          <w:tcPr>
            <w:tcW w:w="260" w:type="dxa"/>
            <w:vAlign w:val="bottom"/>
            <w:shd w:val="clear" w:color="auto" w:fill="D2EEF5"/>
          </w:tcPr>
          <w:p>
            <w:pPr>
              <w:jc w:val="right"/>
              <w:ind w:right="6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5"/>
        </w:trPr>
        <w:tc>
          <w:tcPr>
            <w:tcW w:w="6720" w:type="dxa"/>
            <w:vAlign w:val="bottom"/>
            <w:gridSpan w:val="2"/>
          </w:tcPr>
          <w:p>
            <w:pPr>
              <w:spacing w:after="0"/>
              <w:rPr>
                <w:sz w:val="20"/>
                <w:szCs w:val="20"/>
                <w:color w:val="auto"/>
              </w:rPr>
            </w:pPr>
            <w:r>
              <w:rPr>
                <w:rFonts w:ascii="Arial" w:cs="Arial" w:eastAsia="Arial" w:hAnsi="Arial"/>
                <w:sz w:val="15"/>
                <w:szCs w:val="15"/>
                <w:color w:val="auto"/>
              </w:rPr>
              <w:t>Overall recovery</w:t>
            </w:r>
          </w:p>
        </w:tc>
        <w:tc>
          <w:tcPr>
            <w:tcW w:w="1300" w:type="dxa"/>
            <w:vAlign w:val="bottom"/>
            <w:gridSpan w:val="2"/>
          </w:tcPr>
          <w:p>
            <w:pPr>
              <w:jc w:val="right"/>
              <w:ind w:right="64"/>
              <w:spacing w:after="0"/>
              <w:rPr>
                <w:sz w:val="20"/>
                <w:szCs w:val="20"/>
                <w:color w:val="auto"/>
              </w:rPr>
            </w:pPr>
            <w:r>
              <w:rPr>
                <w:rFonts w:ascii="Arial" w:cs="Arial" w:eastAsia="Arial" w:hAnsi="Arial"/>
                <w:sz w:val="15"/>
                <w:szCs w:val="15"/>
                <w:color w:val="auto"/>
              </w:rPr>
              <w:t>94.6 %</w:t>
            </w:r>
          </w:p>
        </w:tc>
        <w:tc>
          <w:tcPr>
            <w:tcW w:w="1300" w:type="dxa"/>
            <w:vAlign w:val="bottom"/>
            <w:gridSpan w:val="2"/>
          </w:tcPr>
          <w:p>
            <w:pPr>
              <w:jc w:val="right"/>
              <w:ind w:right="64"/>
              <w:spacing w:after="0"/>
              <w:rPr>
                <w:sz w:val="20"/>
                <w:szCs w:val="20"/>
                <w:color w:val="auto"/>
              </w:rPr>
            </w:pPr>
            <w:r>
              <w:rPr>
                <w:rFonts w:ascii="Arial" w:cs="Arial" w:eastAsia="Arial" w:hAnsi="Arial"/>
                <w:sz w:val="15"/>
                <w:szCs w:val="15"/>
                <w:color w:val="auto"/>
              </w:rPr>
              <w:t>77.2 %</w:t>
            </w:r>
          </w:p>
        </w:tc>
        <w:tc>
          <w:tcPr>
            <w:tcW w:w="1060" w:type="dxa"/>
            <w:vAlign w:val="bottom"/>
          </w:tcPr>
          <w:p>
            <w:pPr>
              <w:jc w:val="right"/>
              <w:spacing w:after="0"/>
              <w:rPr>
                <w:sz w:val="20"/>
                <w:szCs w:val="20"/>
                <w:color w:val="auto"/>
              </w:rPr>
            </w:pPr>
            <w:r>
              <w:rPr>
                <w:rFonts w:ascii="Arial" w:cs="Arial" w:eastAsia="Arial" w:hAnsi="Arial"/>
                <w:sz w:val="15"/>
                <w:szCs w:val="15"/>
                <w:color w:val="auto"/>
              </w:rPr>
              <w:t>86.2</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more information on mineral processing and metallurgical testing, see Section 14 of the NORI Technical Report Summary.</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Environmental studies, permitting, community, or social impact</w:t>
      </w:r>
    </w:p>
    <w:p>
      <w:pPr>
        <w:spacing w:after="0" w:line="192"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19"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19"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NORI has commenced the ESIA process in support of an application for an exploitation contract for the commercial collection of deep-sea polymetallic nodules. A comprehensive program of metocean and biological data acquisition was completed, which required to characterize the baseline conditions at a designated Collector Test site and control sites in the NORI Contract Area.</w:t>
      </w:r>
    </w:p>
    <w:p>
      <w:pPr>
        <w:spacing w:after="0" w:line="137" w:lineRule="exact"/>
        <w:rPr>
          <w:sz w:val="20"/>
          <w:szCs w:val="20"/>
          <w:color w:val="auto"/>
        </w:rPr>
      </w:pPr>
    </w:p>
    <w:p>
      <w:pPr>
        <w:jc w:val="both"/>
        <w:ind w:left="80" w:right="100" w:firstLine="275"/>
        <w:spacing w:after="0" w:line="337" w:lineRule="auto"/>
        <w:rPr>
          <w:sz w:val="20"/>
          <w:szCs w:val="20"/>
          <w:color w:val="auto"/>
        </w:rPr>
      </w:pPr>
      <w:r>
        <w:rPr>
          <w:rFonts w:ascii="Arial" w:cs="Arial" w:eastAsia="Arial" w:hAnsi="Arial"/>
          <w:sz w:val="14"/>
          <w:szCs w:val="14"/>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97"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4"/>
        <w:spacing w:after="0" w:line="337" w:lineRule="auto"/>
        <w:rPr>
          <w:sz w:val="20"/>
          <w:szCs w:val="20"/>
          <w:color w:val="auto"/>
        </w:rPr>
      </w:pPr>
      <w:r>
        <w:rPr>
          <w:rFonts w:ascii="Arial" w:cs="Arial" w:eastAsia="Arial" w:hAnsi="Arial"/>
          <w:sz w:val="14"/>
          <w:szCs w:val="14"/>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97"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The onshore environmental and social impacts are in the process of being evaluated as part of the feasibility being undertaken by PAMCO under the binding MoU signed in November 2023 for nodules that would be processed at their existing facility in Hachinohe, Japan. This is an existing facility that has processed laterite ores since the mid 1960’s and has all the required operating permits to do so. PAMCO are working with Japanese authorities to ensure that the environmental impacts of treating nodules are minimized and can be undertaken within PAMCO existing permissions or ensuring appropriate permissions are issued if required.</w:t>
      </w:r>
    </w:p>
    <w:p>
      <w:pPr>
        <w:spacing w:after="0" w:line="126"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It is likely that additional facilities beyond PAMCO will be required as production expands. This could involve processing through additional tolling facilities or potentially newly built facilities. The onshore environmental and social impacts of these facilities have not been assessed because the tolling facilities have not been identified or a new-build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more information on environmental studies, permitting and social or community impact, see Section 17 of the NORI Technical Report Summary.</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2021 economic analysis and non-reliance thereon</w:t>
      </w:r>
    </w:p>
    <w:p>
      <w:pPr>
        <w:spacing w:after="0" w:line="19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In connection with the preparation of the NORI Technical Report Summary, we developed in-house a point-in-time financial model based on estimates of future cash flows derived from extraction of nodules from the NORI Area D project, which AMC reviewed the logic, input assumptions and integrity of the calculations and forecasts. This preliminary point-in-time economic analysis set forth in Section 19 of the NORI Technical Report Summary presented a post-tax, real (uninflated) cash flows analysis as of a valuation date of January 1, 2021 based in part on the estimated capital and operating costs set forth in Section 18 of the NORI Technical Report Summary. As part of its review of the economic analysis, AMC cautioned that a pre-feasibility study had not been undertaken and recommended that further data gathering, analysis, design and cost estimation be undertaken to advance the project.</w:t>
      </w:r>
    </w:p>
    <w:p>
      <w:pPr>
        <w:spacing w:after="0" w:line="147"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We have continued to define our resource in the NORI area, with the goal to develop project economics to pre-feasibility level and are working towards a pre-feasibility study, which is nearing completion. As part of our ongoing refinement of our business plans and resource definition work, we are now pursuing a low-CAPEX approach to our development and commercialization of operations for our NORI Area D project where we reuse existing production assets opposed to the high-CAPEX approach where the majority of offshore and onshore production assets would be newly built by us as assumed in the 2021 economic analysis included in the NORI Technical Report Summary.</w:t>
      </w:r>
    </w:p>
    <w:p>
      <w:pPr>
        <w:spacing w:after="0" w:line="145" w:lineRule="exact"/>
        <w:rPr>
          <w:sz w:val="20"/>
          <w:szCs w:val="20"/>
          <w:color w:val="auto"/>
        </w:rPr>
      </w:pPr>
    </w:p>
    <w:p>
      <w:pPr>
        <w:jc w:val="both"/>
        <w:ind w:left="80" w:right="80" w:firstLine="275"/>
        <w:spacing w:after="0" w:line="305" w:lineRule="auto"/>
        <w:rPr>
          <w:sz w:val="20"/>
          <w:szCs w:val="20"/>
          <w:color w:val="auto"/>
        </w:rPr>
      </w:pPr>
      <w:r>
        <w:rPr>
          <w:rFonts w:ascii="Arial" w:cs="Arial" w:eastAsia="Arial" w:hAnsi="Arial"/>
          <w:sz w:val="14"/>
          <w:szCs w:val="14"/>
          <w:color w:val="auto"/>
        </w:rPr>
        <w:t>As a result of these changes and the general passage of time since the valuation date of January 1, 2021, the 2021 point-in-time economic analysis included in Section 19 of the NORI Technical Report Summary and the estimated capital and operating costs set forth in Section 18 of the NORI Technical Report Summary, including any references thereto throughout the NORI Technical Report Summary, should no longer be relied upon or used by investors for any reason.</w:t>
      </w:r>
    </w:p>
    <w:p>
      <w:pPr>
        <w:spacing w:after="0" w:line="118"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4"/>
          <w:szCs w:val="14"/>
          <w:color w:val="auto"/>
        </w:rPr>
        <w:t>We note that we do not believe that there have been any material changes to the abundance cut-off grades used throughout the NORI Technical Report Summary or the Qualified Person’s opinion that the mineral resources included in the NORI Technical Report Summary have reasonable prospects of economic extraction.</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Internal controls and data verification</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37"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37" w:lineRule="exact"/>
        <w:rPr>
          <w:sz w:val="20"/>
          <w:szCs w:val="20"/>
          <w:color w:val="auto"/>
        </w:rPr>
      </w:pPr>
    </w:p>
    <w:p>
      <w:pPr>
        <w:jc w:val="both"/>
        <w:ind w:left="80" w:right="100" w:firstLine="275"/>
        <w:spacing w:after="0" w:line="305" w:lineRule="auto"/>
        <w:rPr>
          <w:sz w:val="20"/>
          <w:szCs w:val="20"/>
          <w:color w:val="auto"/>
        </w:rPr>
      </w:pPr>
      <w:r>
        <w:rPr>
          <w:rFonts w:ascii="Arial" w:cs="Arial" w:eastAsia="Arial" w:hAnsi="Arial"/>
          <w:sz w:val="14"/>
          <w:szCs w:val="14"/>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18" w:lineRule="exact"/>
        <w:rPr>
          <w:sz w:val="20"/>
          <w:szCs w:val="20"/>
          <w:color w:val="auto"/>
        </w:rPr>
      </w:pPr>
    </w:p>
    <w:p>
      <w:pPr>
        <w:ind w:left="80" w:right="1140" w:firstLine="274"/>
        <w:spacing w:after="0" w:line="509" w:lineRule="auto"/>
        <w:rPr>
          <w:sz w:val="20"/>
          <w:szCs w:val="20"/>
          <w:color w:val="auto"/>
        </w:rPr>
      </w:pPr>
      <w:r>
        <w:rPr>
          <w:rFonts w:ascii="Arial" w:cs="Arial" w:eastAsia="Arial" w:hAnsi="Arial"/>
          <w:sz w:val="15"/>
          <w:szCs w:val="15"/>
          <w:color w:val="auto"/>
        </w:rPr>
        <w:t xml:space="preserve">For more information about quality control/quality assurance and data verification, see Section 8 and Section 9 of the NORI Technical Report Summary. </w:t>
      </w:r>
      <w:r>
        <w:rPr>
          <w:rFonts w:ascii="Arial" w:cs="Arial" w:eastAsia="Arial" w:hAnsi="Arial"/>
          <w:sz w:val="15"/>
          <w:szCs w:val="15"/>
          <w:b w:val="1"/>
          <w:bCs w:val="1"/>
          <w:u w:val="single" w:color="auto"/>
          <w:color w:val="auto"/>
        </w:rPr>
        <w:t>TOML Contract Area</w:t>
      </w:r>
    </w:p>
    <w:p>
      <w:pPr>
        <w:jc w:val="both"/>
        <w:ind w:left="80" w:right="80" w:firstLine="275"/>
        <w:spacing w:after="0" w:line="288" w:lineRule="auto"/>
        <w:rPr>
          <w:sz w:val="20"/>
          <w:szCs w:val="20"/>
          <w:color w:val="auto"/>
        </w:rPr>
      </w:pPr>
      <w:r>
        <w:rPr>
          <w:rFonts w:ascii="Arial" w:cs="Arial" w:eastAsia="Arial" w:hAnsi="Arial"/>
          <w:sz w:val="14"/>
          <w:szCs w:val="14"/>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incorporated by reference as exhibit 96.2 to this Annual Report.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39pt"/>
            </w:pict>
          </mc:Fallback>
        </mc:AlternateContent>
      </w:r>
    </w:p>
    <w:p>
      <w:pPr>
        <w:sectPr>
          <w:pgSz w:w="13680" w:h="17280" w:orient="portrait"/>
          <w:cols w:equalWidth="0" w:num="1">
            <w:col w:w="10800"/>
          </w:cols>
          <w:pgMar w:left="1440" w:top="1440" w:right="1440"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Location of the TOML Contract Area and access</w:t>
      </w:r>
    </w:p>
    <w:p>
      <w:pPr>
        <w:spacing w:after="0" w:line="19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The TOML Contract Area is located within the CCZ of the northeast Pacific Ocean. The CCZ is located in international waters between Hawaii and Mexico. The western-end of the CCZ is approximately 1,000 kilometers south of the Hawaiian island group. From here, the CCZ extends over 4,500 kilometers east-northeast, in an approximately 600 kilometers wide trend, with the eastern limits approximately 2,000 kilometers west of southern Mexico. The region is well-located to ship nodules to the American continent or across the Pacific to Asian markets. The TOML Contract Area comprises six separate blocks (A through F) in the CCZ with a combined area of 74,713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1329055</wp:posOffset>
            </wp:positionH>
            <wp:positionV relativeFrom="paragraph">
              <wp:posOffset>104140</wp:posOffset>
            </wp:positionV>
            <wp:extent cx="4197350" cy="32461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3">
                      <a:extLst>
                        <a:ext uri="{28A0092B-C50C-407E-A947-70E740481C1C}"/>
                      </a:extLst>
                    </a:blip>
                    <a:srcRect/>
                    <a:stretch>
                      <a:fillRect/>
                    </a:stretch>
                  </pic:blipFill>
                  <pic:spPr bwMode="auto">
                    <a:xfrm>
                      <a:off x="0" y="0"/>
                      <a:ext cx="4197350" cy="324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TOML Contract Area extents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Minimum</w:t>
            </w: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Maximum</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rPr>
              <w:t>Minimum</w:t>
            </w:r>
          </w:p>
        </w:tc>
        <w:tc>
          <w:tcPr>
            <w:tcW w:w="140" w:type="dxa"/>
            <w:vAlign w:val="bottom"/>
          </w:tcPr>
          <w:p>
            <w:pPr>
              <w:spacing w:after="0"/>
              <w:rPr>
                <w:sz w:val="12"/>
                <w:szCs w:val="12"/>
                <w:color w:val="auto"/>
              </w:rPr>
            </w:pP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Maximum</w:t>
            </w:r>
          </w:p>
        </w:tc>
        <w:tc>
          <w:tcPr>
            <w:tcW w:w="16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Minimum</w:t>
            </w: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Maximum</w:t>
            </w: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Minimum</w:t>
            </w: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UTM</w:t>
            </w:r>
          </w:p>
        </w:tc>
        <w:tc>
          <w:tcPr>
            <w:tcW w:w="0" w:type="dxa"/>
            <w:vAlign w:val="bottom"/>
          </w:tcPr>
          <w:p>
            <w:pPr>
              <w:spacing w:after="0"/>
              <w:rPr>
                <w:sz w:val="1"/>
                <w:szCs w:val="1"/>
                <w:color w:val="auto"/>
              </w:rPr>
            </w:pPr>
          </w:p>
        </w:tc>
      </w:tr>
      <w:tr>
        <w:trPr>
          <w:trHeight w:val="126"/>
        </w:trPr>
        <w:tc>
          <w:tcPr>
            <w:tcW w:w="2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Area</w:t>
            </w:r>
          </w:p>
        </w:tc>
        <w:tc>
          <w:tcPr>
            <w:tcW w:w="94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98"/>
              </w:rPr>
              <w:t>Latitude</w:t>
            </w:r>
          </w:p>
        </w:tc>
        <w:tc>
          <w:tcPr>
            <w:tcW w:w="94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4"/>
              </w:rPr>
              <w:t>Latitude</w:t>
            </w:r>
          </w:p>
        </w:tc>
        <w:tc>
          <w:tcPr>
            <w:tcW w:w="940" w:type="dxa"/>
            <w:vAlign w:val="bottom"/>
          </w:tcPr>
          <w:p>
            <w:pPr>
              <w:ind w:left="200"/>
              <w:spacing w:after="0" w:line="126" w:lineRule="exact"/>
              <w:rPr>
                <w:sz w:val="20"/>
                <w:szCs w:val="20"/>
                <w:color w:val="auto"/>
              </w:rPr>
            </w:pPr>
            <w:r>
              <w:rPr>
                <w:rFonts w:ascii="Arial" w:cs="Arial" w:eastAsia="Arial" w:hAnsi="Arial"/>
                <w:sz w:val="12"/>
                <w:szCs w:val="12"/>
                <w:b w:val="1"/>
                <w:bCs w:val="1"/>
                <w:color w:val="auto"/>
              </w:rPr>
              <w:t>Longitude</w:t>
            </w:r>
          </w:p>
        </w:tc>
        <w:tc>
          <w:tcPr>
            <w:tcW w:w="140" w:type="dxa"/>
            <w:vAlign w:val="bottom"/>
          </w:tcPr>
          <w:p>
            <w:pPr>
              <w:spacing w:after="0"/>
              <w:rPr>
                <w:sz w:val="10"/>
                <w:szCs w:val="10"/>
                <w:color w:val="auto"/>
              </w:rPr>
            </w:pPr>
          </w:p>
        </w:tc>
        <w:tc>
          <w:tcPr>
            <w:tcW w:w="940" w:type="dxa"/>
            <w:vAlign w:val="bottom"/>
          </w:tcPr>
          <w:p>
            <w:pPr>
              <w:ind w:left="220"/>
              <w:spacing w:after="0" w:line="126" w:lineRule="exact"/>
              <w:rPr>
                <w:sz w:val="20"/>
                <w:szCs w:val="20"/>
                <w:color w:val="auto"/>
              </w:rPr>
            </w:pPr>
            <w:r>
              <w:rPr>
                <w:rFonts w:ascii="Arial" w:cs="Arial" w:eastAsia="Arial" w:hAnsi="Arial"/>
                <w:sz w:val="12"/>
                <w:szCs w:val="12"/>
                <w:b w:val="1"/>
                <w:bCs w:val="1"/>
                <w:color w:val="auto"/>
              </w:rPr>
              <w:t>Longitude</w:t>
            </w:r>
          </w:p>
        </w:tc>
        <w:tc>
          <w:tcPr>
            <w:tcW w:w="160" w:type="dxa"/>
            <w:vAlign w:val="bottom"/>
          </w:tcPr>
          <w:p>
            <w:pPr>
              <w:spacing w:after="0"/>
              <w:rPr>
                <w:sz w:val="10"/>
                <w:szCs w:val="10"/>
                <w:color w:val="auto"/>
              </w:rPr>
            </w:pPr>
          </w:p>
        </w:tc>
        <w:tc>
          <w:tcPr>
            <w:tcW w:w="82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rPr>
              <w:t>UTM X</w:t>
            </w:r>
          </w:p>
        </w:tc>
        <w:tc>
          <w:tcPr>
            <w:tcW w:w="86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rPr>
              <w:t>UTM X</w:t>
            </w:r>
          </w:p>
        </w:tc>
        <w:tc>
          <w:tcPr>
            <w:tcW w:w="90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rPr>
              <w:t>UTM Y</w:t>
            </w:r>
          </w:p>
        </w:tc>
        <w:tc>
          <w:tcPr>
            <w:tcW w:w="92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rPr>
              <w:t>UTM Y</w:t>
            </w: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(DD)</w:t>
            </w: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(DD)</w:t>
            </w:r>
          </w:p>
        </w:tc>
        <w:tc>
          <w:tcPr>
            <w:tcW w:w="940" w:type="dxa"/>
            <w:vAlign w:val="bottom"/>
          </w:tcPr>
          <w:p>
            <w:pPr>
              <w:ind w:left="340"/>
              <w:spacing w:after="0"/>
              <w:rPr>
                <w:sz w:val="20"/>
                <w:szCs w:val="20"/>
                <w:color w:val="auto"/>
              </w:rPr>
            </w:pPr>
            <w:r>
              <w:rPr>
                <w:rFonts w:ascii="Arial" w:cs="Arial" w:eastAsia="Arial" w:hAnsi="Arial"/>
                <w:sz w:val="12"/>
                <w:szCs w:val="12"/>
                <w:b w:val="1"/>
                <w:bCs w:val="1"/>
                <w:color w:val="auto"/>
              </w:rPr>
              <w:t>(DD)</w:t>
            </w:r>
          </w:p>
        </w:tc>
        <w:tc>
          <w:tcPr>
            <w:tcW w:w="140" w:type="dxa"/>
            <w:vAlign w:val="bottom"/>
          </w:tcPr>
          <w:p>
            <w:pPr>
              <w:spacing w:after="0"/>
              <w:rPr>
                <w:sz w:val="12"/>
                <w:szCs w:val="12"/>
                <w:color w:val="auto"/>
              </w:rPr>
            </w:pPr>
          </w:p>
        </w:tc>
        <w:tc>
          <w:tcPr>
            <w:tcW w:w="940" w:type="dxa"/>
            <w:vAlign w:val="bottom"/>
          </w:tcPr>
          <w:p>
            <w:pPr>
              <w:ind w:left="340"/>
              <w:spacing w:after="0"/>
              <w:rPr>
                <w:sz w:val="20"/>
                <w:szCs w:val="20"/>
                <w:color w:val="auto"/>
              </w:rPr>
            </w:pPr>
            <w:r>
              <w:rPr>
                <w:rFonts w:ascii="Arial" w:cs="Arial" w:eastAsia="Arial" w:hAnsi="Arial"/>
                <w:sz w:val="12"/>
                <w:szCs w:val="12"/>
                <w:b w:val="1"/>
                <w:bCs w:val="1"/>
                <w:color w:val="auto"/>
              </w:rPr>
              <w:t>(DD)</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(m)</w:t>
            </w: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(m)</w:t>
            </w: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(m)</w:t>
            </w: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(m)</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Zone</w:t>
            </w:r>
          </w:p>
        </w:tc>
        <w:tc>
          <w:tcPr>
            <w:tcW w:w="0" w:type="dxa"/>
            <w:vAlign w:val="bottom"/>
          </w:tcPr>
          <w:p>
            <w:pPr>
              <w:spacing w:after="0"/>
              <w:rPr>
                <w:sz w:val="1"/>
                <w:szCs w:val="1"/>
                <w:color w:val="auto"/>
              </w:rPr>
            </w:pPr>
          </w:p>
        </w:tc>
      </w:tr>
      <w:tr>
        <w:trPr>
          <w:trHeight w:val="174"/>
        </w:trPr>
        <w:tc>
          <w:tcPr>
            <w:tcW w:w="252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A</w:t>
            </w:r>
          </w:p>
        </w:tc>
        <w:tc>
          <w:tcPr>
            <w:tcW w:w="160" w:type="dxa"/>
            <w:vAlign w:val="bottom"/>
            <w:tcBorders>
              <w:top w:val="single" w:sz="8" w:color="D2EEF5"/>
            </w:tcBorders>
            <w:shd w:val="clear" w:color="auto" w:fill="D2EEF5"/>
          </w:tcPr>
          <w:p>
            <w:pPr>
              <w:spacing w:after="0"/>
              <w:rPr>
                <w:sz w:val="15"/>
                <w:szCs w:val="15"/>
                <w:color w:val="auto"/>
              </w:rPr>
            </w:pPr>
          </w:p>
        </w:tc>
        <w:tc>
          <w:tcPr>
            <w:tcW w:w="7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7.167 N</w:t>
            </w:r>
          </w:p>
        </w:tc>
        <w:tc>
          <w:tcPr>
            <w:tcW w:w="160" w:type="dxa"/>
            <w:vAlign w:val="bottom"/>
            <w:tcBorders>
              <w:top w:val="single" w:sz="8" w:color="D2EEF5"/>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8.167 N</w:t>
            </w:r>
          </w:p>
        </w:tc>
        <w:tc>
          <w:tcPr>
            <w:tcW w:w="140" w:type="dxa"/>
            <w:vAlign w:val="bottom"/>
            <w:tcBorders>
              <w:top w:val="single" w:sz="8" w:color="D2EEF5"/>
            </w:tcBorders>
            <w:shd w:val="clear" w:color="auto" w:fill="D2EEF5"/>
          </w:tcPr>
          <w:p>
            <w:pPr>
              <w:spacing w:after="0"/>
              <w:rPr>
                <w:sz w:val="15"/>
                <w:szCs w:val="15"/>
                <w:color w:val="auto"/>
              </w:rPr>
            </w:pPr>
          </w:p>
        </w:tc>
        <w:tc>
          <w:tcPr>
            <w:tcW w:w="940" w:type="dxa"/>
            <w:vAlign w:val="bottom"/>
            <w:tcBorders>
              <w:top w:val="single" w:sz="8" w:color="auto"/>
            </w:tcBorders>
            <w:shd w:val="clear" w:color="auto" w:fill="D2EEF5"/>
          </w:tcPr>
          <w:p>
            <w:pPr>
              <w:ind w:left="220"/>
              <w:spacing w:after="0"/>
              <w:rPr>
                <w:sz w:val="20"/>
                <w:szCs w:val="20"/>
                <w:color w:val="auto"/>
              </w:rPr>
            </w:pPr>
            <w:r>
              <w:rPr>
                <w:rFonts w:ascii="Arial" w:cs="Arial" w:eastAsia="Arial" w:hAnsi="Arial"/>
                <w:sz w:val="15"/>
                <w:szCs w:val="15"/>
                <w:color w:val="auto"/>
                <w:w w:val="96"/>
              </w:rPr>
              <w:t>151.667 W</w:t>
            </w:r>
          </w:p>
        </w:tc>
        <w:tc>
          <w:tcPr>
            <w:tcW w:w="140" w:type="dxa"/>
            <w:vAlign w:val="bottom"/>
            <w:tcBorders>
              <w:top w:val="single" w:sz="8" w:color="D2EEF5"/>
            </w:tcBorders>
            <w:shd w:val="clear" w:color="auto" w:fill="D2EEF5"/>
          </w:tcPr>
          <w:p>
            <w:pPr>
              <w:spacing w:after="0"/>
              <w:rPr>
                <w:sz w:val="15"/>
                <w:szCs w:val="15"/>
                <w:color w:val="auto"/>
              </w:rPr>
            </w:pPr>
          </w:p>
        </w:tc>
        <w:tc>
          <w:tcPr>
            <w:tcW w:w="940" w:type="dxa"/>
            <w:vAlign w:val="bottom"/>
            <w:tcBorders>
              <w:top w:val="single" w:sz="8" w:color="auto"/>
            </w:tcBorders>
            <w:shd w:val="clear" w:color="auto" w:fill="D2EEF5"/>
          </w:tcPr>
          <w:p>
            <w:pPr>
              <w:ind w:left="220"/>
              <w:spacing w:after="0"/>
              <w:rPr>
                <w:sz w:val="20"/>
                <w:szCs w:val="20"/>
                <w:color w:val="auto"/>
              </w:rPr>
            </w:pPr>
            <w:r>
              <w:rPr>
                <w:rFonts w:ascii="Arial" w:cs="Arial" w:eastAsia="Arial" w:hAnsi="Arial"/>
                <w:sz w:val="15"/>
                <w:szCs w:val="15"/>
                <w:color w:val="auto"/>
                <w:w w:val="96"/>
              </w:rPr>
              <w:t>152.510 W</w:t>
            </w:r>
          </w:p>
        </w:tc>
        <w:tc>
          <w:tcPr>
            <w:tcW w:w="160" w:type="dxa"/>
            <w:vAlign w:val="bottom"/>
            <w:tcBorders>
              <w:top w:val="single" w:sz="8" w:color="D2EEF5"/>
            </w:tcBorders>
            <w:shd w:val="clear" w:color="auto" w:fill="D2EEF5"/>
          </w:tcPr>
          <w:p>
            <w:pPr>
              <w:spacing w:after="0"/>
              <w:rPr>
                <w:sz w:val="15"/>
                <w:szCs w:val="15"/>
                <w:color w:val="auto"/>
              </w:rPr>
            </w:pP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553972</w:t>
            </w:r>
          </w:p>
        </w:tc>
        <w:tc>
          <w:tcPr>
            <w:tcW w:w="140" w:type="dxa"/>
            <w:vAlign w:val="bottom"/>
            <w:tcBorders>
              <w:top w:val="single" w:sz="8" w:color="D2EEF5"/>
            </w:tcBorders>
            <w:shd w:val="clear" w:color="auto" w:fill="D2EEF5"/>
          </w:tcPr>
          <w:p>
            <w:pPr>
              <w:spacing w:after="0"/>
              <w:rPr>
                <w:sz w:val="15"/>
                <w:szCs w:val="15"/>
                <w:color w:val="auto"/>
              </w:rPr>
            </w:pPr>
          </w:p>
        </w:tc>
        <w:tc>
          <w:tcPr>
            <w:tcW w:w="7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647187</w:t>
            </w:r>
          </w:p>
        </w:tc>
        <w:tc>
          <w:tcPr>
            <w:tcW w:w="160" w:type="dxa"/>
            <w:vAlign w:val="bottom"/>
            <w:tcBorders>
              <w:top w:val="single" w:sz="8" w:color="D2EEF5"/>
            </w:tcBorders>
            <w:shd w:val="clear" w:color="auto" w:fill="D2EEF5"/>
          </w:tcPr>
          <w:p>
            <w:pPr>
              <w:spacing w:after="0"/>
              <w:rPr>
                <w:sz w:val="15"/>
                <w:szCs w:val="15"/>
                <w:color w:val="auto"/>
              </w:rPr>
            </w:pPr>
          </w:p>
        </w:tc>
        <w:tc>
          <w:tcPr>
            <w:tcW w:w="7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792205</w:t>
            </w:r>
          </w:p>
        </w:tc>
        <w:tc>
          <w:tcPr>
            <w:tcW w:w="140" w:type="dxa"/>
            <w:vAlign w:val="bottom"/>
            <w:tcBorders>
              <w:top w:val="single" w:sz="8" w:color="D2EEF5"/>
            </w:tcBorders>
            <w:shd w:val="clear" w:color="auto" w:fill="D2EEF5"/>
          </w:tcPr>
          <w:p>
            <w:pPr>
              <w:spacing w:after="0"/>
              <w:rPr>
                <w:sz w:val="15"/>
                <w:szCs w:val="15"/>
                <w:color w:val="auto"/>
              </w:rPr>
            </w:pPr>
          </w:p>
        </w:tc>
        <w:tc>
          <w:tcPr>
            <w:tcW w:w="7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902968</w:t>
            </w:r>
          </w:p>
        </w:tc>
        <w:tc>
          <w:tcPr>
            <w:tcW w:w="160" w:type="dxa"/>
            <w:vAlign w:val="bottom"/>
            <w:tcBorders>
              <w:top w:val="single" w:sz="8" w:color="D2EEF5"/>
            </w:tcBorders>
            <w:shd w:val="clear" w:color="auto" w:fill="D2EEF5"/>
          </w:tcPr>
          <w:p>
            <w:pPr>
              <w:spacing w:after="0"/>
              <w:rPr>
                <w:sz w:val="15"/>
                <w:szCs w:val="15"/>
                <w:color w:val="auto"/>
              </w:rPr>
            </w:pPr>
          </w:p>
        </w:tc>
        <w:tc>
          <w:tcPr>
            <w:tcW w:w="4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05N</w:t>
            </w:r>
          </w:p>
        </w:tc>
        <w:tc>
          <w:tcPr>
            <w:tcW w:w="2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80" w:type="dxa"/>
            <w:vAlign w:val="bottom"/>
            <w:gridSpan w:val="2"/>
          </w:tcPr>
          <w:p>
            <w:pPr>
              <w:spacing w:after="0"/>
              <w:rPr>
                <w:sz w:val="20"/>
                <w:szCs w:val="20"/>
                <w:color w:val="auto"/>
              </w:rPr>
            </w:pPr>
            <w:r>
              <w:rPr>
                <w:rFonts w:ascii="Arial" w:cs="Arial" w:eastAsia="Arial" w:hAnsi="Arial"/>
                <w:sz w:val="15"/>
                <w:szCs w:val="15"/>
                <w:color w:val="auto"/>
              </w:rPr>
              <w:t>B</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13.580 N</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14.667 N</w:t>
            </w:r>
          </w:p>
        </w:tc>
        <w:tc>
          <w:tcPr>
            <w:tcW w:w="940" w:type="dxa"/>
            <w:vAlign w:val="bottom"/>
          </w:tcPr>
          <w:p>
            <w:pPr>
              <w:ind w:left="220"/>
              <w:spacing w:after="0"/>
              <w:rPr>
                <w:sz w:val="20"/>
                <w:szCs w:val="20"/>
                <w:color w:val="auto"/>
              </w:rPr>
            </w:pPr>
            <w:r>
              <w:rPr>
                <w:rFonts w:ascii="Arial" w:cs="Arial" w:eastAsia="Arial" w:hAnsi="Arial"/>
                <w:sz w:val="15"/>
                <w:szCs w:val="15"/>
                <w:color w:val="auto"/>
                <w:w w:val="96"/>
              </w:rPr>
              <w:t>132.000 W</w:t>
            </w:r>
          </w:p>
        </w:tc>
        <w:tc>
          <w:tcPr>
            <w:tcW w:w="14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Arial" w:cs="Arial" w:eastAsia="Arial" w:hAnsi="Arial"/>
                <w:sz w:val="15"/>
                <w:szCs w:val="15"/>
                <w:color w:val="auto"/>
                <w:w w:val="96"/>
              </w:rPr>
              <w:t>133.200 W</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694518</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824685</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1502009</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1623605</w:t>
            </w:r>
          </w:p>
        </w:tc>
        <w:tc>
          <w:tcPr>
            <w:tcW w:w="160" w:type="dxa"/>
            <w:vAlign w:val="bottom"/>
          </w:tcPr>
          <w:p>
            <w:pPr>
              <w:spacing w:after="0"/>
              <w:rPr>
                <w:sz w:val="15"/>
                <w:szCs w:val="15"/>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5"/>
                <w:szCs w:val="15"/>
                <w:color w:val="auto"/>
              </w:rPr>
              <w:t>08P</w:t>
            </w:r>
          </w:p>
        </w:tc>
        <w:tc>
          <w:tcPr>
            <w:tcW w:w="0" w:type="dxa"/>
            <w:vAlign w:val="bottom"/>
          </w:tcPr>
          <w:p>
            <w:pPr>
              <w:spacing w:after="0"/>
              <w:rPr>
                <w:sz w:val="1"/>
                <w:szCs w:val="1"/>
                <w:color w:val="auto"/>
              </w:rPr>
            </w:pPr>
          </w:p>
        </w:tc>
      </w:tr>
      <w:tr>
        <w:trPr>
          <w:trHeight w:val="183"/>
        </w:trPr>
        <w:tc>
          <w:tcPr>
            <w:tcW w:w="268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C</w:t>
            </w:r>
          </w:p>
        </w:tc>
        <w:tc>
          <w:tcPr>
            <w:tcW w:w="94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15.000 N</w:t>
            </w:r>
          </w:p>
        </w:tc>
        <w:tc>
          <w:tcPr>
            <w:tcW w:w="94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15.800 N</w:t>
            </w:r>
          </w:p>
        </w:tc>
        <w:tc>
          <w:tcPr>
            <w:tcW w:w="940" w:type="dxa"/>
            <w:vAlign w:val="bottom"/>
            <w:shd w:val="clear" w:color="auto" w:fill="D2EEF5"/>
          </w:tcPr>
          <w:p>
            <w:pPr>
              <w:ind w:left="220"/>
              <w:spacing w:after="0"/>
              <w:rPr>
                <w:sz w:val="20"/>
                <w:szCs w:val="20"/>
                <w:color w:val="auto"/>
              </w:rPr>
            </w:pPr>
            <w:r>
              <w:rPr>
                <w:rFonts w:ascii="Arial" w:cs="Arial" w:eastAsia="Arial" w:hAnsi="Arial"/>
                <w:sz w:val="15"/>
                <w:szCs w:val="15"/>
                <w:color w:val="auto"/>
                <w:w w:val="96"/>
              </w:rPr>
              <w:t>128.583 W</w:t>
            </w:r>
          </w:p>
        </w:tc>
        <w:tc>
          <w:tcPr>
            <w:tcW w:w="140" w:type="dxa"/>
            <w:vAlign w:val="bottom"/>
            <w:shd w:val="clear" w:color="auto" w:fill="D2EEF5"/>
          </w:tcPr>
          <w:p>
            <w:pPr>
              <w:spacing w:after="0"/>
              <w:rPr>
                <w:sz w:val="15"/>
                <w:szCs w:val="15"/>
                <w:color w:val="auto"/>
              </w:rPr>
            </w:pPr>
          </w:p>
        </w:tc>
        <w:tc>
          <w:tcPr>
            <w:tcW w:w="940" w:type="dxa"/>
            <w:vAlign w:val="bottom"/>
            <w:shd w:val="clear" w:color="auto" w:fill="D2EEF5"/>
          </w:tcPr>
          <w:p>
            <w:pPr>
              <w:ind w:left="220"/>
              <w:spacing w:after="0"/>
              <w:rPr>
                <w:sz w:val="20"/>
                <w:szCs w:val="20"/>
                <w:color w:val="auto"/>
              </w:rPr>
            </w:pPr>
            <w:r>
              <w:rPr>
                <w:rFonts w:ascii="Arial" w:cs="Arial" w:eastAsia="Arial" w:hAnsi="Arial"/>
                <w:sz w:val="15"/>
                <w:szCs w:val="15"/>
                <w:color w:val="auto"/>
                <w:w w:val="96"/>
              </w:rPr>
              <w:t>131.000 W</w:t>
            </w:r>
          </w:p>
        </w:tc>
        <w:tc>
          <w:tcPr>
            <w:tcW w:w="84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284947</w:t>
            </w: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544791</w:t>
            </w:r>
          </w:p>
        </w:tc>
        <w:tc>
          <w:tcPr>
            <w:tcW w:w="160" w:type="dxa"/>
            <w:vAlign w:val="bottom"/>
            <w:shd w:val="clear" w:color="auto" w:fill="D2EEF5"/>
          </w:tcPr>
          <w:p>
            <w:pPr>
              <w:spacing w:after="0"/>
              <w:rPr>
                <w:sz w:val="15"/>
                <w:szCs w:val="15"/>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1658371</w:t>
            </w:r>
          </w:p>
        </w:tc>
        <w:tc>
          <w:tcPr>
            <w:tcW w:w="140" w:type="dxa"/>
            <w:vAlign w:val="bottom"/>
            <w:shd w:val="clear" w:color="auto" w:fill="D2EEF5"/>
          </w:tcPr>
          <w:p>
            <w:pPr>
              <w:spacing w:after="0"/>
              <w:rPr>
                <w:sz w:val="15"/>
                <w:szCs w:val="15"/>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1747847</w:t>
            </w:r>
          </w:p>
        </w:tc>
        <w:tc>
          <w:tcPr>
            <w:tcW w:w="160" w:type="dxa"/>
            <w:vAlign w:val="bottom"/>
            <w:shd w:val="clear" w:color="auto" w:fill="D2EEF5"/>
          </w:tcPr>
          <w:p>
            <w:pPr>
              <w:spacing w:after="0"/>
              <w:rPr>
                <w:sz w:val="15"/>
                <w:szCs w:val="15"/>
                <w:color w:val="auto"/>
              </w:rPr>
            </w:pPr>
          </w:p>
        </w:tc>
        <w:tc>
          <w:tcPr>
            <w:tcW w:w="420" w:type="dxa"/>
            <w:vAlign w:val="bottom"/>
            <w:gridSpan w:val="2"/>
            <w:shd w:val="clear" w:color="auto" w:fill="D2EEF5"/>
          </w:tcPr>
          <w:p>
            <w:pPr>
              <w:jc w:val="right"/>
              <w:ind w:right="80"/>
              <w:spacing w:after="0"/>
              <w:rPr>
                <w:sz w:val="20"/>
                <w:szCs w:val="20"/>
                <w:color w:val="auto"/>
              </w:rPr>
            </w:pPr>
            <w:r>
              <w:rPr>
                <w:rFonts w:ascii="Arial" w:cs="Arial" w:eastAsia="Arial" w:hAnsi="Arial"/>
                <w:sz w:val="15"/>
                <w:szCs w:val="15"/>
                <w:color w:val="auto"/>
              </w:rPr>
              <w:t>09P</w:t>
            </w:r>
          </w:p>
        </w:tc>
        <w:tc>
          <w:tcPr>
            <w:tcW w:w="0" w:type="dxa"/>
            <w:vAlign w:val="bottom"/>
          </w:tcPr>
          <w:p>
            <w:pPr>
              <w:spacing w:after="0"/>
              <w:rPr>
                <w:sz w:val="1"/>
                <w:szCs w:val="1"/>
                <w:color w:val="auto"/>
              </w:rPr>
            </w:pPr>
          </w:p>
        </w:tc>
      </w:tr>
      <w:tr>
        <w:trPr>
          <w:trHeight w:val="183"/>
        </w:trPr>
        <w:tc>
          <w:tcPr>
            <w:tcW w:w="2680" w:type="dxa"/>
            <w:vAlign w:val="bottom"/>
            <w:gridSpan w:val="2"/>
          </w:tcPr>
          <w:p>
            <w:pPr>
              <w:spacing w:after="0"/>
              <w:rPr>
                <w:sz w:val="20"/>
                <w:szCs w:val="20"/>
                <w:color w:val="auto"/>
              </w:rPr>
            </w:pPr>
            <w:r>
              <w:rPr>
                <w:rFonts w:ascii="Arial" w:cs="Arial" w:eastAsia="Arial" w:hAnsi="Arial"/>
                <w:sz w:val="15"/>
                <w:szCs w:val="15"/>
                <w:color w:val="auto"/>
              </w:rPr>
              <w:t>D</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13.125 N</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14.083 N</w:t>
            </w:r>
          </w:p>
        </w:tc>
        <w:tc>
          <w:tcPr>
            <w:tcW w:w="940" w:type="dxa"/>
            <w:vAlign w:val="bottom"/>
          </w:tcPr>
          <w:p>
            <w:pPr>
              <w:ind w:left="220"/>
              <w:spacing w:after="0"/>
              <w:rPr>
                <w:sz w:val="20"/>
                <w:szCs w:val="20"/>
                <w:color w:val="auto"/>
              </w:rPr>
            </w:pPr>
            <w:r>
              <w:rPr>
                <w:rFonts w:ascii="Arial" w:cs="Arial" w:eastAsia="Arial" w:hAnsi="Arial"/>
                <w:sz w:val="15"/>
                <w:szCs w:val="15"/>
                <w:color w:val="auto"/>
                <w:w w:val="96"/>
              </w:rPr>
              <w:t>123.583 W</w:t>
            </w:r>
          </w:p>
        </w:tc>
        <w:tc>
          <w:tcPr>
            <w:tcW w:w="14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Arial" w:cs="Arial" w:eastAsia="Arial" w:hAnsi="Arial"/>
                <w:sz w:val="15"/>
                <w:szCs w:val="15"/>
                <w:color w:val="auto"/>
                <w:w w:val="96"/>
              </w:rPr>
              <w:t>125.333 W</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247293</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437022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1451031</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1557860</w:t>
            </w:r>
          </w:p>
        </w:tc>
        <w:tc>
          <w:tcPr>
            <w:tcW w:w="16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10P</w:t>
            </w:r>
          </w:p>
        </w:tc>
        <w:tc>
          <w:tcPr>
            <w:tcW w:w="0" w:type="dxa"/>
            <w:vAlign w:val="bottom"/>
          </w:tcPr>
          <w:p>
            <w:pPr>
              <w:spacing w:after="0"/>
              <w:rPr>
                <w:sz w:val="1"/>
                <w:szCs w:val="1"/>
                <w:color w:val="auto"/>
              </w:rPr>
            </w:pPr>
          </w:p>
        </w:tc>
      </w:tr>
      <w:tr>
        <w:trPr>
          <w:trHeight w:val="183"/>
        </w:trPr>
        <w:tc>
          <w:tcPr>
            <w:tcW w:w="268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E</w:t>
            </w:r>
          </w:p>
        </w:tc>
        <w:tc>
          <w:tcPr>
            <w:tcW w:w="94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12.750 N</w:t>
            </w:r>
          </w:p>
        </w:tc>
        <w:tc>
          <w:tcPr>
            <w:tcW w:w="94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13.083 N</w:t>
            </w:r>
          </w:p>
        </w:tc>
        <w:tc>
          <w:tcPr>
            <w:tcW w:w="940" w:type="dxa"/>
            <w:vAlign w:val="bottom"/>
            <w:shd w:val="clear" w:color="auto" w:fill="D2EEF5"/>
          </w:tcPr>
          <w:p>
            <w:pPr>
              <w:ind w:left="220"/>
              <w:spacing w:after="0"/>
              <w:rPr>
                <w:sz w:val="20"/>
                <w:szCs w:val="20"/>
                <w:color w:val="auto"/>
              </w:rPr>
            </w:pPr>
            <w:r>
              <w:rPr>
                <w:rFonts w:ascii="Arial" w:cs="Arial" w:eastAsia="Arial" w:hAnsi="Arial"/>
                <w:sz w:val="15"/>
                <w:szCs w:val="15"/>
                <w:color w:val="auto"/>
                <w:w w:val="96"/>
              </w:rPr>
              <w:t>123.583 W</w:t>
            </w:r>
          </w:p>
        </w:tc>
        <w:tc>
          <w:tcPr>
            <w:tcW w:w="140" w:type="dxa"/>
            <w:vAlign w:val="bottom"/>
            <w:shd w:val="clear" w:color="auto" w:fill="D2EEF5"/>
          </w:tcPr>
          <w:p>
            <w:pPr>
              <w:spacing w:after="0"/>
              <w:rPr>
                <w:sz w:val="15"/>
                <w:szCs w:val="15"/>
                <w:color w:val="auto"/>
              </w:rPr>
            </w:pPr>
          </w:p>
        </w:tc>
        <w:tc>
          <w:tcPr>
            <w:tcW w:w="940" w:type="dxa"/>
            <w:vAlign w:val="bottom"/>
            <w:shd w:val="clear" w:color="auto" w:fill="D2EEF5"/>
          </w:tcPr>
          <w:p>
            <w:pPr>
              <w:ind w:left="220"/>
              <w:spacing w:after="0"/>
              <w:rPr>
                <w:sz w:val="20"/>
                <w:szCs w:val="20"/>
                <w:color w:val="auto"/>
              </w:rPr>
            </w:pPr>
            <w:r>
              <w:rPr>
                <w:rFonts w:ascii="Arial" w:cs="Arial" w:eastAsia="Arial" w:hAnsi="Arial"/>
                <w:sz w:val="15"/>
                <w:szCs w:val="15"/>
                <w:color w:val="auto"/>
                <w:w w:val="96"/>
              </w:rPr>
              <w:t>125.333 W</w:t>
            </w:r>
          </w:p>
        </w:tc>
        <w:tc>
          <w:tcPr>
            <w:tcW w:w="84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246693</w:t>
            </w: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436796</w:t>
            </w:r>
          </w:p>
        </w:tc>
        <w:tc>
          <w:tcPr>
            <w:tcW w:w="160" w:type="dxa"/>
            <w:vAlign w:val="bottom"/>
            <w:shd w:val="clear" w:color="auto" w:fill="D2EEF5"/>
          </w:tcPr>
          <w:p>
            <w:pPr>
              <w:spacing w:after="0"/>
              <w:rPr>
                <w:sz w:val="15"/>
                <w:szCs w:val="15"/>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1409563</w:t>
            </w:r>
          </w:p>
        </w:tc>
        <w:tc>
          <w:tcPr>
            <w:tcW w:w="140" w:type="dxa"/>
            <w:vAlign w:val="bottom"/>
            <w:shd w:val="clear" w:color="auto" w:fill="D2EEF5"/>
          </w:tcPr>
          <w:p>
            <w:pPr>
              <w:spacing w:after="0"/>
              <w:rPr>
                <w:sz w:val="15"/>
                <w:szCs w:val="15"/>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1447513</w:t>
            </w:r>
          </w:p>
        </w:tc>
        <w:tc>
          <w:tcPr>
            <w:tcW w:w="160" w:type="dxa"/>
            <w:vAlign w:val="bottom"/>
            <w:shd w:val="clear" w:color="auto" w:fill="D2EEF5"/>
          </w:tcPr>
          <w:p>
            <w:pPr>
              <w:spacing w:after="0"/>
              <w:rPr>
                <w:sz w:val="15"/>
                <w:szCs w:val="15"/>
                <w:color w:val="auto"/>
              </w:rPr>
            </w:pPr>
          </w:p>
        </w:tc>
        <w:tc>
          <w:tcPr>
            <w:tcW w:w="420" w:type="dxa"/>
            <w:vAlign w:val="bottom"/>
            <w:gridSpan w:val="2"/>
            <w:shd w:val="clear" w:color="auto" w:fill="D2EEF5"/>
          </w:tcPr>
          <w:p>
            <w:pPr>
              <w:jc w:val="right"/>
              <w:ind w:right="60"/>
              <w:spacing w:after="0"/>
              <w:rPr>
                <w:sz w:val="20"/>
                <w:szCs w:val="20"/>
                <w:color w:val="auto"/>
              </w:rPr>
            </w:pPr>
            <w:r>
              <w:rPr>
                <w:rFonts w:ascii="Arial" w:cs="Arial" w:eastAsia="Arial" w:hAnsi="Arial"/>
                <w:sz w:val="15"/>
                <w:szCs w:val="15"/>
                <w:color w:val="auto"/>
              </w:rPr>
              <w:t>10P</w:t>
            </w:r>
          </w:p>
        </w:tc>
        <w:tc>
          <w:tcPr>
            <w:tcW w:w="0" w:type="dxa"/>
            <w:vAlign w:val="bottom"/>
          </w:tcPr>
          <w:p>
            <w:pPr>
              <w:spacing w:after="0"/>
              <w:rPr>
                <w:sz w:val="1"/>
                <w:szCs w:val="1"/>
                <w:color w:val="auto"/>
              </w:rPr>
            </w:pPr>
          </w:p>
        </w:tc>
      </w:tr>
      <w:tr>
        <w:trPr>
          <w:trHeight w:val="205"/>
        </w:trPr>
        <w:tc>
          <w:tcPr>
            <w:tcW w:w="2680" w:type="dxa"/>
            <w:vAlign w:val="bottom"/>
            <w:gridSpan w:val="2"/>
          </w:tcPr>
          <w:p>
            <w:pPr>
              <w:spacing w:after="0"/>
              <w:rPr>
                <w:sz w:val="20"/>
                <w:szCs w:val="20"/>
                <w:color w:val="auto"/>
              </w:rPr>
            </w:pPr>
            <w:r>
              <w:rPr>
                <w:rFonts w:ascii="Arial" w:cs="Arial" w:eastAsia="Arial" w:hAnsi="Arial"/>
                <w:sz w:val="15"/>
                <w:szCs w:val="15"/>
                <w:color w:val="auto"/>
              </w:rPr>
              <w:t>F</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9.895 N</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11.083 N</w:t>
            </w:r>
          </w:p>
        </w:tc>
        <w:tc>
          <w:tcPr>
            <w:tcW w:w="940" w:type="dxa"/>
            <w:vAlign w:val="bottom"/>
          </w:tcPr>
          <w:p>
            <w:pPr>
              <w:ind w:left="220"/>
              <w:spacing w:after="0"/>
              <w:rPr>
                <w:sz w:val="20"/>
                <w:szCs w:val="20"/>
                <w:color w:val="auto"/>
              </w:rPr>
            </w:pPr>
            <w:r>
              <w:rPr>
                <w:rFonts w:ascii="Arial" w:cs="Arial" w:eastAsia="Arial" w:hAnsi="Arial"/>
                <w:sz w:val="15"/>
                <w:szCs w:val="15"/>
                <w:color w:val="auto"/>
                <w:w w:val="96"/>
              </w:rPr>
              <w:t>117.817 W</w:t>
            </w:r>
          </w:p>
        </w:tc>
        <w:tc>
          <w:tcPr>
            <w:tcW w:w="14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auto"/>
                <w:w w:val="93"/>
              </w:rPr>
              <w:t>118.917 W</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289835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410804</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1093917</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1225828</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11P</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15"/>
          <w:szCs w:val="15"/>
          <w:color w:val="auto"/>
        </w:rPr>
        <w:t>DD — Decimal degrees, UTM — Universal Transverse Mercator map projection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The CCZ lies between Hawaii and Mexico and is accessible by ship from various ports in the U.S.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See Section 3 of the TOML Technical Report Summary for further specific information of the location of the TOML Contract Area.</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Tenements and permits</w:t>
      </w:r>
    </w:p>
    <w:p>
      <w:pPr>
        <w:spacing w:after="0" w:line="192"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See Business Regulations-The TOML Exploration Contract, Business Regulations-The TOML Sponsorship Agreement and Business Regulations- International Seabed Authority above for information related to tenements and permits in the TOML Contract Area</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TOML obligations and sponsorship</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See Business Regulations-The TOML Exploration Contract, Business Regulations-The TOML Sponsorship Agreement above for information related to this agreement in the TOML Contract Area.</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Royalties and taxes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See Business Regulations-Royalties and taxes above for information with respect to our obligations for royalties and taxes in the TOML Contract Area.</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History of previous exploration activities in the TOML Area</w:t>
      </w:r>
    </w:p>
    <w:p>
      <w:pPr>
        <w:spacing w:after="0" w:line="19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45"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46"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See Section 5 of the TOML Technical Report Summary for further specific information of the history of previous exploration of the TOML Contract Area.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Geology and sampling</w:t>
      </w:r>
    </w:p>
    <w:p>
      <w:pPr>
        <w:spacing w:after="0" w:line="192" w:lineRule="exact"/>
        <w:rPr>
          <w:sz w:val="20"/>
          <w:szCs w:val="20"/>
          <w:color w:val="auto"/>
        </w:rPr>
      </w:pPr>
    </w:p>
    <w:p>
      <w:pPr>
        <w:jc w:val="both"/>
        <w:ind w:left="80" w:right="80" w:firstLine="274"/>
        <w:spacing w:after="0" w:line="263" w:lineRule="auto"/>
        <w:rPr>
          <w:sz w:val="20"/>
          <w:szCs w:val="20"/>
          <w:color w:val="auto"/>
        </w:rPr>
      </w:pPr>
      <w:r>
        <w:rPr>
          <w:rFonts w:ascii="Arial" w:cs="Arial" w:eastAsia="Arial" w:hAnsi="Arial"/>
          <w:sz w:val="15"/>
          <w:szCs w:val="15"/>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kilometers in length and up to 600 kilometers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147"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37"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specific conditions of the CCZ (water depth, latitude, and seafloor sediment type) are considered to be the key controls for the formation of polymetallic nodules.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5"/>
          <w:szCs w:val="15"/>
          <w:color w:val="auto"/>
        </w:rPr>
        <w:t>Nodules are typically 4 to 6 cm and up to 10 cm in diameter.</w:t>
      </w:r>
    </w:p>
    <w:p>
      <w:pPr>
        <w:spacing w:after="0" w:line="193"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46"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37"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41" w:lineRule="exact"/>
        <w:rPr>
          <w:sz w:val="20"/>
          <w:szCs w:val="20"/>
          <w:color w:val="auto"/>
        </w:rPr>
      </w:pPr>
    </w:p>
    <w:p>
      <w:pPr>
        <w:jc w:val="both"/>
        <w:ind w:left="80" w:right="80" w:firstLine="274"/>
        <w:spacing w:after="0" w:line="263" w:lineRule="auto"/>
        <w:rPr>
          <w:sz w:val="20"/>
          <w:szCs w:val="20"/>
          <w:color w:val="auto"/>
        </w:rPr>
      </w:pPr>
      <w:r>
        <w:rPr>
          <w:rFonts w:ascii="Arial" w:cs="Arial" w:eastAsia="Arial" w:hAnsi="Arial"/>
          <w:sz w:val="15"/>
          <w:szCs w:val="15"/>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47" w:lineRule="exact"/>
        <w:rPr>
          <w:sz w:val="20"/>
          <w:szCs w:val="20"/>
          <w:color w:val="auto"/>
        </w:rPr>
      </w:pPr>
    </w:p>
    <w:p>
      <w:pPr>
        <w:jc w:val="both"/>
        <w:ind w:left="80" w:right="80" w:firstLine="275"/>
        <w:spacing w:after="0" w:line="238" w:lineRule="auto"/>
        <w:rPr>
          <w:sz w:val="20"/>
          <w:szCs w:val="20"/>
          <w:color w:val="auto"/>
        </w:rPr>
      </w:pPr>
      <w:r>
        <w:rPr>
          <w:rFonts w:ascii="Arial" w:cs="Arial" w:eastAsia="Arial" w:hAnsi="Arial"/>
          <w:sz w:val="14"/>
          <w:szCs w:val="14"/>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Arial" w:cs="Arial" w:eastAsia="Arial" w:hAnsi="Arial"/>
          <w:sz w:val="20"/>
          <w:szCs w:val="20"/>
          <w:color w:val="auto"/>
          <w:vertAlign w:val="superscript"/>
        </w:rPr>
        <w:t>2</w:t>
      </w:r>
      <w:r>
        <w:rPr>
          <w:rFonts w:ascii="Arial" w:cs="Arial" w:eastAsia="Arial" w:hAnsi="Arial"/>
          <w:sz w:val="14"/>
          <w:szCs w:val="14"/>
          <w:color w:val="auto"/>
        </w:rPr>
        <w:t>) was derived by dividing the weight of recovered nodules by the surface area covered by the open jaws of the sampler or corer (typically 0.25 to 0.75 m</w:t>
      </w:r>
      <w:r>
        <w:rPr>
          <w:rFonts w:ascii="Arial" w:cs="Arial" w:eastAsia="Arial" w:hAnsi="Arial"/>
          <w:sz w:val="20"/>
          <w:szCs w:val="20"/>
          <w:color w:val="auto"/>
          <w:vertAlign w:val="superscript"/>
        </w:rPr>
        <w:t>2</w:t>
      </w:r>
      <w:r>
        <w:rPr>
          <w:rFonts w:ascii="Arial" w:cs="Arial" w:eastAsia="Arial" w:hAnsi="Arial"/>
          <w:sz w:val="14"/>
          <w:szCs w:val="14"/>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37" w:lineRule="exact"/>
        <w:rPr>
          <w:sz w:val="20"/>
          <w:szCs w:val="20"/>
          <w:color w:val="auto"/>
        </w:rPr>
      </w:pPr>
    </w:p>
    <w:p>
      <w:pPr>
        <w:ind w:left="80" w:right="2060" w:firstLine="275"/>
        <w:spacing w:after="0" w:line="509" w:lineRule="auto"/>
        <w:rPr>
          <w:sz w:val="20"/>
          <w:szCs w:val="20"/>
          <w:color w:val="auto"/>
        </w:rPr>
      </w:pPr>
      <w:r>
        <w:rPr>
          <w:rFonts w:ascii="Arial" w:cs="Arial" w:eastAsia="Arial" w:hAnsi="Arial"/>
          <w:sz w:val="15"/>
          <w:szCs w:val="15"/>
          <w:color w:val="auto"/>
        </w:rPr>
        <w:t xml:space="preserve">For more information about the TOML exploration campaigns in 2013 and 2015, see Section 7 of the TOML Technical Report Summary. </w:t>
      </w:r>
      <w:r>
        <w:rPr>
          <w:rFonts w:ascii="Arial" w:cs="Arial" w:eastAsia="Arial" w:hAnsi="Arial"/>
          <w:sz w:val="15"/>
          <w:szCs w:val="15"/>
          <w:b w:val="1"/>
          <w:bCs w:val="1"/>
          <w:i w:val="1"/>
          <w:iCs w:val="1"/>
          <w:color w:val="auto"/>
        </w:rPr>
        <w:t>Mineral resource estimate</w:t>
      </w:r>
    </w:p>
    <w:p>
      <w:pPr>
        <w:jc w:val="both"/>
        <w:ind w:left="80" w:right="80" w:firstLine="274"/>
        <w:spacing w:after="0" w:line="299" w:lineRule="auto"/>
        <w:rPr>
          <w:sz w:val="20"/>
          <w:szCs w:val="20"/>
          <w:color w:val="auto"/>
        </w:rPr>
      </w:pPr>
      <w:r>
        <w:rPr>
          <w:rFonts w:ascii="Arial" w:cs="Arial" w:eastAsia="Arial" w:hAnsi="Arial"/>
          <w:sz w:val="15"/>
          <w:szCs w:val="15"/>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9" w:lineRule="exact"/>
        <w:rPr>
          <w:sz w:val="20"/>
          <w:szCs w:val="20"/>
          <w:color w:val="auto"/>
        </w:rPr>
      </w:pPr>
    </w:p>
    <w:p>
      <w:pPr>
        <w:jc w:val="both"/>
        <w:ind w:left="80" w:right="80" w:firstLine="274"/>
        <w:spacing w:after="0" w:line="337" w:lineRule="auto"/>
        <w:rPr>
          <w:sz w:val="20"/>
          <w:szCs w:val="20"/>
          <w:color w:val="auto"/>
        </w:rPr>
      </w:pPr>
      <w:r>
        <w:rPr>
          <w:rFonts w:ascii="Arial" w:cs="Arial" w:eastAsia="Arial" w:hAnsi="Arial"/>
          <w:sz w:val="13"/>
          <w:szCs w:val="13"/>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587-line kilometers). Only sample data within the TOML Contract Area was used to inform the estimates.</w:t>
      </w:r>
    </w:p>
    <w:p>
      <w:pPr>
        <w:spacing w:after="0" w:line="10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Six block models were constructed using the geostatistical modelling programs Gstat 1.1-3 and R 3.2.5, one for each TOML Exploration Area (A to F), in three passes. The first pass used a parent block dimension of 1.75 kilometers by 1.75 kilometers and filled the areas defined as measured mineral resource. The second pass for indicated mineral resource used a parent block size of 3.5 kilometers by 3.5 kilometers while the third pass for inferred mineral resource used a parent block size of 7.0 kilometers by 7.0 kilometers.</w:t>
      </w:r>
    </w:p>
    <w:p>
      <w:pPr>
        <w:spacing w:after="0" w:line="141"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46"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41"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Inferred mineral resource classification was based on sampling by pioneer contractors on a nominal spacing of 20 kilometers, the variation and uncertainty in the sample quality, and the likely presence of short-range variation to nodule abundance.</w:t>
      </w:r>
    </w:p>
    <w:p>
      <w:pPr>
        <w:spacing w:after="0" w:line="119"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Indicated mineral resource classification was based on box core sampling by TOML on a nominal spacing of approximately 7 kilometers by 7 kilometers (including photo profiling in some cases at 7 kilometers by 3 kilometers), supplemented by sampling by pioneer contractors.</w:t>
      </w:r>
    </w:p>
    <w:p>
      <w:pPr>
        <w:spacing w:after="0" w:line="119"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Measured mineral resource was based on box core sampling by TOML on a nominal spacing of approximately 7 km by 7 kilometers plus photo-profiling on a nominal spacing of 3.5 kilometers by 3.0 kilometers, supplemented by sampling by pioneer contractors.</w:t>
      </w:r>
    </w:p>
    <w:p>
      <w:pPr>
        <w:spacing w:after="0" w:line="119"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mineral resource estimate for the TOML Contract Area, and at a 4 kilogram/square meters abundance cut-off is set forth below. The estimated mineral resources were determined in 2021, as of December 31, 2020, and also reflect the estimated mineral resources as of December 31, 2024, as none of the mineral resources in these areas were depleted by mining or any other activities. We do not believe there have been any other material changes to the estimated mineral resources since the 2021 determination thereof.</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Mineral Resource Estimate December 31, 2024, In-Situ, for the TOML Contract Area within the CCZ at a 4 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nodule abundance cut-off</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4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Mineral Resource Classification</w:t>
            </w:r>
          </w:p>
        </w:tc>
        <w:tc>
          <w:tcPr>
            <w:tcW w:w="10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Tonnes</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Abundance</w:t>
            </w:r>
          </w:p>
        </w:tc>
        <w:tc>
          <w:tcPr>
            <w:tcW w:w="1020" w:type="dxa"/>
            <w:vAlign w:val="bottom"/>
            <w:gridSpan w:val="2"/>
          </w:tcPr>
          <w:p>
            <w:pPr>
              <w:ind w:left="360"/>
              <w:spacing w:after="0"/>
              <w:rPr>
                <w:sz w:val="20"/>
                <w:szCs w:val="20"/>
                <w:color w:val="auto"/>
              </w:rPr>
            </w:pPr>
            <w:r>
              <w:rPr>
                <w:rFonts w:ascii="Arial" w:cs="Arial" w:eastAsia="Arial" w:hAnsi="Arial"/>
                <w:sz w:val="12"/>
                <w:szCs w:val="12"/>
                <w:b w:val="1"/>
                <w:bCs w:val="1"/>
                <w:color w:val="auto"/>
              </w:rPr>
              <w:t>Ni</w:t>
            </w:r>
          </w:p>
        </w:tc>
        <w:tc>
          <w:tcPr>
            <w:tcW w:w="1020" w:type="dxa"/>
            <w:vAlign w:val="bottom"/>
            <w:gridSpan w:val="2"/>
          </w:tcPr>
          <w:p>
            <w:pPr>
              <w:ind w:left="360"/>
              <w:spacing w:after="0"/>
              <w:rPr>
                <w:sz w:val="20"/>
                <w:szCs w:val="20"/>
                <w:color w:val="auto"/>
              </w:rPr>
            </w:pPr>
            <w:r>
              <w:rPr>
                <w:rFonts w:ascii="Arial" w:cs="Arial" w:eastAsia="Arial" w:hAnsi="Arial"/>
                <w:sz w:val="12"/>
                <w:szCs w:val="12"/>
                <w:b w:val="1"/>
                <w:bCs w:val="1"/>
                <w:color w:val="auto"/>
              </w:rPr>
              <w:t>Cu</w:t>
            </w:r>
          </w:p>
        </w:tc>
        <w:tc>
          <w:tcPr>
            <w:tcW w:w="1040" w:type="dxa"/>
            <w:vAlign w:val="bottom"/>
            <w:gridSpan w:val="2"/>
          </w:tcPr>
          <w:p>
            <w:pPr>
              <w:ind w:left="360"/>
              <w:spacing w:after="0"/>
              <w:rPr>
                <w:sz w:val="20"/>
                <w:szCs w:val="20"/>
                <w:color w:val="auto"/>
              </w:rPr>
            </w:pPr>
            <w:r>
              <w:rPr>
                <w:rFonts w:ascii="Arial" w:cs="Arial" w:eastAsia="Arial" w:hAnsi="Arial"/>
                <w:sz w:val="12"/>
                <w:szCs w:val="12"/>
                <w:b w:val="1"/>
                <w:bCs w:val="1"/>
                <w:color w:val="auto"/>
              </w:rPr>
              <w:t>Co</w:t>
            </w:r>
          </w:p>
        </w:tc>
        <w:tc>
          <w:tcPr>
            <w:tcW w:w="860" w:type="dxa"/>
            <w:vAlign w:val="bottom"/>
          </w:tcPr>
          <w:p>
            <w:pPr>
              <w:jc w:val="right"/>
              <w:ind w:right="269"/>
              <w:spacing w:after="0"/>
              <w:rPr>
                <w:sz w:val="20"/>
                <w:szCs w:val="20"/>
                <w:color w:val="auto"/>
              </w:rPr>
            </w:pPr>
            <w:r>
              <w:rPr>
                <w:rFonts w:ascii="Arial" w:cs="Arial" w:eastAsia="Arial" w:hAnsi="Arial"/>
                <w:sz w:val="12"/>
                <w:szCs w:val="12"/>
                <w:b w:val="1"/>
                <w:bCs w:val="1"/>
                <w:color w:val="auto"/>
              </w:rPr>
              <w:t>Mn</w:t>
            </w:r>
          </w:p>
        </w:tc>
        <w:tc>
          <w:tcPr>
            <w:tcW w:w="0" w:type="dxa"/>
            <w:vAlign w:val="bottom"/>
          </w:tcPr>
          <w:p>
            <w:pPr>
              <w:spacing w:after="0"/>
              <w:rPr>
                <w:sz w:val="1"/>
                <w:szCs w:val="1"/>
                <w:color w:val="auto"/>
              </w:rPr>
            </w:pPr>
          </w:p>
        </w:tc>
      </w:tr>
      <w:tr>
        <w:trPr>
          <w:trHeight w:val="149"/>
        </w:trPr>
        <w:tc>
          <w:tcPr>
            <w:tcW w:w="464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2"/>
                <w:szCs w:val="12"/>
                <w:b w:val="1"/>
                <w:bCs w:val="1"/>
                <w:color w:val="auto"/>
                <w:w w:val="94"/>
              </w:rPr>
              <w:t>(x10</w:t>
            </w:r>
            <w:r>
              <w:rPr>
                <w:rFonts w:ascii="Arial" w:cs="Arial" w:eastAsia="Arial" w:hAnsi="Arial"/>
                <w:sz w:val="17"/>
                <w:szCs w:val="17"/>
                <w:b w:val="1"/>
                <w:bCs w:val="1"/>
                <w:color w:val="auto"/>
                <w:w w:val="94"/>
                <w:vertAlign w:val="superscript"/>
              </w:rPr>
              <w:t>6</w:t>
            </w:r>
            <w:r>
              <w:rPr>
                <w:rFonts w:ascii="Arial" w:cs="Arial" w:eastAsia="Arial" w:hAnsi="Arial"/>
                <w:sz w:val="12"/>
                <w:szCs w:val="12"/>
                <w:b w:val="1"/>
                <w:bCs w:val="1"/>
                <w:color w:val="auto"/>
                <w:w w:val="94"/>
              </w:rPr>
              <w:t xml:space="preserve"> wet t)*</w:t>
            </w:r>
          </w:p>
        </w:tc>
        <w:tc>
          <w:tcPr>
            <w:tcW w:w="1040" w:type="dxa"/>
            <w:vAlign w:val="bottom"/>
            <w:gridSpan w:val="2"/>
          </w:tcPr>
          <w:p>
            <w:pPr>
              <w:ind w:left="120"/>
              <w:spacing w:after="0" w:line="149" w:lineRule="exact"/>
              <w:rPr>
                <w:sz w:val="20"/>
                <w:szCs w:val="20"/>
                <w:color w:val="auto"/>
              </w:rPr>
            </w:pPr>
            <w:r>
              <w:rPr>
                <w:rFonts w:ascii="Arial" w:cs="Arial" w:eastAsia="Arial" w:hAnsi="Arial"/>
                <w:sz w:val="12"/>
                <w:szCs w:val="12"/>
                <w:b w:val="1"/>
                <w:bCs w:val="1"/>
                <w:color w:val="auto"/>
              </w:rPr>
              <w:t>(wet kg/m</w:t>
            </w:r>
            <w:r>
              <w:rPr>
                <w:rFonts w:ascii="Arial" w:cs="Arial" w:eastAsia="Arial" w:hAnsi="Arial"/>
                <w:sz w:val="17"/>
                <w:szCs w:val="17"/>
                <w:b w:val="1"/>
                <w:bCs w:val="1"/>
                <w:color w:val="auto"/>
                <w:vertAlign w:val="superscript"/>
              </w:rPr>
              <w:t>2</w:t>
            </w:r>
            <w:r>
              <w:rPr>
                <w:rFonts w:ascii="Arial" w:cs="Arial" w:eastAsia="Arial" w:hAnsi="Arial"/>
                <w:sz w:val="12"/>
                <w:szCs w:val="12"/>
                <w:b w:val="1"/>
                <w:bCs w:val="1"/>
                <w:color w:val="auto"/>
              </w:rPr>
              <w:t>)</w:t>
            </w:r>
          </w:p>
        </w:tc>
        <w:tc>
          <w:tcPr>
            <w:tcW w:w="840" w:type="dxa"/>
            <w:vAlign w:val="bottom"/>
          </w:tcPr>
          <w:p>
            <w:pPr>
              <w:jc w:val="right"/>
              <w:ind w:right="24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60" w:type="dxa"/>
            <w:vAlign w:val="bottom"/>
          </w:tcPr>
          <w:p>
            <w:pPr>
              <w:jc w:val="right"/>
              <w:ind w:right="26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60" w:type="dxa"/>
            <w:vAlign w:val="bottom"/>
          </w:tcPr>
          <w:p>
            <w:pPr>
              <w:jc w:val="right"/>
              <w:ind w:right="24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60" w:type="dxa"/>
            <w:vAlign w:val="bottom"/>
          </w:tcPr>
          <w:p>
            <w:pPr>
              <w:jc w:val="right"/>
              <w:ind w:right="26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448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Measured</w:t>
            </w:r>
          </w:p>
        </w:tc>
        <w:tc>
          <w:tcPr>
            <w:tcW w:w="160" w:type="dxa"/>
            <w:vAlign w:val="bottom"/>
            <w:tcBorders>
              <w:top w:val="single" w:sz="8" w:color="D2EEF5"/>
            </w:tcBorders>
            <w:shd w:val="clear" w:color="auto" w:fill="D2EEF5"/>
          </w:tcPr>
          <w:p>
            <w:pPr>
              <w:spacing w:after="0"/>
              <w:rPr>
                <w:sz w:val="15"/>
                <w:szCs w:val="15"/>
                <w:color w:val="auto"/>
              </w:rPr>
            </w:pPr>
          </w:p>
        </w:tc>
        <w:tc>
          <w:tcPr>
            <w:tcW w:w="8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2.6</w:t>
            </w:r>
          </w:p>
        </w:tc>
        <w:tc>
          <w:tcPr>
            <w:tcW w:w="180" w:type="dxa"/>
            <w:vAlign w:val="bottom"/>
            <w:tcBorders>
              <w:top w:val="single" w:sz="8" w:color="D2EEF5"/>
            </w:tcBorders>
            <w:shd w:val="clear" w:color="auto" w:fill="D2EEF5"/>
          </w:tcPr>
          <w:p>
            <w:pPr>
              <w:spacing w:after="0"/>
              <w:rPr>
                <w:sz w:val="15"/>
                <w:szCs w:val="15"/>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11.8</w:t>
            </w:r>
          </w:p>
        </w:tc>
        <w:tc>
          <w:tcPr>
            <w:tcW w:w="180" w:type="dxa"/>
            <w:vAlign w:val="bottom"/>
            <w:tcBorders>
              <w:top w:val="single" w:sz="8" w:color="D2EEF5"/>
            </w:tcBorders>
            <w:shd w:val="clear" w:color="auto" w:fill="D2EEF5"/>
          </w:tcPr>
          <w:p>
            <w:pPr>
              <w:spacing w:after="0"/>
              <w:rPr>
                <w:sz w:val="15"/>
                <w:szCs w:val="15"/>
                <w:color w:val="auto"/>
              </w:rPr>
            </w:pPr>
          </w:p>
        </w:tc>
        <w:tc>
          <w:tcPr>
            <w:tcW w:w="8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1.33</w:t>
            </w:r>
          </w:p>
        </w:tc>
        <w:tc>
          <w:tcPr>
            <w:tcW w:w="180" w:type="dxa"/>
            <w:vAlign w:val="bottom"/>
            <w:tcBorders>
              <w:top w:val="single" w:sz="8" w:color="D2EEF5"/>
            </w:tcBorders>
            <w:shd w:val="clear" w:color="auto" w:fill="D2EEF5"/>
          </w:tcPr>
          <w:p>
            <w:pPr>
              <w:spacing w:after="0"/>
              <w:rPr>
                <w:sz w:val="15"/>
                <w:szCs w:val="15"/>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1.05</w:t>
            </w:r>
          </w:p>
        </w:tc>
        <w:tc>
          <w:tcPr>
            <w:tcW w:w="160" w:type="dxa"/>
            <w:vAlign w:val="bottom"/>
            <w:tcBorders>
              <w:top w:val="single" w:sz="8" w:color="D2EEF5"/>
            </w:tcBorders>
            <w:shd w:val="clear" w:color="auto" w:fill="D2EEF5"/>
          </w:tcPr>
          <w:p>
            <w:pPr>
              <w:spacing w:after="0"/>
              <w:rPr>
                <w:sz w:val="15"/>
                <w:szCs w:val="15"/>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0.23</w:t>
            </w:r>
          </w:p>
        </w:tc>
        <w:tc>
          <w:tcPr>
            <w:tcW w:w="180" w:type="dxa"/>
            <w:vAlign w:val="bottom"/>
            <w:tcBorders>
              <w:top w:val="single" w:sz="8" w:color="D2EEF5"/>
            </w:tcBorders>
            <w:shd w:val="clear" w:color="auto" w:fill="D2EEF5"/>
          </w:tcPr>
          <w:p>
            <w:pPr>
              <w:spacing w:after="0"/>
              <w:rPr>
                <w:sz w:val="15"/>
                <w:szCs w:val="15"/>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83"/>
        </w:trPr>
        <w:tc>
          <w:tcPr>
            <w:tcW w:w="4640" w:type="dxa"/>
            <w:vAlign w:val="bottom"/>
            <w:gridSpan w:val="2"/>
          </w:tcPr>
          <w:p>
            <w:pPr>
              <w:spacing w:after="0"/>
              <w:rPr>
                <w:sz w:val="20"/>
                <w:szCs w:val="20"/>
                <w:color w:val="auto"/>
              </w:rPr>
            </w:pPr>
            <w:r>
              <w:rPr>
                <w:rFonts w:ascii="Arial" w:cs="Arial" w:eastAsia="Arial" w:hAnsi="Arial"/>
                <w:sz w:val="15"/>
                <w:szCs w:val="15"/>
                <w:color w:val="auto"/>
              </w:rPr>
              <w:t>Indicated</w:t>
            </w:r>
          </w:p>
        </w:tc>
        <w:tc>
          <w:tcPr>
            <w:tcW w:w="840" w:type="dxa"/>
            <w:vAlign w:val="bottom"/>
          </w:tcPr>
          <w:p>
            <w:pPr>
              <w:jc w:val="right"/>
              <w:spacing w:after="0"/>
              <w:rPr>
                <w:sz w:val="20"/>
                <w:szCs w:val="20"/>
                <w:color w:val="auto"/>
              </w:rPr>
            </w:pPr>
            <w:r>
              <w:rPr>
                <w:rFonts w:ascii="Arial" w:cs="Arial" w:eastAsia="Arial" w:hAnsi="Arial"/>
                <w:sz w:val="15"/>
                <w:szCs w:val="15"/>
                <w:color w:val="auto"/>
              </w:rPr>
              <w:t>69.6</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11.8</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1.18</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0.21</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183"/>
        </w:trPr>
        <w:tc>
          <w:tcPr>
            <w:tcW w:w="46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Measured + Indicated</w:t>
            </w:r>
          </w:p>
        </w:tc>
        <w:tc>
          <w:tcPr>
            <w:tcW w:w="8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72.2</w:t>
            </w:r>
          </w:p>
        </w:tc>
        <w:tc>
          <w:tcPr>
            <w:tcW w:w="18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11.8</w:t>
            </w:r>
          </w:p>
        </w:tc>
        <w:tc>
          <w:tcPr>
            <w:tcW w:w="180" w:type="dxa"/>
            <w:vAlign w:val="bottom"/>
            <w:shd w:val="clear" w:color="auto" w:fill="D2EEF5"/>
          </w:tcPr>
          <w:p>
            <w:pPr>
              <w:spacing w:after="0"/>
              <w:rPr>
                <w:sz w:val="15"/>
                <w:szCs w:val="15"/>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1.35</w:t>
            </w:r>
          </w:p>
        </w:tc>
        <w:tc>
          <w:tcPr>
            <w:tcW w:w="18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1.18</w:t>
            </w:r>
          </w:p>
        </w:tc>
        <w:tc>
          <w:tcPr>
            <w:tcW w:w="16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0.21</w:t>
            </w:r>
          </w:p>
        </w:tc>
        <w:tc>
          <w:tcPr>
            <w:tcW w:w="18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5"/>
                <w:szCs w:val="15"/>
                <w:color w:val="auto"/>
              </w:rPr>
              <w:t>Inferred</w:t>
            </w:r>
          </w:p>
        </w:tc>
        <w:tc>
          <w:tcPr>
            <w:tcW w:w="840" w:type="dxa"/>
            <w:vAlign w:val="bottom"/>
          </w:tcPr>
          <w:p>
            <w:pPr>
              <w:jc w:val="right"/>
              <w:spacing w:after="0"/>
              <w:rPr>
                <w:sz w:val="20"/>
                <w:szCs w:val="20"/>
                <w:color w:val="auto"/>
              </w:rPr>
            </w:pPr>
            <w:r>
              <w:rPr>
                <w:rFonts w:ascii="Arial" w:cs="Arial" w:eastAsia="Arial" w:hAnsi="Arial"/>
                <w:sz w:val="15"/>
                <w:szCs w:val="15"/>
                <w:color w:val="auto"/>
              </w:rPr>
              <w:t>696</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11.3</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1.29</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1.14</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0.20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47625</wp:posOffset>
                </wp:positionV>
                <wp:extent cx="168465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339">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3.75pt" to="136.65pt,3.75pt" o:allowincell="f" strokecolor="#000000" strokeweight="0.5779pt"/>
            </w:pict>
          </mc:Fallback>
        </mc:AlternateContent>
      </w:r>
    </w:p>
    <w:p>
      <w:pPr>
        <w:spacing w:after="0" w:line="120" w:lineRule="exact"/>
        <w:rPr>
          <w:sz w:val="20"/>
          <w:szCs w:val="20"/>
          <w:color w:val="auto"/>
        </w:rPr>
      </w:pPr>
    </w:p>
    <w:p>
      <w:pPr>
        <w:jc w:val="both"/>
        <w:ind w:left="80" w:right="80"/>
        <w:spacing w:after="0" w:line="299" w:lineRule="auto"/>
        <w:rPr>
          <w:sz w:val="20"/>
          <w:szCs w:val="20"/>
          <w:color w:val="auto"/>
        </w:rPr>
      </w:pPr>
      <w:r>
        <w:rPr>
          <w:rFonts w:ascii="Arial" w:cs="Arial" w:eastAsia="Arial" w:hAnsi="Arial"/>
          <w:sz w:val="15"/>
          <w:szCs w:val="15"/>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19" w:lineRule="exact"/>
        <w:rPr>
          <w:sz w:val="20"/>
          <w:szCs w:val="20"/>
          <w:color w:val="auto"/>
        </w:rPr>
      </w:pPr>
    </w:p>
    <w:p>
      <w:pPr>
        <w:ind w:left="360" w:hanging="279"/>
        <w:spacing w:after="0"/>
        <w:tabs>
          <w:tab w:leader="none" w:pos="3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Variations in totals are due to rounding of individual values. Mn, Ni, Cu and Co assays on samples dried at 105˚C</w:t>
      </w:r>
    </w:p>
    <w:p>
      <w:pPr>
        <w:spacing w:after="0" w:line="194"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19"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The above mineral resource estimate (measured, indicated and inferred mineral resources), which was informed by data collected by TOML in 2013 and 2015, is presented in Table 11.9 of the TOML Technical Report Summary.</w:t>
      </w:r>
    </w:p>
    <w:p>
      <w:pPr>
        <w:spacing w:after="0" w:line="119" w:lineRule="exact"/>
        <w:rPr>
          <w:sz w:val="20"/>
          <w:szCs w:val="20"/>
          <w:color w:val="auto"/>
        </w:rPr>
      </w:pPr>
    </w:p>
    <w:p>
      <w:pPr>
        <w:jc w:val="both"/>
        <w:ind w:left="80" w:right="80" w:firstLine="275"/>
        <w:spacing w:after="0" w:line="246" w:lineRule="auto"/>
        <w:rPr>
          <w:sz w:val="20"/>
          <w:szCs w:val="20"/>
          <w:color w:val="auto"/>
        </w:rPr>
      </w:pPr>
      <w:r>
        <w:rPr>
          <w:rFonts w:ascii="Arial" w:cs="Arial" w:eastAsia="Arial" w:hAnsi="Arial"/>
          <w:sz w:val="15"/>
          <w:szCs w:val="15"/>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copper metal $6,872/t; cobalt metal $46,333/t;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163"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The initial inferred mineral resource for the TOML Contract Area was reported on March 20, 2013 by Golder Associates. The changes in the above mineral resource estimate from 2013 for the TOML Contract Area are due to:</w:t>
      </w:r>
    </w:p>
    <w:p>
      <w:pPr>
        <w:spacing w:after="0" w:line="119" w:lineRule="exact"/>
        <w:rPr>
          <w:sz w:val="20"/>
          <w:szCs w:val="20"/>
          <w:color w:val="auto"/>
        </w:rPr>
      </w:pPr>
    </w:p>
    <w:p>
      <w:pPr>
        <w:ind w:left="660" w:hanging="282"/>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inclusion of Areas E and F for the first time, and high abundances and grades in Area F;</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additional nodule abundance sample information (from box core and photo profile) collected during the 2015 campaign;</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setting the abundance estimates within the no nodule domain to zero in areas covered by MBES (TOML Areas B, C, D, E, F);</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use of ordinary kriging (rather than inverse distance weighting) supported by short-range variogram to estimate abundance; and</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block model parent cell size related to improved sample spacing.</w:t>
      </w:r>
    </w:p>
    <w:p>
      <w:pPr>
        <w:spacing w:after="0" w:line="193"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86" w:lineRule="auto"/>
        <w:rPr>
          <w:sz w:val="20"/>
          <w:szCs w:val="20"/>
          <w:color w:val="auto"/>
        </w:rPr>
      </w:pPr>
      <w:r>
        <w:rPr>
          <w:rFonts w:ascii="Arial" w:cs="Arial" w:eastAsia="Arial" w:hAnsi="Arial"/>
          <w:sz w:val="14"/>
          <w:szCs w:val="14"/>
          <w:color w:val="auto"/>
        </w:rPr>
        <w:t xml:space="preserve">Information concerning our mineral properties in the TOML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4"/>
          <w:szCs w:val="14"/>
          <w:b w:val="1"/>
          <w:bCs w:val="1"/>
          <w:color w:val="auto"/>
        </w:rPr>
        <w:t>You are specifically cautioned not to assume that</w:t>
      </w:r>
      <w:r>
        <w:rPr>
          <w:rFonts w:ascii="Arial" w:cs="Arial" w:eastAsia="Arial" w:hAnsi="Arial"/>
          <w:sz w:val="14"/>
          <w:szCs w:val="14"/>
          <w:color w:val="auto"/>
        </w:rPr>
        <w:t xml:space="preserve"> </w:t>
      </w:r>
      <w:r>
        <w:rPr>
          <w:rFonts w:ascii="Arial" w:cs="Arial" w:eastAsia="Arial" w:hAnsi="Arial"/>
          <w:sz w:val="14"/>
          <w:szCs w:val="14"/>
          <w:b w:val="1"/>
          <w:bCs w:val="1"/>
          <w:color w:val="auto"/>
        </w:rPr>
        <w:t>any part or all of the mineral deposits in these categories will ever be converted into mineral reserves, as defined by the SEC.</w:t>
      </w:r>
    </w:p>
    <w:p>
      <w:pPr>
        <w:spacing w:after="0" w:line="130" w:lineRule="exact"/>
        <w:rPr>
          <w:sz w:val="20"/>
          <w:szCs w:val="20"/>
          <w:color w:val="auto"/>
        </w:rPr>
      </w:pPr>
    </w:p>
    <w:p>
      <w:pPr>
        <w:jc w:val="both"/>
        <w:ind w:left="80" w:right="80" w:firstLine="275"/>
        <w:spacing w:after="0" w:line="286" w:lineRule="auto"/>
        <w:rPr>
          <w:sz w:val="20"/>
          <w:szCs w:val="20"/>
          <w:color w:val="auto"/>
        </w:rPr>
      </w:pPr>
      <w:r>
        <w:rPr>
          <w:rFonts w:ascii="Arial" w:cs="Arial" w:eastAsia="Arial" w:hAnsi="Arial"/>
          <w:sz w:val="14"/>
          <w:szCs w:val="14"/>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Arial" w:cs="Arial" w:eastAsia="Arial" w:hAnsi="Arial"/>
          <w:sz w:val="14"/>
          <w:szCs w:val="14"/>
          <w:b w:val="1"/>
          <w:bCs w:val="1"/>
          <w:color w:val="auto"/>
        </w:rPr>
        <w:t>Therefore, you are cautioned not to assume that all or any part of an</w:t>
      </w:r>
      <w:r>
        <w:rPr>
          <w:rFonts w:ascii="Arial" w:cs="Arial" w:eastAsia="Arial" w:hAnsi="Arial"/>
          <w:sz w:val="14"/>
          <w:szCs w:val="14"/>
          <w:color w:val="auto"/>
        </w:rPr>
        <w:t xml:space="preserve"> </w:t>
      </w:r>
      <w:r>
        <w:rPr>
          <w:rFonts w:ascii="Arial" w:cs="Arial" w:eastAsia="Arial" w:hAnsi="Arial"/>
          <w:sz w:val="14"/>
          <w:szCs w:val="14"/>
          <w:b w:val="1"/>
          <w:bCs w:val="1"/>
          <w:color w:val="auto"/>
        </w:rPr>
        <w:t>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Reasonable prospects for economic extraction</w:t>
      </w:r>
    </w:p>
    <w:p>
      <w:pPr>
        <w:spacing w:after="0" w:line="19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37"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26"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46"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Collection methods</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main items of offshore infrastructure are the nodule collector vehicles, the riser, and three production support vessels (PSV).</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46" w:lineRule="exact"/>
        <w:rPr>
          <w:sz w:val="20"/>
          <w:szCs w:val="20"/>
          <w:color w:val="auto"/>
        </w:rPr>
      </w:pPr>
    </w:p>
    <w:p>
      <w:pPr>
        <w:jc w:val="both"/>
        <w:ind w:left="80" w:right="100" w:firstLine="274"/>
        <w:spacing w:after="0" w:line="323" w:lineRule="auto"/>
        <w:rPr>
          <w:sz w:val="20"/>
          <w:szCs w:val="20"/>
          <w:color w:val="auto"/>
        </w:rPr>
      </w:pPr>
      <w:r>
        <w:rPr>
          <w:rFonts w:ascii="Arial" w:cs="Arial" w:eastAsia="Arial" w:hAnsi="Arial"/>
          <w:sz w:val="13"/>
          <w:szCs w:val="13"/>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10"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18" w:lineRule="exact"/>
        <w:rPr>
          <w:sz w:val="20"/>
          <w:szCs w:val="20"/>
          <w:color w:val="auto"/>
        </w:rPr>
      </w:pPr>
    </w:p>
    <w:p>
      <w:pPr>
        <w:jc w:val="both"/>
        <w:ind w:left="80" w:right="80" w:firstLine="274"/>
        <w:spacing w:after="0" w:line="280" w:lineRule="auto"/>
        <w:rPr>
          <w:sz w:val="20"/>
          <w:szCs w:val="20"/>
          <w:color w:val="auto"/>
        </w:rPr>
      </w:pPr>
      <w:r>
        <w:rPr>
          <w:rFonts w:ascii="Arial" w:cs="Arial" w:eastAsia="Arial" w:hAnsi="Arial"/>
          <w:sz w:val="14"/>
          <w:szCs w:val="14"/>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Mineral processing and metallurgical testing</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19"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37" w:lineRule="exact"/>
        <w:rPr>
          <w:sz w:val="20"/>
          <w:szCs w:val="20"/>
          <w:color w:val="auto"/>
        </w:rPr>
      </w:pPr>
    </w:p>
    <w:p>
      <w:pPr>
        <w:jc w:val="both"/>
        <w:ind w:left="80" w:right="80" w:firstLine="276"/>
        <w:spacing w:after="0" w:line="276" w:lineRule="auto"/>
        <w:rPr>
          <w:sz w:val="20"/>
          <w:szCs w:val="20"/>
          <w:color w:val="auto"/>
        </w:rPr>
      </w:pPr>
      <w:r>
        <w:rPr>
          <w:rFonts w:ascii="Arial" w:cs="Arial" w:eastAsia="Arial" w:hAnsi="Arial"/>
          <w:sz w:val="15"/>
          <w:szCs w:val="15"/>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37"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pyrometallurgical process is expected to form two byproducts as well as the matte for the hydrometallurgical refinery:</w:t>
      </w:r>
    </w:p>
    <w:p>
      <w:pPr>
        <w:spacing w:after="0" w:line="194" w:lineRule="exact"/>
        <w:rPr>
          <w:sz w:val="20"/>
          <w:szCs w:val="20"/>
          <w:color w:val="auto"/>
        </w:rPr>
      </w:pPr>
    </w:p>
    <w:p>
      <w:pPr>
        <w:ind w:left="660" w:hanging="283"/>
        <w:spacing w:after="0"/>
        <w:tabs>
          <w:tab w:leader="none" w:pos="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 electric furnace slag containing silica and 53% MnO that is intended to be sold as feed to the Si-Mn industry; and</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converter aisle slag that could be used for aggregate in road construction or other applications.</w:t>
      </w:r>
    </w:p>
    <w:p>
      <w:pPr>
        <w:spacing w:after="0" w:line="193" w:lineRule="exact"/>
        <w:rPr>
          <w:sz w:val="20"/>
          <w:szCs w:val="20"/>
          <w:color w:val="auto"/>
        </w:rPr>
      </w:pPr>
    </w:p>
    <w:p>
      <w:pPr>
        <w:ind w:left="80" w:right="80" w:firstLine="274"/>
        <w:spacing w:after="0" w:line="299" w:lineRule="auto"/>
        <w:rPr>
          <w:sz w:val="20"/>
          <w:szCs w:val="20"/>
          <w:color w:val="auto"/>
        </w:rPr>
      </w:pPr>
      <w:r>
        <w:rPr>
          <w:rFonts w:ascii="Arial" w:cs="Arial" w:eastAsia="Arial" w:hAnsi="Arial"/>
          <w:sz w:val="15"/>
          <w:szCs w:val="15"/>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19" w:lineRule="exact"/>
        <w:rPr>
          <w:sz w:val="20"/>
          <w:szCs w:val="20"/>
          <w:color w:val="auto"/>
        </w:rPr>
      </w:pPr>
    </w:p>
    <w:p>
      <w:pPr>
        <w:ind w:left="80" w:right="100" w:firstLine="275"/>
        <w:spacing w:after="0" w:line="299" w:lineRule="auto"/>
        <w:rPr>
          <w:sz w:val="20"/>
          <w:szCs w:val="20"/>
          <w:color w:val="auto"/>
        </w:rPr>
      </w:pPr>
      <w:r>
        <w:rPr>
          <w:rFonts w:ascii="Arial" w:cs="Arial" w:eastAsia="Arial" w:hAnsi="Arial"/>
          <w:sz w:val="15"/>
          <w:szCs w:val="15"/>
          <w:color w:val="auto"/>
        </w:rPr>
        <w:t>Selection of ammonia as a principal reagent in the hydrometallurgical refinery means that an additional by-product, ammonium sulfate, may be generated. This could be sold into the fertilizer industry.</w:t>
      </w:r>
    </w:p>
    <w:p>
      <w:pPr>
        <w:spacing w:after="0" w:line="119" w:lineRule="exact"/>
        <w:rPr>
          <w:sz w:val="20"/>
          <w:szCs w:val="20"/>
          <w:color w:val="auto"/>
        </w:rPr>
      </w:pPr>
    </w:p>
    <w:p>
      <w:pPr>
        <w:ind w:left="80" w:right="100" w:firstLine="274"/>
        <w:spacing w:after="0" w:line="299" w:lineRule="auto"/>
        <w:rPr>
          <w:sz w:val="20"/>
          <w:szCs w:val="20"/>
          <w:color w:val="auto"/>
        </w:rPr>
      </w:pPr>
      <w:r>
        <w:rPr>
          <w:rFonts w:ascii="Arial" w:cs="Arial" w:eastAsia="Arial" w:hAnsi="Arial"/>
          <w:sz w:val="15"/>
          <w:szCs w:val="15"/>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production of battery-grade nickel and cobalt sulfates is targeted instead of nickel or cobalt cathodes or other intermediate products.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summary:</w:t>
      </w:r>
    </w:p>
    <w:p>
      <w:pPr>
        <w:spacing w:after="0" w:line="194" w:lineRule="exact"/>
        <w:rPr>
          <w:sz w:val="20"/>
          <w:szCs w:val="20"/>
          <w:color w:val="auto"/>
        </w:rPr>
      </w:pPr>
    </w:p>
    <w:p>
      <w:pPr>
        <w:ind w:left="660" w:hanging="283"/>
        <w:spacing w:after="0"/>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All parts of the proposed process have commercial precedents in similar or analogous industries, however not as a whole continuous flowsheet.</w:t>
      </w:r>
    </w:p>
    <w:p>
      <w:pPr>
        <w:spacing w:after="0" w:line="193" w:lineRule="exact"/>
        <w:rPr>
          <w:rFonts w:ascii="Arial" w:cs="Arial" w:eastAsia="Arial" w:hAnsi="Arial"/>
          <w:sz w:val="15"/>
          <w:szCs w:val="15"/>
          <w:color w:val="auto"/>
        </w:rPr>
      </w:pPr>
    </w:p>
    <w:p>
      <w:pPr>
        <w:ind w:left="660" w:hanging="283"/>
        <w:spacing w:after="0"/>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Pay-metals are recovered in the following forms:</w:t>
      </w:r>
    </w:p>
    <w:p>
      <w:pPr>
        <w:spacing w:after="0" w:line="193" w:lineRule="exact"/>
        <w:rPr>
          <w:rFonts w:ascii="Arial" w:cs="Arial" w:eastAsia="Arial" w:hAnsi="Arial"/>
          <w:sz w:val="15"/>
          <w:szCs w:val="15"/>
          <w:color w:val="auto"/>
        </w:rPr>
      </w:pPr>
    </w:p>
    <w:p>
      <w:pPr>
        <w:ind w:left="920" w:hanging="268"/>
        <w:spacing w:after="0"/>
        <w:tabs>
          <w:tab w:leader="none" w:pos="920" w:val="left"/>
        </w:tabs>
        <w:numPr>
          <w:ilvl w:val="1"/>
          <w:numId w:val="42"/>
        </w:numPr>
        <w:rPr>
          <w:rFonts w:ascii="Arial" w:cs="Arial" w:eastAsia="Arial" w:hAnsi="Arial"/>
          <w:sz w:val="15"/>
          <w:szCs w:val="15"/>
          <w:color w:val="auto"/>
        </w:rPr>
      </w:pPr>
      <w:r>
        <w:rPr>
          <w:rFonts w:ascii="Arial" w:cs="Arial" w:eastAsia="Arial" w:hAnsi="Arial"/>
          <w:sz w:val="15"/>
          <w:szCs w:val="15"/>
          <w:color w:val="auto"/>
        </w:rPr>
        <w:t>Copper cathodes with an expected quality of ≥99.9% Cu.</w:t>
      </w:r>
    </w:p>
    <w:p>
      <w:pPr>
        <w:spacing w:after="0" w:line="193" w:lineRule="exact"/>
        <w:rPr>
          <w:rFonts w:ascii="Arial" w:cs="Arial" w:eastAsia="Arial" w:hAnsi="Arial"/>
          <w:sz w:val="15"/>
          <w:szCs w:val="15"/>
          <w:color w:val="auto"/>
        </w:rPr>
      </w:pPr>
    </w:p>
    <w:p>
      <w:pPr>
        <w:ind w:left="920" w:hanging="268"/>
        <w:spacing w:after="0"/>
        <w:tabs>
          <w:tab w:leader="none" w:pos="920" w:val="left"/>
        </w:tabs>
        <w:numPr>
          <w:ilvl w:val="1"/>
          <w:numId w:val="42"/>
        </w:numPr>
        <w:rPr>
          <w:rFonts w:ascii="Arial" w:cs="Arial" w:eastAsia="Arial" w:hAnsi="Arial"/>
          <w:sz w:val="15"/>
          <w:szCs w:val="15"/>
          <w:color w:val="auto"/>
        </w:rPr>
      </w:pPr>
      <w:r>
        <w:rPr>
          <w:rFonts w:ascii="Arial" w:cs="Arial" w:eastAsia="Arial" w:hAnsi="Arial"/>
          <w:sz w:val="15"/>
          <w:szCs w:val="15"/>
          <w:color w:val="auto"/>
        </w:rPr>
        <w:t>Battery-grade nickel sulfate.</w:t>
      </w:r>
    </w:p>
    <w:p>
      <w:pPr>
        <w:spacing w:after="0" w:line="193" w:lineRule="exact"/>
        <w:rPr>
          <w:rFonts w:ascii="Arial" w:cs="Arial" w:eastAsia="Arial" w:hAnsi="Arial"/>
          <w:sz w:val="15"/>
          <w:szCs w:val="15"/>
          <w:color w:val="auto"/>
        </w:rPr>
      </w:pPr>
    </w:p>
    <w:p>
      <w:pPr>
        <w:ind w:left="920" w:hanging="268"/>
        <w:spacing w:after="0"/>
        <w:tabs>
          <w:tab w:leader="none" w:pos="920" w:val="left"/>
        </w:tabs>
        <w:numPr>
          <w:ilvl w:val="1"/>
          <w:numId w:val="42"/>
        </w:numPr>
        <w:rPr>
          <w:rFonts w:ascii="Arial" w:cs="Arial" w:eastAsia="Arial" w:hAnsi="Arial"/>
          <w:sz w:val="15"/>
          <w:szCs w:val="15"/>
          <w:color w:val="auto"/>
        </w:rPr>
      </w:pPr>
      <w:r>
        <w:rPr>
          <w:rFonts w:ascii="Arial" w:cs="Arial" w:eastAsia="Arial" w:hAnsi="Arial"/>
          <w:sz w:val="15"/>
          <w:szCs w:val="15"/>
          <w:color w:val="auto"/>
        </w:rPr>
        <w:t>Battery-grade cobalt sulfate.</w:t>
      </w:r>
    </w:p>
    <w:p>
      <w:pPr>
        <w:spacing w:after="0" w:line="193" w:lineRule="exact"/>
        <w:rPr>
          <w:rFonts w:ascii="Arial" w:cs="Arial" w:eastAsia="Arial" w:hAnsi="Arial"/>
          <w:sz w:val="15"/>
          <w:szCs w:val="15"/>
          <w:color w:val="auto"/>
        </w:rPr>
      </w:pPr>
    </w:p>
    <w:p>
      <w:pPr>
        <w:ind w:left="920" w:right="100" w:hanging="268"/>
        <w:spacing w:after="0" w:line="299" w:lineRule="auto"/>
        <w:tabs>
          <w:tab w:leader="none" w:pos="920" w:val="left"/>
        </w:tabs>
        <w:numPr>
          <w:ilvl w:val="1"/>
          <w:numId w:val="42"/>
        </w:numPr>
        <w:rPr>
          <w:rFonts w:ascii="Arial" w:cs="Arial" w:eastAsia="Arial" w:hAnsi="Arial"/>
          <w:sz w:val="15"/>
          <w:szCs w:val="15"/>
          <w:color w:val="auto"/>
        </w:rPr>
      </w:pPr>
      <w:r>
        <w:rPr>
          <w:rFonts w:ascii="Arial" w:cs="Arial" w:eastAsia="Arial" w:hAnsi="Arial"/>
          <w:sz w:val="15"/>
          <w:szCs w:val="15"/>
          <w:color w:val="auto"/>
        </w:rPr>
        <w:t>Rather than generating large waste streams, the process is expected to produce by-products including high manganese content furnace slag and ammonium sulfate.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process assumptions used in this TOML Technical Report Summary will need to be verified as the project proceeds.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more information on mineral processing and metallurgical testing, see Section 10 of the TOML Technical Report Summary.</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Environmental studies, permitting, community, or social impact</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19"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37"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4"/>
          <w:szCs w:val="14"/>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19" w:lineRule="exact"/>
        <w:rPr>
          <w:sz w:val="20"/>
          <w:szCs w:val="20"/>
          <w:color w:val="auto"/>
        </w:rPr>
      </w:pPr>
    </w:p>
    <w:p>
      <w:pPr>
        <w:ind w:left="80" w:right="1280" w:firstLine="275"/>
        <w:spacing w:after="0" w:line="509" w:lineRule="auto"/>
        <w:rPr>
          <w:sz w:val="20"/>
          <w:szCs w:val="20"/>
          <w:color w:val="auto"/>
        </w:rPr>
      </w:pPr>
      <w:r>
        <w:rPr>
          <w:rFonts w:ascii="Arial" w:cs="Arial" w:eastAsia="Arial" w:hAnsi="Arial"/>
          <w:sz w:val="15"/>
          <w:szCs w:val="15"/>
          <w:color w:val="auto"/>
        </w:rPr>
        <w:t xml:space="preserve">For more information on environmental studies, permitting and social or community impact, see Section 17 of the TOML Technical Report Summary. </w:t>
      </w:r>
      <w:r>
        <w:rPr>
          <w:rFonts w:ascii="Arial" w:cs="Arial" w:eastAsia="Arial" w:hAnsi="Arial"/>
          <w:sz w:val="15"/>
          <w:szCs w:val="15"/>
          <w:b w:val="1"/>
          <w:bCs w:val="1"/>
          <w:i w:val="1"/>
          <w:iCs w:val="1"/>
          <w:color w:val="auto"/>
        </w:rPr>
        <w:t>Internal controls and data verification</w:t>
      </w:r>
    </w:p>
    <w:p>
      <w:pPr>
        <w:jc w:val="both"/>
        <w:ind w:left="80" w:right="80" w:firstLine="275"/>
        <w:spacing w:after="0" w:line="305" w:lineRule="auto"/>
        <w:rPr>
          <w:sz w:val="20"/>
          <w:szCs w:val="20"/>
          <w:color w:val="auto"/>
        </w:rPr>
      </w:pPr>
      <w:r>
        <w:rPr>
          <w:rFonts w:ascii="Arial" w:cs="Arial" w:eastAsia="Arial" w:hAnsi="Arial"/>
          <w:sz w:val="14"/>
          <w:szCs w:val="14"/>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18"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41"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The sample data are supported by independent third-party data, have been reviewed by the ISA LTC during the process of granting licenses to the Pioneer Contractors, and are maintained by the independent ISA.</w:t>
      </w:r>
    </w:p>
    <w:p>
      <w:pPr>
        <w:spacing w:after="0" w:line="119"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37" w:lineRule="exact"/>
        <w:rPr>
          <w:sz w:val="20"/>
          <w:szCs w:val="20"/>
          <w:color w:val="auto"/>
        </w:rPr>
      </w:pPr>
    </w:p>
    <w:p>
      <w:pPr>
        <w:jc w:val="both"/>
        <w:ind w:left="80" w:right="100" w:firstLine="274"/>
        <w:spacing w:after="0" w:line="337" w:lineRule="auto"/>
        <w:rPr>
          <w:sz w:val="20"/>
          <w:szCs w:val="20"/>
          <w:color w:val="auto"/>
        </w:rPr>
      </w:pPr>
      <w:r>
        <w:rPr>
          <w:rFonts w:ascii="Arial" w:cs="Arial" w:eastAsia="Arial" w:hAnsi="Arial"/>
          <w:sz w:val="14"/>
          <w:szCs w:val="14"/>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97" w:lineRule="exact"/>
        <w:rPr>
          <w:sz w:val="20"/>
          <w:szCs w:val="20"/>
          <w:color w:val="auto"/>
        </w:rPr>
      </w:pPr>
    </w:p>
    <w:p>
      <w:pPr>
        <w:jc w:val="both"/>
        <w:ind w:left="660" w:right="80" w:hanging="283"/>
        <w:spacing w:after="0" w:line="276"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36" w:lineRule="exact"/>
        <w:rPr>
          <w:rFonts w:ascii="Arial" w:cs="Arial" w:eastAsia="Arial" w:hAnsi="Arial"/>
          <w:sz w:val="15"/>
          <w:szCs w:val="15"/>
          <w:color w:val="auto"/>
        </w:rPr>
      </w:pPr>
    </w:p>
    <w:p>
      <w:pPr>
        <w:ind w:left="660" w:right="100" w:hanging="283"/>
        <w:spacing w:after="0" w:line="299"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Comparison of the six independent data sets from the CCZ shows a high level of consistency in abundance and grade and, conversely, provides no evidence of bias or systematic error in the TOML data.</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Recent TOML nodule sampling confirms the existence, and abundance and grade continuity of the polymetallic nodules within the TOML Exploration Areas.</w:t>
      </w:r>
    </w:p>
    <w:p>
      <w:pPr>
        <w:spacing w:after="0" w:line="205"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41"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Qualified Person considered the abundance estimates derived from photographs to date from TOML Areas B and C, to be suitable for estimating nodule abundance for the mineral resource.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more information about quality control/quality assurance and data verification, see Section 8 and Section 9 of the TOML Technical Report Summary.</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3. LEGAL PROCEEDINGS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Except as set forth below, we are not currently a party to any material legal proceedings.</w:t>
      </w:r>
    </w:p>
    <w:p>
      <w:pPr>
        <w:spacing w:after="0" w:line="194"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303" w:lineRule="auto"/>
        <w:rPr>
          <w:sz w:val="20"/>
          <w:szCs w:val="20"/>
          <w:color w:val="auto"/>
        </w:rPr>
      </w:pPr>
      <w:r>
        <w:rPr>
          <w:rFonts w:ascii="Arial" w:cs="Arial" w:eastAsia="Arial" w:hAnsi="Arial"/>
          <w:sz w:val="13"/>
          <w:szCs w:val="13"/>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26"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On February 6, 2025, the Court appointed a lead plaintiff. An amended complaint was filed on March 6, 2025. Pursuant to court-approved scheduling, we are expected to serve a motion to dismiss by April 10, 2025, the lead plaintiff is expected to file an opposition by May 15, 2025, and we are expected to reply by June 5, 2025.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4. MINE SAFETY DISCLOSURES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94" w:lineRule="exact"/>
        <w:rPr>
          <w:sz w:val="20"/>
          <w:szCs w:val="20"/>
          <w:color w:val="auto"/>
        </w:rPr>
      </w:pPr>
    </w:p>
    <w:p>
      <w:pPr>
        <w:jc w:val="both"/>
        <w:ind w:left="80" w:right="100"/>
        <w:spacing w:after="0" w:line="274"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35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Market Information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Common Shares and Public Warrants trade on The Nasdaq Global Select Market under the symbols “TMC” and “TMCWW,” respectively.</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Shareholders and Holders of Public Warrants</w:t>
      </w:r>
    </w:p>
    <w:p>
      <w:pPr>
        <w:spacing w:after="0" w:line="196"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As of March 20, 2025, there were approximately 347,910,742 Common Shares issued and outstanding held of record by 79 holders, approximately 15,000,000 Public Warrants held of record by one holder exercisable for one Common Share at a price of $11.50 per share.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Such numbers do not include beneficial owners holding our securities through nominee names.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Unregistered Sales of Securities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did not repurchase any of our equity securities during the quarter ended December 31, 2024.</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Ownership and Exchange Controls</w:t>
      </w:r>
    </w:p>
    <w:p>
      <w:pPr>
        <w:spacing w:after="0" w:line="196"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See Exhibit 4.1 to this Annual Report for a summary of certain ownership and exchange controls imposed by Canadian law or by our Notice of Articles and Articles on the right of a non-resident of Canada to hold or vote Common Shares or restricts the export or import of capital, or that would affect the remittance of dividends (if any) or other payments by us to a non-resident of Canada holder of Common Shares.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Material U.S. and Canadian Federal Income Tax Considerations</w:t>
      </w:r>
    </w:p>
    <w:p>
      <w:pPr>
        <w:spacing w:after="0" w:line="196" w:lineRule="exact"/>
        <w:rPr>
          <w:sz w:val="20"/>
          <w:szCs w:val="20"/>
          <w:color w:val="auto"/>
        </w:rPr>
      </w:pPr>
    </w:p>
    <w:p>
      <w:pPr>
        <w:jc w:val="both"/>
        <w:ind w:left="80" w:right="80" w:firstLine="274"/>
        <w:spacing w:after="0" w:line="294" w:lineRule="auto"/>
        <w:rPr>
          <w:sz w:val="20"/>
          <w:szCs w:val="20"/>
          <w:color w:val="auto"/>
        </w:rPr>
      </w:pPr>
      <w:r>
        <w:rPr>
          <w:rFonts w:ascii="Arial" w:cs="Arial" w:eastAsia="Arial" w:hAnsi="Arial"/>
          <w:sz w:val="14"/>
          <w:szCs w:val="14"/>
          <w:color w:val="auto"/>
        </w:rPr>
        <w:t>See Exhibit 4.1 to this Annual Report for summaries of the material U.S. federal income tax considerations applicable to you if you are a U.S. Holder (as defined below) of our Common Shares and/or Public Warrants and the material Canadian federal income tax considerations pursuant to the Income Tax Act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99" w:lineRule="exact"/>
        <w:rPr>
          <w:sz w:val="20"/>
          <w:szCs w:val="20"/>
          <w:color w:val="auto"/>
        </w:rPr>
      </w:pPr>
    </w:p>
    <w:p>
      <w:pPr>
        <w:jc w:val="both"/>
        <w:ind w:left="80" w:right="80" w:firstLine="275"/>
        <w:spacing w:after="0" w:line="264" w:lineRule="auto"/>
        <w:rPr>
          <w:sz w:val="20"/>
          <w:szCs w:val="20"/>
          <w:color w:val="auto"/>
        </w:rPr>
      </w:pPr>
      <w:r>
        <w:rPr>
          <w:rFonts w:ascii="Arial" w:cs="Arial" w:eastAsia="Arial" w:hAnsi="Arial"/>
          <w:sz w:val="15"/>
          <w:szCs w:val="15"/>
          <w:i w:val="1"/>
          <w:iCs w:val="1"/>
          <w:color w:val="auto"/>
        </w:rPr>
        <w:t>The following discussion of the financial condition and results of our operations should be read in conjunction with the financial statements and the notes to those statements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read the risk factors set forth in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Overview</w:t>
      </w:r>
    </w:p>
    <w:p>
      <w:pPr>
        <w:spacing w:after="0" w:line="196"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We are a deep-sea minerals exploration company focused on the collection, processing and refining of polymetallic nodules found on the seafloor in international waters of the CCZ, about 1,500 miles south-west of San Diego, California.</w:t>
      </w:r>
    </w:p>
    <w:p>
      <w:pPr>
        <w:spacing w:after="0" w:line="119" w:lineRule="exact"/>
        <w:rPr>
          <w:sz w:val="20"/>
          <w:szCs w:val="20"/>
          <w:color w:val="auto"/>
        </w:rPr>
      </w:pPr>
    </w:p>
    <w:p>
      <w:pPr>
        <w:jc w:val="both"/>
        <w:ind w:left="80" w:right="80" w:firstLine="275"/>
        <w:spacing w:after="0" w:line="259" w:lineRule="auto"/>
        <w:rPr>
          <w:sz w:val="20"/>
          <w:szCs w:val="20"/>
          <w:color w:val="auto"/>
        </w:rPr>
      </w:pPr>
      <w:r>
        <w:rPr>
          <w:rFonts w:ascii="Arial" w:cs="Arial" w:eastAsia="Arial" w:hAnsi="Arial"/>
          <w:sz w:val="15"/>
          <w:szCs w:val="15"/>
          <w:color w:val="auto"/>
        </w:rPr>
        <w:t>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 These four metals contained in the polymetallic nodules are critical for the transition to low carbon energy. Our resource definition work to date shows that nodules in our contract areas represent the world’s largest estimated undeveloped source of the four critical metals contained in nodules. If we are able to collect polymetallic nodules from the seafloor on a commercial scale, we plan to use such nodules to produce three types of metal products: (i) feedstock for battery cathode precursors (nickel, and cobalt sulfates, or intermediate nickel-copper-cobalt matte or nickel-copper-cobalt alloy) for EV and energy storage markets, (ii) copper cathode for electric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51"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Exploration and exploitation of seafloor minerals in international waters is regulated by the ISA, an intergovernmental organization established pursuant to the 1994 Agreement Relating to the Implementation of the UNCLOS. The ISA grants contracts to sovereign states or to private contractors who are sponsored by a sovereign state. The ISA requires that a contractor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two of the 17 polymetallic nodule contract areas in the CCZ through our subsidiaries NORI and TOML, sponsored by Nauru and Tonga, respectively.</w:t>
      </w:r>
    </w:p>
    <w:p>
      <w:pPr>
        <w:spacing w:after="0" w:line="134"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We have key strategic alliances with (i) Allseas, a leading global offshore contractor, which developed and tested a pilot collection system, and is now working to modify it into the first commercial production system and (ii) Glencore which holds offtake rights to 50% of the NORI nickel and copper production if produced from a DGE-owned or controlled facility. In addition, we have worked with engineering firm Hatch and consultants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In November 2022, we entered into a non-binding MoU with Pacific Metals Co Ltd (PAMCO) of Japan pursuant to which PAMCO completed prefeasibility work assessing the prospect of processing nodules using their existing facilities. In November 2023, we entered into a binding MoU with PAMCO whereby they committed to completing a feasibility study (expected to be completed by mid-2025) to toll treat 1.3 million tonnes of wet polymetallic nodules per year at its Hachinohe, Japan smelting facility, provided we obtain an exploitation contract from the ISA. The toll treatment is intended to take place on a dedicated Rotary Kiln Electric Arc Furnace (“RKEF”) processing line and produce two products: nickel-copper-cobalt alloy, an intermediate product used as feedstock to produce lithium-ion battery cathodes, and a manganese silicate product used to make silico-manganese alloy, a critical input into steel manufacturing. We expect this partnership to progress to a definitive tolling agreement in 2025, subject to successful evaluation study outcomes and agreement to mutually acceptable commercial terms. There can be no assurance that we will enter into such definitive strategic alliance in a particular time period, or at all, or on terms similar to those set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spacing w:after="0" w:line="299" w:lineRule="auto"/>
        <w:rPr>
          <w:sz w:val="20"/>
          <w:szCs w:val="20"/>
          <w:color w:val="auto"/>
        </w:rPr>
      </w:pPr>
      <w:r>
        <w:rPr>
          <w:rFonts w:ascii="Arial" w:cs="Arial" w:eastAsia="Arial" w:hAnsi="Arial"/>
          <w:sz w:val="15"/>
          <w:szCs w:val="15"/>
          <w:color w:val="auto"/>
        </w:rPr>
        <w:t>forth in the binding MoU, or that if such definitive tolling agreement is entered into by us or that the existing facility will be able to successfully process nodules in a particular time period, or at all.</w:t>
      </w:r>
    </w:p>
    <w:p>
      <w:pPr>
        <w:spacing w:after="0" w:line="119"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We are currently focused on preparing our application for a plan of work to the ISA for our first exploitation contract for the NORI contract area. Given that it is unlikely that the ISA Council would consider any application for a plan of work for exploitation before its next session in March 2025 and to ensure clarity on the submission process, consideration of the Application, and timeline, the Republic of Nauru, in consultation with NORI, formally requested that this issue be added to the agenda of the Council’s March 2025 meeting. Nauru’s proposed agenda item was strongly opposed by Chile, and it is unlikely for there to be an agreed upon process until after an application is received. Based on the current timeline in the consolidated draft regulations issued February 2024, the ISA application review and approval process is expected to be approximately one year from the filing date. See “</w:t>
      </w:r>
      <w:r>
        <w:rPr>
          <w:rFonts w:ascii="Arial" w:cs="Arial" w:eastAsia="Arial" w:hAnsi="Arial"/>
          <w:sz w:val="14"/>
          <w:szCs w:val="14"/>
          <w:i w:val="1"/>
          <w:iCs w:val="1"/>
          <w:color w:val="auto"/>
        </w:rPr>
        <w:t>Project and Regulatory Updates - ISA Developments</w:t>
      </w:r>
      <w:r>
        <w:rPr>
          <w:rFonts w:ascii="Arial" w:cs="Arial" w:eastAsia="Arial" w:hAnsi="Arial"/>
          <w:sz w:val="14"/>
          <w:szCs w:val="14"/>
          <w:color w:val="auto"/>
        </w:rPr>
        <w:t>” below for a further discussion on recent developments at the ISA.</w:t>
      </w:r>
    </w:p>
    <w:p>
      <w:pPr>
        <w:spacing w:after="0" w:line="134"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 In addition, we are also in the initial stages of considering the possibility of a U.S.-based regulatory pathway with the U.S. National Oceanic and Atmospheric Administration (“NOAA”) and the U.S. Department of Commerce under the U.S. Deep Seabed Hard Mineral Resources Act (“DSHMRA”) for the commercial production of deep-sea polymetallic nodules in the CCZ.</w:t>
      </w:r>
    </w:p>
    <w:p>
      <w:pPr>
        <w:spacing w:after="0" w:line="147"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2024 Highlights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Below are a few of the developments that occurred in 2024.</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Developments with our Projects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June 27, 2025 Submission Date for Subsidiary NORI’s ISA Application, and Expanded Company Strategy</w:t>
      </w:r>
    </w:p>
    <w:p>
      <w:pPr>
        <w:spacing w:after="0" w:line="192" w:lineRule="exact"/>
        <w:rPr>
          <w:sz w:val="20"/>
          <w:szCs w:val="20"/>
          <w:color w:val="auto"/>
        </w:rPr>
      </w:pPr>
    </w:p>
    <w:p>
      <w:pPr>
        <w:jc w:val="both"/>
        <w:ind w:left="80" w:right="80" w:firstLine="274"/>
        <w:spacing w:after="0" w:line="261" w:lineRule="auto"/>
        <w:rPr>
          <w:sz w:val="20"/>
          <w:szCs w:val="20"/>
          <w:color w:val="auto"/>
        </w:rPr>
      </w:pPr>
      <w:r>
        <w:rPr>
          <w:rFonts w:ascii="Arial" w:cs="Arial" w:eastAsia="Arial" w:hAnsi="Arial"/>
          <w:sz w:val="15"/>
          <w:szCs w:val="15"/>
          <w:color w:val="auto"/>
        </w:rPr>
        <w:t>NORI has set the date of June 27, 2025 for its expected submission of its ISA exploitation application. According to the ISA Council’s decisions ISBA/28/C/24 and ISBA/28/C/25, if NORI submits an application for a plan of work for exploitation before the RRPs have been adopted, the ISA Council at its next meeting, as a matter of priority, will consider the process for considering such an application. The ISA Council is not scheduled to meet again until March 2025 and we believe it is unlikely that the ISA Council would consider an application for a plan of work for exploitation before this session. In light of this, Nauru formally requested that the ISA clarify the submission and review process for such an application at the March 2025 meetings before NORI submits the Application and, therefore, has decided to submit the Application after the March 2025 meetings on June 27, 2025. At the March 2025 meetings, Nauru’s proposed agenda item was strongly opposed by Chile, and it is unlikely for there to be an agreed upon process until after an application is received.</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Termination of Marawa Agreement</w:t>
      </w:r>
    </w:p>
    <w:p>
      <w:pPr>
        <w:spacing w:after="0" w:line="19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On November 14, 2024, DeepGreen Engineering Pte. Ltd. (“DeepGreen”) delivered a formal termination notice to Marawa Research and Exploration Limited, ending the Services Agreement dated October 1, 2013 (the “Agreement”), pursuant to DeepGreen’s right to terminate for convenience under the Agreement. The termination became effective on January 14, 2025, and we no longer have any exploration or other rights to the area of the CCZ that was covered by the Agreement. The termination is not expected to have a material adverse effect on our financial position or operations, with non-material ongoing costs and no termination penalties applicable under the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World-First Production of Nickel Sulfate from Deep-Seafloor Polymetallic Nodules</w:t>
      </w:r>
    </w:p>
    <w:p>
      <w:pPr>
        <w:spacing w:after="0" w:line="192" w:lineRule="exact"/>
        <w:rPr>
          <w:sz w:val="20"/>
          <w:szCs w:val="20"/>
          <w:color w:val="auto"/>
        </w:rPr>
      </w:pPr>
    </w:p>
    <w:p>
      <w:pPr>
        <w:jc w:val="both"/>
        <w:ind w:left="80" w:right="80" w:firstLine="275"/>
        <w:spacing w:after="0" w:line="305" w:lineRule="auto"/>
        <w:rPr>
          <w:sz w:val="20"/>
          <w:szCs w:val="20"/>
          <w:color w:val="auto"/>
        </w:rPr>
      </w:pPr>
      <w:r>
        <w:rPr>
          <w:rFonts w:ascii="Arial" w:cs="Arial" w:eastAsia="Arial" w:hAnsi="Arial"/>
          <w:sz w:val="14"/>
          <w:szCs w:val="14"/>
          <w:color w:val="auto"/>
        </w:rPr>
        <w:t>In April 2024, we announced that we had successfully produced the world’s first nickel sulfate derived exclusively from seafloor polymetallic nodules during pilot-scale nodule processing. In partnership with SGS Canada Inc, the testing was undertaken on samples of nickel-cobalt-copper matte produced by us in 2021 using our efficient flowsheet to process high-grade nickel matte directly to nickel sulfate without making nickel metal, while producing fertilizer byproducts instead of solid waste or tailings.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Extensive Submission of Deep-Sea Environmental Data to the ISA</w:t>
      </w:r>
    </w:p>
    <w:p>
      <w:pPr>
        <w:spacing w:after="0" w:line="19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In May 2024, we announced that our subsidiary NORI had made a second submission of key environmental data from all prior environmental baseline campaigns conducted in the NORI Area D exploration area up to January 2022 to DeepData, an open database of contractor data managed by the ISA. The submission of this batch of data includes an extensive set of geochemical and biological samples from across the water column.</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World-First Cobalt Sulfate Produced from Deep-Seafloor Polymetallic Nodules</w:t>
      </w:r>
    </w:p>
    <w:p>
      <w:pPr>
        <w:spacing w:after="0" w:line="19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On June 12, 2024, we announced that we successfully produced the world’s first cobalt sulfate derived exclusively from seafloor polymetallic nodules. The cobalt sulfate was generated during bench-scale testing of our hydrometallurgical flowsheet design with SGS Canada Inc. Based on samples of nickel-cobalt-copper matte first produced by us in 2021, SGS tested our efficient flowsheet to process high-grade nickel-copper-cobalt matte directly to high-purity cobalt sulfate without making cobalt metal, while producing fertilizer byproducts instead of solid waste or tailings. The milestone followed the news in May 2024 of our successful production of nickel sulfate, a key raw material input used in the production of energy-dense EV batteries.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Third Annual Impact Report Published</w:t>
      </w:r>
    </w:p>
    <w:p>
      <w:pPr>
        <w:spacing w:after="0" w:line="192"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On July 29, 2024, we published our third annual Impact Report to provide an update on key milestones achieved in our assessment of the environmental impacts of nodule collection including, what we believe, is the successful collection of sufficient quantities of environmental baseline and impact data to develop an Environmental Impact Statement and Environmental Mitigation and Management Plan (EMMP) for the world’s first deep-seafloor nodule collection project.</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TMC and PAMCO Successfully Produce Calcine in Commercial-Scale Processing of Polymetallic Nodules</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In September 2024, we announced that we had successfully produced high temperature material (calcine) during the first phase of a commercial-scale campaign to process a 2,000-tonne sample of deep-seafloor polymetallic nodules at our partner PAMCO’s Hachinohe Rotary Kiln Electric-Arc Furnace facility in Hachinohe, Japan. Approximately 500 tonnes of calcine were produced. On February 18, 2025, we announced that PAMCO had successfully smelted 450 tonnes of calcine into 35 tonnes of NiCuCo alloy and 320 tonnes of Mn silicate products.</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ISA Developments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ISA Consolidated Draft Regulations</w:t>
      </w:r>
    </w:p>
    <w:p>
      <w:pPr>
        <w:spacing w:after="0" w:line="192" w:lineRule="exact"/>
        <w:rPr>
          <w:sz w:val="20"/>
          <w:szCs w:val="20"/>
          <w:color w:val="auto"/>
        </w:rPr>
      </w:pPr>
    </w:p>
    <w:p>
      <w:pPr>
        <w:jc w:val="both"/>
        <w:ind w:left="80" w:right="80" w:firstLine="274"/>
        <w:spacing w:after="0" w:line="318" w:lineRule="auto"/>
        <w:rPr>
          <w:sz w:val="20"/>
          <w:szCs w:val="20"/>
          <w:color w:val="auto"/>
        </w:rPr>
      </w:pPr>
      <w:r>
        <w:rPr>
          <w:rFonts w:ascii="Arial" w:cs="Arial" w:eastAsia="Arial" w:hAnsi="Arial"/>
          <w:sz w:val="15"/>
          <w:szCs w:val="15"/>
          <w:color w:val="auto"/>
        </w:rPr>
        <w:t>In February 2024, the ISA released the first consolidated draft regulations on exploitation of Mineral resources in the Area. The revised second consolidated text was released in November 2024. Negotiations on the revised second consolidated text began during part 1 of the ISA’s 30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Session.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Industry Developments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TMC Applauds U.S. Congressional Mandate for 2025 Defense Department Feasibility Study on Nodule Refining</w:t>
      </w:r>
    </w:p>
    <w:p>
      <w:pPr>
        <w:spacing w:after="0" w:line="19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On December 30, 2024, we welcomed the signing of legislation calling for financial support from the Defense Department’s Industrial Base Policy office to “assess the feasibility of improving domestic capabilities for refining polymetallic nodule-derived intermediates into high-purity nickel, cobalt sulfate, and copper.” The legislation, signed into law by President Biden on December 23, 2024, was led by the HASC and calls for the completion of a feasibility study by the end of 2025 for a nodule-derived intermediate refinery which would bring the U.S. closer to addressing the biggest vulnerability in its domestic battery supply chains – nickel refining – as identified in Executive Order 14017 from 2021. In addition, our U.S. subsidiary has an outstanding application seeking a $9 million grant under the Defense Production Act Title III program for feasibility work on a domestic refinery for nodule-derived intermediate products.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Responsible Use of Seafloor Resources Act (RUSRA)</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In March 2024, legislation was introduced in the U.S. House of Representatives calling for the U.S. to “support international governance of seafloor resource exploration and responsible polymetallic nodule collection by allied partners”, and to “provide financial, diplomatic, or other forms of support for seafloor nodule collection, processing and refining.”</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TMC CEO Testifies to U.S. House of Representatives on Benefits of Nodules</w:t>
      </w:r>
    </w:p>
    <w:p>
      <w:pPr>
        <w:spacing w:after="0" w:line="192" w:lineRule="exact"/>
        <w:rPr>
          <w:sz w:val="20"/>
          <w:szCs w:val="20"/>
          <w:color w:val="auto"/>
        </w:rPr>
      </w:pPr>
    </w:p>
    <w:p>
      <w:pPr>
        <w:jc w:val="both"/>
        <w:ind w:left="80" w:right="100" w:firstLine="274"/>
        <w:spacing w:after="0" w:line="305" w:lineRule="auto"/>
        <w:rPr>
          <w:sz w:val="20"/>
          <w:szCs w:val="20"/>
          <w:color w:val="auto"/>
        </w:rPr>
      </w:pPr>
      <w:r>
        <w:rPr>
          <w:rFonts w:ascii="Arial" w:cs="Arial" w:eastAsia="Arial" w:hAnsi="Arial"/>
          <w:sz w:val="14"/>
          <w:szCs w:val="14"/>
          <w:color w:val="auto"/>
        </w:rPr>
        <w:t>In September 2024, our CEO Gerard Barron gave testimony during a meeting of the Critical Mineral Policy Working Group for the House Select Committee on the Chinese Communist Party to discuss the U.S.’ heavy reliance on Chinese imports of critical minerals and policy solutions to incentivize greater cooperation with allies to create alternative supplies. Mr. Barron spoke to the potential of seafloor nodules to secure U.S. supplies of key minerals for the energy transition and defense sectors.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Rebuttal to Publication</w:t>
      </w:r>
    </w:p>
    <w:p>
      <w:pPr>
        <w:spacing w:after="0" w:line="192"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In July 2024, Nature Geoscience published a paper claiming that seafloor nodules produce oxygen in the absence of sunlight. Since the paper’s publication, multiple rebuttals have been submitted to Nature warning of serious flaws with the paper’s methodology and claims, prompting calls for the paper to be retracted. Researchers at the University of Tokyo and University of Gothenburg are among the experts that have submitted pre-print rebuttals to the article’s author. Our own rebuttal, published September 19, 2024, notes selective reporting of data and omission of key evidence, including experiments that show oxygen levels increasing without nodules, directly contradicting the authors’ claims.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Financing</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TMC Announces Registered Direct Offering</w:t>
      </w:r>
    </w:p>
    <w:p>
      <w:pPr>
        <w:spacing w:after="0" w:line="192" w:lineRule="exact"/>
        <w:rPr>
          <w:sz w:val="20"/>
          <w:szCs w:val="20"/>
          <w:color w:val="auto"/>
        </w:rPr>
      </w:pPr>
    </w:p>
    <w:p>
      <w:pPr>
        <w:jc w:val="both"/>
        <w:ind w:left="80" w:right="80" w:firstLine="275"/>
        <w:spacing w:after="0" w:line="279" w:lineRule="auto"/>
        <w:rPr>
          <w:sz w:val="20"/>
          <w:szCs w:val="20"/>
          <w:color w:val="auto"/>
        </w:rPr>
      </w:pPr>
      <w:r>
        <w:rPr>
          <w:rFonts w:ascii="Arial" w:cs="Arial" w:eastAsia="Arial" w:hAnsi="Arial"/>
          <w:sz w:val="14"/>
          <w:szCs w:val="14"/>
          <w:color w:val="auto"/>
        </w:rPr>
        <w:t>On November 14, 2024, we entered into a securities purchase agreement with certain new and existing institutional investors for the sale of an aggregate of 17,500,000 common shares (the “Shares”) and accompanying Class B warrants (the “Class B Warrants”), in a registered direct offering (the “2024 Registered Direct Offering”). The offering price was $1.00 per Share, resulting in initial gross proceeds of $17.5 million ($16.5 million after associated fees), with each Share including an accompanying Class B Warrant to purchase 0.5 common shares. The Class B Warrants are exercisable immediately upon issuance at a price of $2.00 per share and expire five years from issuance. On November 26, 2024, we entered into the First Amendment to the Securities Purchase Agreement, increasing the offering by an additional 2,400,000 common shares and accompanying Class B Warrants to purchase 1,200,000 common shares on the same terms and conditions. As a result, the total number of Shares and accompanying Class B Warrants issued in the registered direct offering increased to 19,900,000 Shares and Class B Warrants to purchase 9,950,000 common shares, bringing the aggregate gross proceeds to $19.9 million, all of which has been received, before deducting offering expenses. The Class B Warrants include customary anti-dilution protections and a repurchase feature, permitting us to repurchase the warrants for $0.0001 per Common Share underlying the Class B Warrants if the volume-weighted average price of our common shares exceeds $5.00 per share for each trading day in a consecutive 30-trading-day period.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Amendment to 2023 Credit Facility with Allseas Affiliate</w:t>
      </w:r>
    </w:p>
    <w:p>
      <w:pPr>
        <w:spacing w:after="0" w:line="192"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On March 22, 2023, we entered into a $25 million Unsecured Credit Facility (the “2023 Credit Facility”) with Argentum Cedit Virtuti GCV, the parent of Allseas Investments S.A. (“Allseas Investments”) and an affiliate of Allseas, which was amended on July 31, 2023. On March 22, 2024, we entered into the Second Amendment to the Unsecured Credit Facility with Argentum Cedit Virtuti GCV to further extend the 2023 Credit Facility to August 31, 2025 and to provide that the underutilization fee thereunder shall cease to be payable after the date on which we or the Lender gives notice of termination of the agreement On August 16, 2024, the Company entered into the Third Amendment to the 2023 Credit Facility, to increase the borrowing limit of the 2023 Credit Facility to $27.5 million. On November 14, 2024, as a result of the 2024 Registered Direct Offering the borrowing limit of the 2023 Credit Facility was returned to $25 million.</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2024 Credit Facility with ERAS Capital LLC and Gerard Barron</w:t>
      </w:r>
    </w:p>
    <w:p>
      <w:pPr>
        <w:spacing w:after="0" w:line="192" w:lineRule="exact"/>
        <w:rPr>
          <w:sz w:val="20"/>
          <w:szCs w:val="20"/>
          <w:color w:val="auto"/>
        </w:rPr>
      </w:pPr>
    </w:p>
    <w:p>
      <w:pPr>
        <w:jc w:val="both"/>
        <w:ind w:left="80" w:right="80" w:firstLine="275"/>
        <w:spacing w:after="0" w:line="272" w:lineRule="auto"/>
        <w:rPr>
          <w:sz w:val="20"/>
          <w:szCs w:val="20"/>
          <w:color w:val="auto"/>
        </w:rPr>
      </w:pPr>
      <w:r>
        <w:rPr>
          <w:rFonts w:ascii="Arial" w:cs="Arial" w:eastAsia="Arial" w:hAnsi="Arial"/>
          <w:sz w:val="14"/>
          <w:szCs w:val="14"/>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 million in the aggregate ($10 million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w:t>
      </w:r>
    </w:p>
    <w:p>
      <w:pPr>
        <w:spacing w:after="0" w:line="4" w:lineRule="exact"/>
        <w:rPr>
          <w:sz w:val="20"/>
          <w:szCs w:val="20"/>
          <w:color w:val="auto"/>
        </w:rPr>
      </w:pPr>
    </w:p>
    <w:p>
      <w:pPr>
        <w:jc w:val="both"/>
        <w:ind w:left="80" w:right="80"/>
        <w:spacing w:after="0" w:line="265" w:lineRule="auto"/>
        <w:tabs>
          <w:tab w:leader="none" w:pos="314"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 prepayments under an off-take agreement or similar commercial agreement. As of the date of this Annual Report, we have drawn $2.5 million from the 2024 Credit Facility.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the 2024 Credit Facility with the 2024 Lenders, to increase the borrowing limit to $38 million in the aggregate ($19 million from each of the 2024 Lenders) and to extend the maturity of the 2024 Credit Facility to December 31, 2025.</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TMC Board Appointments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Steve Jurvetson Joins TMC’s Board of Directors as Vice Chairman and Special Advisor to the CEO</w:t>
      </w:r>
    </w:p>
    <w:p>
      <w:pPr>
        <w:spacing w:after="0" w:line="192" w:lineRule="exact"/>
        <w:rPr>
          <w:sz w:val="20"/>
          <w:szCs w:val="20"/>
          <w:color w:val="auto"/>
        </w:rPr>
      </w:pPr>
    </w:p>
    <w:p>
      <w:pPr>
        <w:jc w:val="both"/>
        <w:ind w:left="80" w:right="80" w:firstLine="274"/>
        <w:spacing w:after="0" w:line="305" w:lineRule="auto"/>
        <w:rPr>
          <w:sz w:val="20"/>
          <w:szCs w:val="20"/>
          <w:color w:val="auto"/>
        </w:rPr>
      </w:pPr>
      <w:r>
        <w:rPr>
          <w:rFonts w:ascii="Arial" w:cs="Arial" w:eastAsia="Arial" w:hAnsi="Arial"/>
          <w:sz w:val="14"/>
          <w:szCs w:val="14"/>
          <w:color w:val="auto"/>
        </w:rPr>
        <w:t>On April 10, 2024, renowned Silicon Valley investor Steve Jurvetson joined our board of directors as Vice Chairman and special advisor to the CEO. Mr. Jurvetson is an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Prominent Sustainability Strategist Brendan May Joins TMC’s Board of Directors</w:t>
      </w:r>
    </w:p>
    <w:p>
      <w:pPr>
        <w:spacing w:after="0" w:line="192" w:lineRule="exact"/>
        <w:rPr>
          <w:sz w:val="20"/>
          <w:szCs w:val="20"/>
          <w:color w:val="auto"/>
        </w:rPr>
      </w:pPr>
    </w:p>
    <w:p>
      <w:pPr>
        <w:jc w:val="both"/>
        <w:ind w:left="80" w:right="100" w:firstLine="275"/>
        <w:spacing w:after="0" w:line="305" w:lineRule="auto"/>
        <w:rPr>
          <w:sz w:val="20"/>
          <w:szCs w:val="20"/>
          <w:color w:val="auto"/>
        </w:rPr>
      </w:pPr>
      <w:r>
        <w:rPr>
          <w:rFonts w:ascii="Arial" w:cs="Arial" w:eastAsia="Arial" w:hAnsi="Arial"/>
          <w:sz w:val="14"/>
          <w:szCs w:val="14"/>
          <w:color w:val="auto"/>
        </w:rPr>
        <w:t>On June 3, 2024, we announced the appointment of Brendan May to our Board of Directors. As a former Chief Executive of the Marine Stewardship Council (MSC) and European Chairman of the Rainforest Alliance, Mr. May has spent over two decades at the forefront of sustainability challenges in globally significant ecosystems. In 2010, he formed renowned global sustainability consultancy, Robertsbridge, whose counsel has been sought by leading companies and NGOs around the world.</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Developments Subsequent to December 31, 2024</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TMC and PAMCO Achieve Nodule Processing Milestone, Unlocking Critical Battery &amp; Steelmaking Materials at Existing Facilities</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On February 18, 2025, we announced that PAMCO had successfully smelted 450 tonnes of calcine into 35 tonnes of NiCuCo alloy and 320 tonnes of Mn silicate products, during a commercial-scale campaign to process a 2,000-tonne sample of deep-seafloor polymetallic nodules at our partner PAMCO’s Hachinohe Rotary Kiln Electric-Arc Furnace facility in Hachinohe, Japan, demonstrating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100"/>
        <w:spacing w:after="0" w:line="299" w:lineRule="auto"/>
        <w:rPr>
          <w:sz w:val="20"/>
          <w:szCs w:val="20"/>
          <w:color w:val="auto"/>
        </w:rPr>
      </w:pPr>
      <w:r>
        <w:rPr>
          <w:rFonts w:ascii="Arial" w:cs="Arial" w:eastAsia="Arial" w:hAnsi="Arial"/>
          <w:sz w:val="15"/>
          <w:szCs w:val="15"/>
          <w:color w:val="auto"/>
        </w:rPr>
        <w:t>the process at scale. The process data and operational experience gathered during the commercial-scale processing trial will inform expected definitive processing agreements between the parties.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Extension of Credit Facility with ERAS Capital LLC and Gerard Barron</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Extension of Allseas Working Capital Loan Agreement and Termination of Allseas 2023 Credit Facility</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On March 24,2025, we entered into a Letter Agreement (the “Letter Agreement”) with Allseas Investments and Argentum Cedit Virtuti GCV, pursuant to which the repayment date under our working capital loan agreement (“Working Capital Loan Agreement”) with Allseas Investments dated September 9, 2024 was extended to September 30, 2025.</w:t>
      </w:r>
    </w:p>
    <w:p>
      <w:pPr>
        <w:spacing w:after="0" w:line="137"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Additionally, under the Letter Agreement, we and Argentum Cedit Virtuti GCV agreed to cancel the unsecured credit facility established in 2023 with no outstanding amounts remaining, other than our obligation to pay the underutilization fee thereunder.</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Exploration of Potential U.S.-Based Regulatory Pathway</w:t>
      </w:r>
    </w:p>
    <w:p>
      <w:pPr>
        <w:spacing w:after="0" w:line="192"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On March 27, 2025, we announced that we initiated a process with NOAA and the U.S. Department of Commerce under the DSHMRA to consider a U.S.-based regulatory pathway for the commercial production of deep-sea polymetallic nodules in the CCZ. We believe this regulatory pathway potentially offers a clear and predictable route to securing an exploration license and a commercial recover permit to polymetallic nodules found in the CCZ. We are in the initial planning stages of this strategy, however, and there are no assurances that we will be able to secure any exploration or commercial recovery rights under the DSHMRA in a timely manner, or at all.</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Exploration Contracts</w:t>
      </w:r>
    </w:p>
    <w:p>
      <w:pPr>
        <w:spacing w:after="0" w:line="196"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We currently hold exclusive exploration rights to certain polymetallic nodule areas in the CCZ through our subsidiaries NORI and TOML, sponsored by the Republic of Nauru and the Kingdom of Tonga, respectively.</w:t>
      </w:r>
    </w:p>
    <w:p>
      <w:pPr>
        <w:spacing w:after="0" w:line="119" w:lineRule="exact"/>
        <w:rPr>
          <w:sz w:val="20"/>
          <w:szCs w:val="20"/>
          <w:color w:val="auto"/>
        </w:rPr>
      </w:pPr>
    </w:p>
    <w:p>
      <w:pPr>
        <w:jc w:val="both"/>
        <w:ind w:left="80" w:right="80" w:firstLine="275"/>
        <w:spacing w:after="0" w:line="260" w:lineRule="auto"/>
        <w:rPr>
          <w:sz w:val="20"/>
          <w:szCs w:val="20"/>
          <w:color w:val="auto"/>
        </w:rPr>
      </w:pPr>
      <w:r>
        <w:rPr>
          <w:rFonts w:ascii="Arial" w:cs="Arial" w:eastAsia="Arial" w:hAnsi="Arial"/>
          <w:sz w:val="15"/>
          <w:szCs w:val="15"/>
          <w:i w:val="1"/>
          <w:iCs w:val="1"/>
          <w:color w:val="auto"/>
        </w:rPr>
        <w:t xml:space="preserve">NORI. </w:t>
      </w:r>
      <w:r>
        <w:rPr>
          <w:rFonts w:ascii="Arial" w:cs="Arial" w:eastAsia="Arial" w:hAnsi="Arial"/>
          <w:sz w:val="15"/>
          <w:szCs w:val="15"/>
          <w:color w:val="auto"/>
        </w:rPr>
        <w:t>NORI our wholly-owned subsidiary, holds exploration rights to four blocks (NORI Area A, B, C, and D, the “NORI Contract Area”) covering 74,830 square</w:t>
      </w:r>
      <w:r>
        <w:rPr>
          <w:rFonts w:ascii="Arial" w:cs="Arial" w:eastAsia="Arial" w:hAnsi="Arial"/>
          <w:sz w:val="15"/>
          <w:szCs w:val="15"/>
          <w:i w:val="1"/>
          <w:iCs w:val="1"/>
          <w:color w:val="auto"/>
        </w:rPr>
        <w:t xml:space="preserve"> </w:t>
      </w:r>
      <w:r>
        <w:rPr>
          <w:rFonts w:ascii="Arial" w:cs="Arial" w:eastAsia="Arial" w:hAnsi="Arial"/>
          <w:sz w:val="15"/>
          <w:szCs w:val="15"/>
          <w:color w:val="auto"/>
        </w:rPr>
        <w:t>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to undertake an Initial Economic Assessment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included in this Annual Report for additional information about the 2021 economic analysis of NORI Area D.</w:t>
      </w:r>
    </w:p>
    <w:p>
      <w:pPr>
        <w:spacing w:after="0" w:line="331"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i w:val="1"/>
          <w:iCs w:val="1"/>
          <w:color w:val="auto"/>
        </w:rPr>
        <w:t xml:space="preserve">TOML. </w:t>
      </w:r>
      <w:r>
        <w:rPr>
          <w:rFonts w:ascii="Arial" w:cs="Arial" w:eastAsia="Arial" w:hAnsi="Arial"/>
          <w:sz w:val="14"/>
          <w:szCs w:val="14"/>
          <w:color w:val="auto"/>
        </w:rPr>
        <w:t>TOML our wholly-owned subsidiary which we acquired in March 2020, holds exploration rights to an area covering 74,713 square kilometers in the CCZ that</w:t>
      </w:r>
      <w:r>
        <w:rPr>
          <w:rFonts w:ascii="Arial" w:cs="Arial" w:eastAsia="Arial" w:hAnsi="Arial"/>
          <w:sz w:val="14"/>
          <w:szCs w:val="14"/>
          <w:i w:val="1"/>
          <w:iCs w:val="1"/>
          <w:color w:val="auto"/>
        </w:rPr>
        <w:t xml:space="preserve"> </w:t>
      </w:r>
      <w:r>
        <w:rPr>
          <w:rFonts w:ascii="Arial" w:cs="Arial" w:eastAsia="Arial" w:hAnsi="Arial"/>
          <w:sz w:val="14"/>
          <w:szCs w:val="14"/>
          <w:color w:val="auto"/>
        </w:rPr>
        <w:t>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Key Trends, Opportunities and Uncertainties</w:t>
      </w:r>
    </w:p>
    <w:p>
      <w:pPr>
        <w:spacing w:after="0" w:line="196"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We are currently a pre-revenue company, and we do not anticipate earning revenues (other than potential service revenue) until NORI receives an exploitation contract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Item 7A entitled “</w:t>
      </w:r>
      <w:r>
        <w:rPr>
          <w:rFonts w:ascii="Arial" w:cs="Arial" w:eastAsia="Arial" w:hAnsi="Arial"/>
          <w:sz w:val="15"/>
          <w:szCs w:val="15"/>
          <w:i w:val="1"/>
          <w:iCs w:val="1"/>
          <w:color w:val="auto"/>
        </w:rPr>
        <w:t>Quantitative and Qualitative Disclosures About Market Risk</w:t>
      </w:r>
      <w:r>
        <w:rPr>
          <w:rFonts w:ascii="Arial" w:cs="Arial" w:eastAsia="Arial" w:hAnsi="Arial"/>
          <w:sz w:val="15"/>
          <w:szCs w:val="15"/>
          <w:color w:val="auto"/>
        </w:rPr>
        <w:t>” and Item 1A entitled “</w:t>
      </w:r>
      <w:r>
        <w:rPr>
          <w:rFonts w:ascii="Arial" w:cs="Arial" w:eastAsia="Arial" w:hAnsi="Arial"/>
          <w:sz w:val="15"/>
          <w:szCs w:val="15"/>
          <w:i w:val="1"/>
          <w:iCs w:val="1"/>
          <w:color w:val="auto"/>
        </w:rPr>
        <w:t>Risk Factors</w:t>
      </w:r>
      <w:r>
        <w:rPr>
          <w:rFonts w:ascii="Arial" w:cs="Arial" w:eastAsia="Arial" w:hAnsi="Arial"/>
          <w:sz w:val="15"/>
          <w:szCs w:val="15"/>
          <w:color w:val="auto"/>
        </w:rPr>
        <w:t>” included in this Annual Report.</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Impact of Climate Change</w:t>
      </w:r>
    </w:p>
    <w:p>
      <w:pPr>
        <w:spacing w:after="0" w:line="196"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We are committed to adopting the Task Force on Climate-Related Financial Disclosures recommendations. In our Impact Report, we provided climate-related disclosure and shared how our vision is aligned with supporting the global energy transition and contributing to a circular metals economy. We recognize that climate change may have a meaningful impact on our financial performance over time, and we continue the process of assessing key risks and corresponding action plans to mitigate their negative impact of climate change on our operations.</w:t>
      </w:r>
    </w:p>
    <w:p>
      <w:pPr>
        <w:spacing w:after="0" w:line="141"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Our climate related transition risks and opportunities are likely to be driven by changes in regulation, public policy, and technology as well as risk of business disruptions due to climate related events.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Regulatory risks</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37"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Public policy risks</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w:t>
      </w:r>
    </w:p>
    <w:p>
      <w:pPr>
        <w:spacing w:after="0" w:line="14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To support the EV and battery storage value chain, we are seeking to close the emerging supply gap of the critical metals contained in nodules needed for the transition to renewable energy and adoption of EVs. We plan to take advantage of this opportunity to supply these potentially lower carbon critical metals, avoid deforestation, and help reduce the cost of batteries.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Technology risks</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Physical risks</w:t>
      </w:r>
    </w:p>
    <w:p>
      <w:pPr>
        <w:spacing w:after="0" w:line="192"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Impact of Global Inflation</w:t>
      </w:r>
    </w:p>
    <w:p>
      <w:pPr>
        <w:spacing w:after="0" w:line="196"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The global inflation rate rose sharply in 2022, and stayed relatively high in 2023 and 2024, marine fuel prices and vessel day rates remained high and have increased our exploration expenses beyond what was originally expected. Additionally, we are experiencing higher offshore labor costs through our contractors.</w:t>
      </w:r>
    </w:p>
    <w:p>
      <w:pPr>
        <w:spacing w:after="0" w:line="119" w:lineRule="exact"/>
        <w:rPr>
          <w:sz w:val="20"/>
          <w:szCs w:val="20"/>
          <w:color w:val="auto"/>
        </w:rPr>
      </w:pPr>
    </w:p>
    <w:p>
      <w:pPr>
        <w:ind w:left="80" w:right="1820" w:firstLine="275"/>
        <w:spacing w:after="0" w:line="509" w:lineRule="auto"/>
        <w:rPr>
          <w:sz w:val="20"/>
          <w:szCs w:val="20"/>
          <w:color w:val="auto"/>
        </w:rPr>
      </w:pPr>
      <w:r>
        <w:rPr>
          <w:rFonts w:ascii="Arial" w:cs="Arial" w:eastAsia="Arial" w:hAnsi="Arial"/>
          <w:sz w:val="15"/>
          <w:szCs w:val="15"/>
          <w:color w:val="auto"/>
        </w:rPr>
        <w:t xml:space="preserve">As a pre-revenue company, persistent inflation may affect our ultimate cash requirements prior to our ability to begin commercial production. </w:t>
      </w:r>
      <w:r>
        <w:rPr>
          <w:rFonts w:ascii="Arial" w:cs="Arial" w:eastAsia="Arial" w:hAnsi="Arial"/>
          <w:sz w:val="15"/>
          <w:szCs w:val="15"/>
          <w:b w:val="1"/>
          <w:bCs w:val="1"/>
          <w:color w:val="auto"/>
        </w:rPr>
        <w:t>Basis of Presentation</w:t>
      </w:r>
    </w:p>
    <w:p>
      <w:pPr>
        <w:ind w:left="360"/>
        <w:spacing w:after="0"/>
        <w:rPr>
          <w:sz w:val="20"/>
          <w:szCs w:val="20"/>
          <w:color w:val="auto"/>
        </w:rPr>
      </w:pPr>
      <w:r>
        <w:rPr>
          <w:rFonts w:ascii="Arial" w:cs="Arial" w:eastAsia="Arial" w:hAnsi="Arial"/>
          <w:sz w:val="14"/>
          <w:szCs w:val="14"/>
          <w:color w:val="auto"/>
        </w:rPr>
        <w:t>We currently conduct our business through one operating segment. As a pre-revenue company with no commercial operations, our activities to date have been limited.</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5"/>
          <w:szCs w:val="15"/>
          <w:color w:val="auto"/>
        </w:rPr>
        <w:t>Our results are reported under Generally Accepted Accounting Principles in the United States (“U.S. GAAP”) and in U.S. dollars.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196"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We are an exploration-stage company with no revenue to date and a net loss of $81.9 million for the year ended December 31, 2024, compared to a net loss of $73.8 million in the prior year. We have an accumulated deficit of approximately $631.4 million from inception through December 31, 2024.</w:t>
      </w:r>
    </w:p>
    <w:p>
      <w:pPr>
        <w:spacing w:after="0" w:line="119"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Revenue</w:t>
      </w:r>
    </w:p>
    <w:p>
      <w:pPr>
        <w:spacing w:after="0" w:line="192" w:lineRule="exact"/>
        <w:rPr>
          <w:sz w:val="20"/>
          <w:szCs w:val="20"/>
          <w:color w:val="auto"/>
        </w:rPr>
      </w:pPr>
    </w:p>
    <w:p>
      <w:pPr>
        <w:jc w:val="both"/>
        <w:ind w:left="80" w:right="80" w:firstLine="274"/>
        <w:spacing w:after="0" w:line="382" w:lineRule="auto"/>
        <w:rPr>
          <w:sz w:val="20"/>
          <w:szCs w:val="20"/>
          <w:color w:val="auto"/>
        </w:rPr>
      </w:pPr>
      <w:r>
        <w:rPr>
          <w:rFonts w:ascii="Arial" w:cs="Arial" w:eastAsia="Arial" w:hAnsi="Arial"/>
          <w:sz w:val="13"/>
          <w:szCs w:val="13"/>
          <w:color w:val="auto"/>
        </w:rPr>
        <w:t>To date, we have not generated any revenue. We do not expect to generate revenue (other than potential service revenue) until NORI receives an exploitation contract and we are able to successfully collect and process polymetallic nodules into saleable products on a commercial scale. Any revenue from initial production is difficult to predict.</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Exploration and Evaluation Expenses</w:t>
      </w:r>
    </w:p>
    <w:p>
      <w:pPr>
        <w:spacing w:after="0" w:line="192" w:lineRule="exact"/>
        <w:rPr>
          <w:sz w:val="20"/>
          <w:szCs w:val="20"/>
          <w:color w:val="auto"/>
        </w:rPr>
      </w:pPr>
    </w:p>
    <w:p>
      <w:pPr>
        <w:jc w:val="both"/>
        <w:ind w:left="80" w:right="80" w:firstLine="274"/>
        <w:spacing w:after="0" w:line="323" w:lineRule="auto"/>
        <w:rPr>
          <w:sz w:val="20"/>
          <w:szCs w:val="20"/>
          <w:color w:val="auto"/>
        </w:rPr>
      </w:pPr>
      <w:r>
        <w:rPr>
          <w:rFonts w:ascii="Arial" w:cs="Arial" w:eastAsia="Arial" w:hAnsi="Arial"/>
          <w:sz w:val="13"/>
          <w:szCs w:val="13"/>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19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Interest Income/Expense</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Interest income consists primarily of interest income earned on our cash and cash equivalents.</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Fees and Interest on Borrowings and Credit Facilities</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Fees and interest on borrowings and credit facilities represent interest charged on our short-term debt and interest and underutilization fees associated with our credit facilities.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Foreign Exchange Loss</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Change in Fair Value of Warrants Liability</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The change in fair value of warrants liabilities primarily consists of the change in the fair value of the 9,500,000 warrants issued to Sustainable Opportunities Holdings LLC concurrently with SOAC’s initial public offering (the “Private Warrants”). For accounting purposes, we were considered to have issued the Private Warrants as part of the Business Combination, and we are required to re-measure the fair value of our Private Warrants at the end of each reporting period.</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Results of Operations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Comparison of the periods ended December 31, 2024 and 2023</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4040" w:type="dxa"/>
            <w:vAlign w:val="bottom"/>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10"/>
          </w:tcPr>
          <w:p>
            <w:pPr>
              <w:jc w:val="center"/>
              <w:ind w:right="400"/>
              <w:spacing w:after="0"/>
              <w:rPr>
                <w:sz w:val="20"/>
                <w:szCs w:val="20"/>
                <w:color w:val="auto"/>
              </w:rPr>
            </w:pPr>
            <w:r>
              <w:rPr>
                <w:rFonts w:ascii="Arial" w:cs="Arial" w:eastAsia="Arial" w:hAnsi="Arial"/>
                <w:sz w:val="12"/>
                <w:szCs w:val="12"/>
                <w:b w:val="1"/>
                <w:bCs w:val="1"/>
                <w:color w:val="auto"/>
                <w:w w:val="93"/>
              </w:rPr>
              <w:t>For the Three Months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For the Year Ended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5"/>
          </w:tcPr>
          <w:p>
            <w:pPr>
              <w:jc w:val="center"/>
              <w:ind w:right="180"/>
              <w:spacing w:after="0" w:line="134" w:lineRule="exact"/>
              <w:rPr>
                <w:sz w:val="20"/>
                <w:szCs w:val="20"/>
                <w:color w:val="auto"/>
              </w:rPr>
            </w:pPr>
            <w:r>
              <w:rPr>
                <w:rFonts w:ascii="Arial" w:cs="Arial" w:eastAsia="Arial" w:hAnsi="Arial"/>
                <w:sz w:val="12"/>
                <w:szCs w:val="12"/>
                <w:b w:val="1"/>
                <w:bCs w:val="1"/>
                <w:color w:val="auto"/>
                <w:w w:val="89"/>
              </w:rPr>
              <w:t>December 31,</w:t>
            </w: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spacing w:after="0" w:line="134" w:lineRule="exact"/>
              <w:rPr>
                <w:sz w:val="20"/>
                <w:szCs w:val="20"/>
                <w:color w:val="auto"/>
              </w:rPr>
            </w:pPr>
            <w:r>
              <w:rPr>
                <w:rFonts w:ascii="Arial" w:cs="Arial" w:eastAsia="Arial" w:hAnsi="Arial"/>
                <w:sz w:val="12"/>
                <w:szCs w:val="12"/>
                <w:b w:val="1"/>
                <w:bCs w:val="1"/>
                <w:color w:val="auto"/>
              </w:rPr>
              <w:t>December 31,</w:t>
            </w: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line="126" w:lineRule="exact"/>
              <w:rPr>
                <w:sz w:val="20"/>
                <w:szCs w:val="20"/>
                <w:color w:val="auto"/>
              </w:rPr>
            </w:pPr>
            <w:r>
              <w:rPr>
                <w:rFonts w:ascii="Arial" w:cs="Arial" w:eastAsia="Arial" w:hAnsi="Arial"/>
                <w:sz w:val="12"/>
                <w:szCs w:val="12"/>
                <w:b w:val="1"/>
                <w:bCs w:val="1"/>
                <w:color w:val="auto"/>
              </w:rPr>
              <w:t>except as noted)</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226"/>
              <w:spacing w:after="0" w:line="126" w:lineRule="exact"/>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84"/>
              <w:spacing w:after="0" w:line="126" w:lineRule="exact"/>
              <w:rPr>
                <w:sz w:val="20"/>
                <w:szCs w:val="20"/>
                <w:color w:val="auto"/>
              </w:rPr>
            </w:pPr>
            <w:r>
              <w:rPr>
                <w:rFonts w:ascii="Arial" w:cs="Arial" w:eastAsia="Arial" w:hAnsi="Arial"/>
                <w:sz w:val="12"/>
                <w:szCs w:val="12"/>
                <w:b w:val="1"/>
                <w:bCs w:val="1"/>
                <w:color w:val="auto"/>
              </w:rPr>
              <w:t>2023</w:t>
            </w:r>
          </w:p>
        </w:tc>
        <w:tc>
          <w:tcPr>
            <w:tcW w:w="180" w:type="dxa"/>
            <w:vAlign w:val="bottom"/>
          </w:tcPr>
          <w:p>
            <w:pPr>
              <w:spacing w:after="0"/>
              <w:rPr>
                <w:sz w:val="10"/>
                <w:szCs w:val="10"/>
                <w:color w:val="auto"/>
              </w:rPr>
            </w:pPr>
          </w:p>
        </w:tc>
        <w:tc>
          <w:tcPr>
            <w:tcW w:w="74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 Change</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165"/>
              <w:spacing w:after="0" w:line="126"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185"/>
              <w:spacing w:after="0" w:line="126" w:lineRule="exact"/>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0"/>
                <w:szCs w:val="10"/>
                <w:color w:val="auto"/>
              </w:rPr>
            </w:pPr>
          </w:p>
        </w:tc>
        <w:tc>
          <w:tcPr>
            <w:tcW w:w="74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 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Exploration and evaluation expenses</w:t>
            </w:r>
          </w:p>
        </w:tc>
        <w:tc>
          <w:tcPr>
            <w:tcW w:w="880" w:type="dxa"/>
            <w:vAlign w:val="bottom"/>
            <w:tcBorders>
              <w:top w:val="single" w:sz="8" w:color="D2EEF5"/>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8,304</w:t>
            </w:r>
          </w:p>
        </w:tc>
        <w:tc>
          <w:tcPr>
            <w:tcW w:w="8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26,677</w:t>
            </w:r>
          </w:p>
        </w:tc>
        <w:tc>
          <w:tcPr>
            <w:tcW w:w="180" w:type="dxa"/>
            <w:vAlign w:val="bottom"/>
            <w:tcBorders>
              <w:top w:val="single" w:sz="8" w:color="D2EEF5"/>
            </w:tcBorders>
            <w:shd w:val="clear" w:color="auto" w:fill="D2EEF5"/>
          </w:tcPr>
          <w:p>
            <w:pPr>
              <w:spacing w:after="0"/>
              <w:rPr>
                <w:sz w:val="15"/>
                <w:szCs w:val="15"/>
                <w:color w:val="auto"/>
              </w:rPr>
            </w:pPr>
          </w:p>
        </w:tc>
        <w:tc>
          <w:tcPr>
            <w:tcW w:w="7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(69)</w:t>
            </w:r>
          </w:p>
        </w:tc>
        <w:tc>
          <w:tcPr>
            <w:tcW w:w="200" w:type="dxa"/>
            <w:vAlign w:val="bottom"/>
            <w:tcBorders>
              <w:top w:val="single" w:sz="8" w:color="D2EEF5"/>
            </w:tcBorders>
            <w:gridSpan w:val="2"/>
            <w:shd w:val="clear" w:color="auto" w:fill="D2EEF5"/>
          </w:tcPr>
          <w:p>
            <w:pPr>
              <w:jc w:val="right"/>
              <w:ind w:right="60"/>
              <w:spacing w:after="0"/>
              <w:rPr>
                <w:sz w:val="20"/>
                <w:szCs w:val="20"/>
                <w:color w:val="auto"/>
              </w:rPr>
            </w:pPr>
            <w:r>
              <w:rPr>
                <w:rFonts w:ascii="Arial" w:cs="Arial" w:eastAsia="Arial" w:hAnsi="Arial"/>
                <w:sz w:val="15"/>
                <w:szCs w:val="15"/>
                <w:color w:val="auto"/>
                <w:w w:val="89"/>
              </w:rPr>
              <w:t>%</w:t>
            </w:r>
          </w:p>
        </w:tc>
        <w:tc>
          <w:tcPr>
            <w:tcW w:w="6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50,643</w:t>
            </w:r>
          </w:p>
        </w:tc>
        <w:tc>
          <w:tcPr>
            <w:tcW w:w="20" w:type="dxa"/>
            <w:vAlign w:val="bottom"/>
            <w:tcBorders>
              <w:top w:val="single" w:sz="8" w:color="D2EEF5"/>
            </w:tcBorders>
            <w:shd w:val="clear" w:color="auto" w:fill="D2EEF5"/>
          </w:tcPr>
          <w:p>
            <w:pPr>
              <w:spacing w:after="0"/>
              <w:rPr>
                <w:sz w:val="15"/>
                <w:szCs w:val="15"/>
                <w:color w:val="auto"/>
              </w:rPr>
            </w:pPr>
          </w:p>
        </w:tc>
        <w:tc>
          <w:tcPr>
            <w:tcW w:w="18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49,849</w:t>
            </w:r>
          </w:p>
        </w:tc>
        <w:tc>
          <w:tcPr>
            <w:tcW w:w="200" w:type="dxa"/>
            <w:vAlign w:val="bottom"/>
            <w:tcBorders>
              <w:top w:val="single" w:sz="8" w:color="D2EEF5"/>
            </w:tcBorders>
            <w:shd w:val="clear" w:color="auto" w:fill="D2EEF5"/>
          </w:tcPr>
          <w:p>
            <w:pPr>
              <w:spacing w:after="0"/>
              <w:rPr>
                <w:sz w:val="15"/>
                <w:szCs w:val="15"/>
                <w:color w:val="auto"/>
              </w:rPr>
            </w:pPr>
          </w:p>
        </w:tc>
        <w:tc>
          <w:tcPr>
            <w:tcW w:w="7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w:t>
            </w:r>
          </w:p>
        </w:tc>
        <w:tc>
          <w:tcPr>
            <w:tcW w:w="180" w:type="dxa"/>
            <w:vAlign w:val="bottom"/>
            <w:tcBorders>
              <w:top w:val="single" w:sz="8" w:color="D2EEF5"/>
            </w:tcBorders>
            <w:gridSpan w:val="2"/>
            <w:shd w:val="clear" w:color="auto" w:fill="D2EEF5"/>
          </w:tcPr>
          <w:p>
            <w:pPr>
              <w:jc w:val="right"/>
              <w:ind w:right="40"/>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5"/>
                <w:szCs w:val="15"/>
                <w:color w:val="auto"/>
              </w:rPr>
              <w:t>General and administrative expenses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8,044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6,582</w:t>
            </w:r>
          </w:p>
        </w:tc>
        <w:tc>
          <w:tcPr>
            <w:tcW w:w="18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22 %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30,644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22,540</w:t>
            </w:r>
          </w:p>
        </w:tc>
        <w:tc>
          <w:tcPr>
            <w:tcW w:w="20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36 %</w:t>
            </w:r>
          </w:p>
        </w:tc>
        <w:tc>
          <w:tcPr>
            <w:tcW w:w="0" w:type="dxa"/>
            <w:vAlign w:val="bottom"/>
          </w:tcPr>
          <w:p>
            <w:pPr>
              <w:spacing w:after="0"/>
              <w:rPr>
                <w:sz w:val="1"/>
                <w:szCs w:val="1"/>
                <w:color w:val="auto"/>
              </w:rPr>
            </w:pPr>
          </w:p>
        </w:tc>
      </w:tr>
      <w:tr>
        <w:trPr>
          <w:trHeight w:val="183"/>
        </w:trPr>
        <w:tc>
          <w:tcPr>
            <w:tcW w:w="4040" w:type="dxa"/>
            <w:vAlign w:val="bottom"/>
            <w:shd w:val="clear" w:color="auto" w:fill="D2EEF5"/>
          </w:tcPr>
          <w:p>
            <w:pPr>
              <w:spacing w:after="0"/>
              <w:rPr>
                <w:sz w:val="20"/>
                <w:szCs w:val="20"/>
                <w:color w:val="auto"/>
              </w:rPr>
            </w:pPr>
            <w:r>
              <w:rPr>
                <w:rFonts w:ascii="Arial" w:cs="Arial" w:eastAsia="Arial" w:hAnsi="Arial"/>
                <w:sz w:val="15"/>
                <w:szCs w:val="15"/>
                <w:color w:val="auto"/>
              </w:rPr>
              <w:t>Equity-accounted investment loss</w:t>
            </w:r>
          </w:p>
        </w:tc>
        <w:tc>
          <w:tcPr>
            <w:tcW w:w="8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96</w:t>
            </w:r>
          </w:p>
        </w:tc>
        <w:tc>
          <w:tcPr>
            <w:tcW w:w="180" w:type="dxa"/>
            <w:vAlign w:val="bottom"/>
            <w:shd w:val="clear" w:color="auto" w:fill="D2EEF5"/>
          </w:tcPr>
          <w:p>
            <w:pPr>
              <w:spacing w:after="0"/>
              <w:rPr>
                <w:sz w:val="15"/>
                <w:szCs w:val="15"/>
                <w:color w:val="auto"/>
              </w:rPr>
            </w:pPr>
          </w:p>
        </w:tc>
        <w:tc>
          <w:tcPr>
            <w:tcW w:w="9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(70)%</w:t>
            </w:r>
          </w:p>
        </w:tc>
        <w:tc>
          <w:tcPr>
            <w:tcW w:w="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5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226</w:t>
            </w:r>
          </w:p>
        </w:tc>
        <w:tc>
          <w:tcPr>
            <w:tcW w:w="2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5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571</w:t>
            </w:r>
          </w:p>
        </w:tc>
        <w:tc>
          <w:tcPr>
            <w:tcW w:w="200" w:type="dxa"/>
            <w:vAlign w:val="bottom"/>
            <w:shd w:val="clear" w:color="auto" w:fill="D2EEF5"/>
          </w:tcPr>
          <w:p>
            <w:pPr>
              <w:spacing w:after="0"/>
              <w:rPr>
                <w:sz w:val="15"/>
                <w:szCs w:val="15"/>
                <w:color w:val="auto"/>
              </w:rPr>
            </w:pPr>
          </w:p>
        </w:tc>
        <w:tc>
          <w:tcPr>
            <w:tcW w:w="900" w:type="dxa"/>
            <w:vAlign w:val="bottom"/>
            <w:gridSpan w:val="3"/>
            <w:shd w:val="clear" w:color="auto" w:fill="D2EEF5"/>
          </w:tcPr>
          <w:p>
            <w:pPr>
              <w:jc w:val="right"/>
              <w:ind w:right="4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5"/>
                <w:szCs w:val="15"/>
                <w:color w:val="auto"/>
              </w:rPr>
              <w:t>Loss on termination of contract</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5"/>
                <w:szCs w:val="15"/>
                <w:color w:val="auto"/>
              </w:rPr>
              <w:t>N/A</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4040" w:type="dxa"/>
            <w:vAlign w:val="bottom"/>
            <w:shd w:val="clear" w:color="auto" w:fill="D2EEF5"/>
          </w:tcPr>
          <w:p>
            <w:pPr>
              <w:spacing w:after="0"/>
              <w:rPr>
                <w:sz w:val="20"/>
                <w:szCs w:val="20"/>
                <w:color w:val="auto"/>
              </w:rPr>
            </w:pPr>
            <w:r>
              <w:rPr>
                <w:rFonts w:ascii="Arial" w:cs="Arial" w:eastAsia="Arial" w:hAnsi="Arial"/>
                <w:sz w:val="15"/>
                <w:szCs w:val="15"/>
                <w:color w:val="auto"/>
              </w:rPr>
              <w:t>Change in fair value of warrants liability</w:t>
            </w:r>
          </w:p>
        </w:tc>
        <w:tc>
          <w:tcPr>
            <w:tcW w:w="8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shd w:val="clear" w:color="auto" w:fill="D2EEF5"/>
          </w:tcPr>
          <w:p>
            <w:pPr>
              <w:jc w:val="right"/>
              <w:ind w:right="180"/>
              <w:spacing w:after="0"/>
              <w:rPr>
                <w:sz w:val="20"/>
                <w:szCs w:val="20"/>
                <w:color w:val="auto"/>
              </w:rPr>
            </w:pPr>
            <w:r>
              <w:rPr>
                <w:rFonts w:ascii="Arial" w:cs="Arial" w:eastAsia="Arial" w:hAnsi="Arial"/>
                <w:sz w:val="15"/>
                <w:szCs w:val="15"/>
                <w:color w:val="auto"/>
              </w:rPr>
              <w:t>(228)</w:t>
            </w:r>
          </w:p>
        </w:tc>
        <w:tc>
          <w:tcPr>
            <w:tcW w:w="9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120 %</w:t>
            </w:r>
          </w:p>
        </w:tc>
        <w:tc>
          <w:tcPr>
            <w:tcW w:w="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00" w:type="dxa"/>
            <w:vAlign w:val="bottom"/>
            <w:gridSpan w:val="2"/>
            <w:shd w:val="clear" w:color="auto" w:fill="D2EEF5"/>
          </w:tcPr>
          <w:p>
            <w:pPr>
              <w:jc w:val="right"/>
              <w:ind w:right="20"/>
              <w:spacing w:after="0"/>
              <w:rPr>
                <w:sz w:val="20"/>
                <w:szCs w:val="20"/>
                <w:color w:val="auto"/>
              </w:rPr>
            </w:pPr>
            <w:r>
              <w:rPr>
                <w:rFonts w:ascii="Arial" w:cs="Arial" w:eastAsia="Arial" w:hAnsi="Arial"/>
                <w:sz w:val="15"/>
                <w:szCs w:val="15"/>
                <w:color w:val="auto"/>
              </w:rPr>
              <w:t>(1,057)</w:t>
            </w:r>
          </w:p>
        </w:tc>
        <w:tc>
          <w:tcPr>
            <w:tcW w:w="1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5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986</w:t>
            </w:r>
          </w:p>
        </w:tc>
        <w:tc>
          <w:tcPr>
            <w:tcW w:w="200" w:type="dxa"/>
            <w:vAlign w:val="bottom"/>
            <w:shd w:val="clear" w:color="auto" w:fill="D2EEF5"/>
          </w:tcPr>
          <w:p>
            <w:pPr>
              <w:spacing w:after="0"/>
              <w:rPr>
                <w:sz w:val="15"/>
                <w:szCs w:val="15"/>
                <w:color w:val="auto"/>
              </w:rPr>
            </w:pPr>
          </w:p>
        </w:tc>
        <w:tc>
          <w:tcPr>
            <w:tcW w:w="900" w:type="dxa"/>
            <w:vAlign w:val="bottom"/>
            <w:gridSpan w:val="3"/>
            <w:shd w:val="clear" w:color="auto" w:fill="D2EEF5"/>
          </w:tcPr>
          <w:p>
            <w:pPr>
              <w:jc w:val="right"/>
              <w:ind w:right="4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5"/>
                <w:szCs w:val="15"/>
                <w:color w:val="auto"/>
              </w:rPr>
              <w:t>Foreign exchange (loss) gain</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(1,782)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244</w:t>
            </w:r>
          </w:p>
        </w:tc>
        <w:tc>
          <w:tcPr>
            <w:tcW w:w="18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(830)%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(1,186)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310</w:t>
            </w:r>
          </w:p>
        </w:tc>
        <w:tc>
          <w:tcPr>
            <w:tcW w:w="20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183"/>
        </w:trPr>
        <w:tc>
          <w:tcPr>
            <w:tcW w:w="4040" w:type="dxa"/>
            <w:vAlign w:val="bottom"/>
            <w:shd w:val="clear" w:color="auto" w:fill="D2EEF5"/>
          </w:tcPr>
          <w:p>
            <w:pPr>
              <w:spacing w:after="0"/>
              <w:rPr>
                <w:sz w:val="20"/>
                <w:szCs w:val="20"/>
                <w:color w:val="auto"/>
              </w:rPr>
            </w:pPr>
            <w:r>
              <w:rPr>
                <w:rFonts w:ascii="Arial" w:cs="Arial" w:eastAsia="Arial" w:hAnsi="Arial"/>
                <w:sz w:val="15"/>
                <w:szCs w:val="15"/>
                <w:color w:val="auto"/>
              </w:rPr>
              <w:t>Interest income</w:t>
            </w:r>
          </w:p>
        </w:tc>
        <w:tc>
          <w:tcPr>
            <w:tcW w:w="8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720" w:type="dxa"/>
            <w:vAlign w:val="bottom"/>
            <w:gridSpan w:val="2"/>
            <w:shd w:val="clear" w:color="auto" w:fill="D2EEF5"/>
          </w:tcPr>
          <w:p>
            <w:pPr>
              <w:jc w:val="right"/>
              <w:ind w:right="80"/>
              <w:spacing w:after="0"/>
              <w:rPr>
                <w:sz w:val="20"/>
                <w:szCs w:val="20"/>
                <w:color w:val="auto"/>
              </w:rPr>
            </w:pPr>
            <w:r>
              <w:rPr>
                <w:rFonts w:ascii="Arial" w:cs="Arial" w:eastAsia="Arial" w:hAnsi="Arial"/>
                <w:sz w:val="15"/>
                <w:szCs w:val="15"/>
                <w:color w:val="auto"/>
              </w:rPr>
              <w:t>(51)</w:t>
            </w:r>
          </w:p>
        </w:tc>
        <w:tc>
          <w:tcPr>
            <w:tcW w:w="1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shd w:val="clear" w:color="auto" w:fill="D2EEF5"/>
          </w:tcPr>
          <w:p>
            <w:pPr>
              <w:jc w:val="right"/>
              <w:ind w:right="180"/>
              <w:spacing w:after="0"/>
              <w:rPr>
                <w:sz w:val="20"/>
                <w:szCs w:val="20"/>
                <w:color w:val="auto"/>
              </w:rPr>
            </w:pPr>
            <w:r>
              <w:rPr>
                <w:rFonts w:ascii="Arial" w:cs="Arial" w:eastAsia="Arial" w:hAnsi="Arial"/>
                <w:sz w:val="15"/>
                <w:szCs w:val="15"/>
                <w:color w:val="auto"/>
              </w:rPr>
              <w:t>(205)</w:t>
            </w:r>
          </w:p>
        </w:tc>
        <w:tc>
          <w:tcPr>
            <w:tcW w:w="9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(75)%</w:t>
            </w:r>
          </w:p>
        </w:tc>
        <w:tc>
          <w:tcPr>
            <w:tcW w:w="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00" w:type="dxa"/>
            <w:vAlign w:val="bottom"/>
            <w:gridSpan w:val="2"/>
            <w:shd w:val="clear" w:color="auto" w:fill="D2EEF5"/>
          </w:tcPr>
          <w:p>
            <w:pPr>
              <w:jc w:val="right"/>
              <w:ind w:right="20"/>
              <w:spacing w:after="0"/>
              <w:rPr>
                <w:sz w:val="20"/>
                <w:szCs w:val="20"/>
                <w:color w:val="auto"/>
              </w:rPr>
            </w:pPr>
            <w:r>
              <w:rPr>
                <w:rFonts w:ascii="Arial" w:cs="Arial" w:eastAsia="Arial" w:hAnsi="Arial"/>
                <w:sz w:val="15"/>
                <w:szCs w:val="15"/>
                <w:color w:val="auto"/>
              </w:rPr>
              <w:t>(176)</w:t>
            </w:r>
          </w:p>
        </w:tc>
        <w:tc>
          <w:tcPr>
            <w:tcW w:w="1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8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(1,297)</w:t>
            </w:r>
          </w:p>
        </w:tc>
        <w:tc>
          <w:tcPr>
            <w:tcW w:w="900" w:type="dxa"/>
            <w:vAlign w:val="bottom"/>
            <w:gridSpan w:val="3"/>
            <w:shd w:val="clear" w:color="auto" w:fill="D2EEF5"/>
          </w:tcPr>
          <w:p>
            <w:pPr>
              <w:jc w:val="right"/>
              <w:ind w:right="40"/>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5"/>
                <w:szCs w:val="15"/>
                <w:color w:val="auto"/>
              </w:rPr>
              <w:t>Fees and interest on borrowings and credit facilities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386 %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2,602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781</w:t>
            </w:r>
          </w:p>
        </w:tc>
        <w:tc>
          <w:tcPr>
            <w:tcW w:w="20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233 %</w:t>
            </w:r>
          </w:p>
        </w:tc>
        <w:tc>
          <w:tcPr>
            <w:tcW w:w="0" w:type="dxa"/>
            <w:vAlign w:val="bottom"/>
          </w:tcPr>
          <w:p>
            <w:pPr>
              <w:spacing w:after="0"/>
              <w:rPr>
                <w:sz w:val="1"/>
                <w:szCs w:val="1"/>
                <w:color w:val="auto"/>
              </w:rPr>
            </w:pPr>
          </w:p>
        </w:tc>
      </w:tr>
      <w:tr>
        <w:trPr>
          <w:trHeight w:val="183"/>
        </w:trPr>
        <w:tc>
          <w:tcPr>
            <w:tcW w:w="4040" w:type="dxa"/>
            <w:vAlign w:val="bottom"/>
            <w:shd w:val="clear" w:color="auto" w:fill="D2EEF5"/>
          </w:tcPr>
          <w:p>
            <w:pPr>
              <w:spacing w:after="0"/>
              <w:rPr>
                <w:sz w:val="20"/>
                <w:szCs w:val="20"/>
                <w:color w:val="auto"/>
              </w:rPr>
            </w:pPr>
            <w:r>
              <w:rPr>
                <w:rFonts w:ascii="Arial" w:cs="Arial" w:eastAsia="Arial" w:hAnsi="Arial"/>
                <w:sz w:val="15"/>
                <w:szCs w:val="15"/>
                <w:color w:val="auto"/>
              </w:rPr>
              <w:t>Tax expense</w:t>
            </w:r>
          </w:p>
        </w:tc>
        <w:tc>
          <w:tcPr>
            <w:tcW w:w="8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48</w:t>
            </w:r>
          </w:p>
        </w:tc>
        <w:tc>
          <w:tcPr>
            <w:tcW w:w="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41</w:t>
            </w:r>
          </w:p>
        </w:tc>
        <w:tc>
          <w:tcPr>
            <w:tcW w:w="180" w:type="dxa"/>
            <w:vAlign w:val="bottom"/>
            <w:shd w:val="clear" w:color="auto" w:fill="D2EEF5"/>
          </w:tcPr>
          <w:p>
            <w:pPr>
              <w:spacing w:after="0"/>
              <w:rPr>
                <w:sz w:val="15"/>
                <w:szCs w:val="15"/>
                <w:color w:val="auto"/>
              </w:rPr>
            </w:pPr>
          </w:p>
        </w:tc>
        <w:tc>
          <w:tcPr>
            <w:tcW w:w="9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17 %</w:t>
            </w:r>
          </w:p>
        </w:tc>
        <w:tc>
          <w:tcPr>
            <w:tcW w:w="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5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48</w:t>
            </w:r>
          </w:p>
        </w:tc>
        <w:tc>
          <w:tcPr>
            <w:tcW w:w="2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5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41</w:t>
            </w:r>
          </w:p>
        </w:tc>
        <w:tc>
          <w:tcPr>
            <w:tcW w:w="200" w:type="dxa"/>
            <w:vAlign w:val="bottom"/>
            <w:shd w:val="clear" w:color="auto" w:fill="D2EEF5"/>
          </w:tcPr>
          <w:p>
            <w:pPr>
              <w:spacing w:after="0"/>
              <w:rPr>
                <w:sz w:val="15"/>
                <w:szCs w:val="15"/>
                <w:color w:val="auto"/>
              </w:rPr>
            </w:pPr>
          </w:p>
        </w:tc>
        <w:tc>
          <w:tcPr>
            <w:tcW w:w="900" w:type="dxa"/>
            <w:vAlign w:val="bottom"/>
            <w:gridSpan w:val="3"/>
            <w:shd w:val="clear" w:color="auto" w:fill="D2EEF5"/>
          </w:tcPr>
          <w:p>
            <w:pPr>
              <w:jc w:val="right"/>
              <w:ind w:right="40"/>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20"/>
                <w:szCs w:val="20"/>
                <w:color w:val="auto"/>
              </w:rPr>
            </w:pPr>
            <w:r>
              <w:rPr>
                <w:rFonts w:ascii="Arial" w:cs="Arial" w:eastAsia="Arial" w:hAnsi="Arial"/>
                <w:sz w:val="15"/>
                <w:szCs w:val="15"/>
                <w:color w:val="auto"/>
              </w:rPr>
              <w:t>Loss for the year, after tax</w:t>
            </w:r>
          </w:p>
        </w:tc>
        <w:tc>
          <w:tcPr>
            <w:tcW w:w="8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16,061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33,459</w:t>
            </w:r>
          </w:p>
        </w:tc>
        <w:tc>
          <w:tcPr>
            <w:tcW w:w="1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w:t>
            </w: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81,943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73,781</w:t>
            </w:r>
          </w:p>
        </w:tc>
        <w:tc>
          <w:tcPr>
            <w:tcW w:w="2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Full Year 2024 compared to Full Year 2023</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Exploration and Evaluation Expenses</w:t>
      </w:r>
    </w:p>
    <w:p>
      <w:pPr>
        <w:spacing w:after="0" w:line="192"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Exploration and evaluation expenses for the year ended December 31, 2024 were $50.6 million, or $0.8 million higher than the same period in 2023. The spending in 2024 as compared to the prior year reflects an increase of $7.5 million in mining, technological and process development mostly due to costs incurred for resource definition during Campaign 8, higher share-based compensation of $5.4 million primarily due to the amortization of the fair value of RSUs and options granted to officers in the second quarter of 2024. This was offset by lower spending on environmental studies as the cost for Campaign 8 which commenced in the fourth quarter of 2023</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100"/>
        <w:spacing w:after="0" w:line="299" w:lineRule="auto"/>
        <w:rPr>
          <w:sz w:val="20"/>
          <w:szCs w:val="20"/>
          <w:color w:val="auto"/>
        </w:rPr>
      </w:pPr>
      <w:r>
        <w:rPr>
          <w:rFonts w:ascii="Arial" w:cs="Arial" w:eastAsia="Arial" w:hAnsi="Arial"/>
          <w:sz w:val="15"/>
          <w:szCs w:val="15"/>
          <w:color w:val="auto"/>
        </w:rPr>
        <w:t>was completed in the first quarter of 2024 and was lower than the cost of the environmental work in 2023 following the completion of the NORI pilot nodule collection system test.</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General and Administrative (“G&amp;A”) Expenses</w:t>
      </w:r>
    </w:p>
    <w:p>
      <w:pPr>
        <w:spacing w:after="0" w:line="192" w:lineRule="exact"/>
        <w:rPr>
          <w:sz w:val="20"/>
          <w:szCs w:val="20"/>
          <w:color w:val="auto"/>
        </w:rPr>
      </w:pPr>
    </w:p>
    <w:p>
      <w:pPr>
        <w:jc w:val="both"/>
        <w:ind w:left="80" w:right="100" w:firstLine="275"/>
        <w:spacing w:after="0" w:line="269" w:lineRule="auto"/>
        <w:rPr>
          <w:sz w:val="20"/>
          <w:szCs w:val="20"/>
          <w:color w:val="auto"/>
        </w:rPr>
      </w:pPr>
      <w:r>
        <w:rPr>
          <w:rFonts w:ascii="Arial" w:cs="Arial" w:eastAsia="Arial" w:hAnsi="Arial"/>
          <w:sz w:val="15"/>
          <w:szCs w:val="15"/>
          <w:color w:val="auto"/>
        </w:rPr>
        <w:t>G&amp;A expenses for the year ended December 31, 2024 were $30.6 million compared to $22.5 million for the same period in 2023. The increase of $8.1 million in G&amp;A expenses was mainly the result of an increase in share-based compensation of $5.7 million due to the amortization of the fair value of RSUs and options granted to directors and officers in the second quarter of 2024, higher consulting and advisory fees of $1.9 million and higher personnel costs of $0.8 million. This increase was partially offset by decreased travel and insurance costs incurred in 2024 compared to the same period in 2023.</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Interest Income</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2024, we earned interest of $0.2 million, as compared to $1.3 million in 2023, mainly from the investment of our cash on hand.</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Change in Fair Value of Warrants Liability</w:t>
      </w:r>
    </w:p>
    <w:p>
      <w:pPr>
        <w:spacing w:after="0" w:line="192"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The change in fair value of warrants liability primarily consists of the change in the fair value of the 9,500,000 Private Warrants. The credit recorded in 2024 reflects the decrease in the market price of our warrants.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Fees and Interest on Borrowings and Credit Facilities</w:t>
      </w:r>
    </w:p>
    <w:p>
      <w:pPr>
        <w:spacing w:after="0" w:line="19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The interest charged on our short-term debt borrowings was $0.2 million in the year ended December 31, 2024 ($nil for the same period of 2023), while interest on drawn amounts on our credit facilities was $0.3 million and underutilization fees on these same facilities was $2.1 million in the year ended December 31, 2024 ($nil and $0.8 million over the same period in 2023, respectively).</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Liquidity and Capital Resources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Our primary sources of financing have come from private placements and public offerings of Common Shares and warrants, and the issuance of convertible debentures.</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5"/>
          <w:szCs w:val="15"/>
          <w:color w:val="auto"/>
        </w:rPr>
        <w:t>As of December 31, 2024, we had cash on hand of $3.5 million.</w:t>
      </w:r>
    </w:p>
    <w:p>
      <w:pPr>
        <w:spacing w:after="0" w:line="193"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and by utilizing existing assets for offshore and onshore production.</w:t>
      </w:r>
    </w:p>
    <w:p>
      <w:pPr>
        <w:spacing w:after="0" w:line="14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or provisional approvals. While we have obtained financing in the past, there is no assurance that such financing will continue to be available on favorable terms, in sufficient amounts, or at all.</w:t>
      </w:r>
    </w:p>
    <w:p>
      <w:pPr>
        <w:spacing w:after="0" w:line="147"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46"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47"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No funds were raised from the Sales Agreement in the fourth quarter of 2024, while for the 2024 year, we sold 3,251,590 Common Shares for gross proceeds of $4.9 million under this offering.</w:t>
      </w:r>
    </w:p>
    <w:p>
      <w:pPr>
        <w:spacing w:after="0" w:line="132" w:lineRule="exact"/>
        <w:rPr>
          <w:sz w:val="20"/>
          <w:szCs w:val="20"/>
          <w:color w:val="auto"/>
        </w:rPr>
      </w:pPr>
    </w:p>
    <w:p>
      <w:pPr>
        <w:jc w:val="both"/>
        <w:ind w:left="80" w:right="80" w:firstLine="275"/>
        <w:spacing w:after="0" w:line="282" w:lineRule="auto"/>
        <w:rPr>
          <w:sz w:val="20"/>
          <w:szCs w:val="20"/>
          <w:color w:val="auto"/>
        </w:rPr>
      </w:pPr>
      <w:r>
        <w:rPr>
          <w:rFonts w:ascii="Arial" w:cs="Arial" w:eastAsia="Arial" w:hAnsi="Arial"/>
          <w:sz w:val="14"/>
          <w:szCs w:val="14"/>
          <w:color w:val="auto"/>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spacing w:after="0" w:line="133" w:lineRule="exact"/>
        <w:rPr>
          <w:sz w:val="20"/>
          <w:szCs w:val="20"/>
          <w:color w:val="auto"/>
        </w:rPr>
      </w:pPr>
    </w:p>
    <w:p>
      <w:pPr>
        <w:jc w:val="both"/>
        <w:ind w:left="80" w:right="80" w:firstLine="274"/>
        <w:spacing w:after="0" w:line="283" w:lineRule="auto"/>
        <w:rPr>
          <w:sz w:val="20"/>
          <w:szCs w:val="20"/>
          <w:color w:val="auto"/>
        </w:rPr>
      </w:pPr>
      <w:r>
        <w:rPr>
          <w:rFonts w:ascii="Arial" w:cs="Arial" w:eastAsia="Arial" w:hAnsi="Arial"/>
          <w:sz w:val="14"/>
          <w:szCs w:val="14"/>
          <w:color w:val="auto"/>
        </w:rPr>
        <w:t>On August 14, 2023, we entered into a securities purchase agreement for a Registered Direct Offering of our Common Shares and Class A Warrants (the “2023 Offering”). The purchase price for each Common Share and Class A Warrant to purchase 0.5 Common Shares was $2.00 per unit. The exercise price to purchase one Common Share under the Class A Warrants is $3.00, subject to adjustment as provided in the warrant agreement. No investor elected to exercise its right to purchase additional Common Shares and accompanying Class A Warrants on or before September 15, 2023 under the terms of the securities purchase agreement. As of December 31, 2023, we had received gross proceeds of $15.9 million (approximately $14.6 million net of transaction fees) in the Registered Direct Offering. We received the remaining $9 million of gross proceeds on January 31, 2024, from an investor affiliated with us. As a result of the 2024 Purchase Agreement (as described below), the exercise price of the Class A Warrants was reset to $2.00 as the down round feature of the Class A Warrants agreement was triggered.</w:t>
      </w:r>
    </w:p>
    <w:p>
      <w:pPr>
        <w:spacing w:after="0" w:line="135" w:lineRule="exact"/>
        <w:rPr>
          <w:sz w:val="20"/>
          <w:szCs w:val="20"/>
          <w:color w:val="auto"/>
        </w:rPr>
      </w:pPr>
    </w:p>
    <w:p>
      <w:pPr>
        <w:jc w:val="both"/>
        <w:ind w:left="80" w:right="80" w:firstLine="275"/>
        <w:spacing w:after="0" w:line="261" w:lineRule="auto"/>
        <w:rPr>
          <w:sz w:val="20"/>
          <w:szCs w:val="20"/>
          <w:color w:val="auto"/>
        </w:rPr>
      </w:pPr>
      <w:r>
        <w:rPr>
          <w:rFonts w:ascii="Arial" w:cs="Arial" w:eastAsia="Arial" w:hAnsi="Arial"/>
          <w:sz w:val="15"/>
          <w:szCs w:val="15"/>
          <w:color w:val="auto"/>
        </w:rPr>
        <w:t>On March 22, 2024, we entered into the 2024 Credit Facility with Gerard Barron, our Chief Executive Officer and Chairman, and ERAS Capital LLC, the family fund of our director, Andrei Karkar, pursuant to which, we may borrow from the 2024 Lenders up to $25 million in the aggregate ($12.5 million from each of the 2024 Lenders), from time to time (was initially $20 million in the aggregate ($10 million from each of the 2024 Lenders),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firstLine="1"/>
        <w:spacing w:after="0" w:line="278" w:lineRule="auto"/>
        <w:rPr>
          <w:sz w:val="20"/>
          <w:szCs w:val="20"/>
          <w:color w:val="auto"/>
        </w:rPr>
      </w:pPr>
      <w:r>
        <w:rPr>
          <w:rFonts w:ascii="Arial" w:cs="Arial" w:eastAsia="Arial" w:hAnsi="Arial"/>
          <w:sz w:val="14"/>
          <w:szCs w:val="14"/>
          <w:color w:val="auto"/>
        </w:rPr>
        <w:t>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to increase the borrowing limit to $25 million in the aggregate ($12.5 million from each of the 2024 Lenders). Under the terms of the First Amendment, the borrowing limit was due to return to the initial $20 million in the aggregate ($10 million from each of the 2024 Lenders) upon certain financing events. On November 14, 2024, we entered into the Second Amendment to the 2024 Credit Facility with ERAS Capital LLC and Gerard Barron, to increase the borrowing limit to $38 million in the aggregate ($19 million from each of the 2024 Lenders) and to extend the maturity of the 2024 Credit Facility to December 31, 2025. As per the Second Amendment, the rate of underutilization fee was retroactively increased from 4% to 6.5% on any undrawn amounts under the 2024 Credit Facility. On January 30, 2025, we repaid $1.8 million from the drawn amount, leaving a balance of $2.5 million drawn under the 2024 Credit Facility, as of the date of this Annual Report. With the January 2025 repayment, the borrowing limit on the 2024 Credit Facility was reduced to $36.2 million ($17.2 million from Gerard Barron and $19 million from ERAS Capital LLC).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spacing w:after="0" w:line="141"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On May 27, 2024, we entered into a short-term loan agreement with the Lender (Argentum Cedit Virtuti GCV), an affiliate of Allseas. In accordance with the agreement, the Lender provided a short-term loan amounting to $2 million (the “Loan”) on May 30, 2024. The Loan takes priority over the 2024 Credit Facility. The Loan matured on September 10, 2024 (maturity date) and accrued interest at a rate of 8% per annum. On the maturity date, Company repaid the entire Loan amounting to $2 million and the accrued interest amounting to $46 thousand.</w:t>
      </w:r>
    </w:p>
    <w:p>
      <w:pPr>
        <w:spacing w:after="0" w:line="142" w:lineRule="exact"/>
        <w:rPr>
          <w:sz w:val="20"/>
          <w:szCs w:val="20"/>
          <w:color w:val="auto"/>
        </w:rPr>
      </w:pPr>
    </w:p>
    <w:p>
      <w:pPr>
        <w:jc w:val="both"/>
        <w:ind w:left="80" w:right="80" w:firstLine="275"/>
        <w:spacing w:after="0" w:line="280" w:lineRule="auto"/>
        <w:rPr>
          <w:sz w:val="20"/>
          <w:szCs w:val="20"/>
          <w:color w:val="auto"/>
        </w:rPr>
      </w:pPr>
      <w:r>
        <w:rPr>
          <w:rFonts w:ascii="Arial" w:cs="Arial" w:eastAsia="Arial" w:hAnsi="Arial"/>
          <w:sz w:val="14"/>
          <w:szCs w:val="14"/>
          <w:color w:val="auto"/>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w:t>
      </w:r>
    </w:p>
    <w:p>
      <w:pPr>
        <w:spacing w:after="0" w:line="139" w:lineRule="exact"/>
        <w:rPr>
          <w:sz w:val="20"/>
          <w:szCs w:val="20"/>
          <w:color w:val="auto"/>
        </w:rPr>
      </w:pPr>
    </w:p>
    <w:p>
      <w:pPr>
        <w:jc w:val="both"/>
        <w:ind w:left="80" w:right="80" w:firstLine="274"/>
        <w:spacing w:after="0" w:line="280" w:lineRule="auto"/>
        <w:rPr>
          <w:sz w:val="20"/>
          <w:szCs w:val="20"/>
          <w:color w:val="auto"/>
        </w:rPr>
      </w:pPr>
      <w:r>
        <w:rPr>
          <w:rFonts w:ascii="Arial" w:cs="Arial" w:eastAsia="Arial" w:hAnsi="Arial"/>
          <w:sz w:val="14"/>
          <w:szCs w:val="14"/>
          <w:color w:val="auto"/>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Share, with each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Pursuant to the 2024 Purchase Agreement, we agreed not to issue any Common Shares or Common Share equivalents with an effective price of less than $1.00 per share until May 18, 2025. As at December 31, 2024, we received gross proceeds of $14.9 million (net proceeds of $14.2 million, after offering expenses), with the final $5 million of gross proceeds received on February 6, 2025.</w:t>
      </w:r>
    </w:p>
    <w:p>
      <w:pPr>
        <w:spacing w:after="0" w:line="139"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We may receive up to approximately $309.1 million in aggregate gross proceeds from cash exercises of the Public Warrants, the Private Warrants, the Class A Warrants and the Class B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0"/>
        <w:spacing w:after="0" w:line="269" w:lineRule="auto"/>
        <w:rPr>
          <w:sz w:val="20"/>
          <w:szCs w:val="20"/>
          <w:color w:val="auto"/>
        </w:rPr>
      </w:pPr>
      <w:r>
        <w:rPr>
          <w:rFonts w:ascii="Arial" w:cs="Arial" w:eastAsia="Arial" w:hAnsi="Arial"/>
          <w:sz w:val="15"/>
          <w:szCs w:val="15"/>
          <w:color w:val="auto"/>
        </w:rPr>
        <w:t>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and Class B Warrants is $2.00 (subject to customary adjustments) and there can be no assurance that such warrants will be exercised prior to their expiration, and as such, such warrants may expire and we will not receive any proceeds from the excise thereof.</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Cash Flows Summary</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i w:val="1"/>
          <w:iCs w:val="1"/>
          <w:color w:val="auto"/>
        </w:rPr>
        <w:t>Comparison of the Periods Ended December 31, 2024 and December 31, 2023</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our sources and uses of cash for the three and twelve months ended December 31, 2024 and December 31, 2023.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Presented below is a summary of our operating, investing and financing cash flows: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4440" w:type="dxa"/>
            <w:vAlign w:val="bottom"/>
            <w:vMerge w:val="restart"/>
          </w:tcPr>
          <w:p>
            <w:pPr>
              <w:spacing w:after="0"/>
              <w:rPr>
                <w:sz w:val="20"/>
                <w:szCs w:val="20"/>
                <w:color w:val="auto"/>
              </w:rPr>
            </w:pPr>
            <w:r>
              <w:rPr>
                <w:rFonts w:ascii="Arial" w:cs="Arial" w:eastAsia="Arial" w:hAnsi="Arial"/>
                <w:sz w:val="12"/>
                <w:szCs w:val="12"/>
                <w:color w:val="auto"/>
              </w:rPr>
              <w:t>(thousands)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7"/>
          </w:tcPr>
          <w:p>
            <w:pPr>
              <w:ind w:left="160"/>
              <w:spacing w:after="0"/>
              <w:rPr>
                <w:sz w:val="20"/>
                <w:szCs w:val="20"/>
                <w:color w:val="auto"/>
              </w:rPr>
            </w:pPr>
            <w:r>
              <w:rPr>
                <w:rFonts w:ascii="Arial" w:cs="Arial" w:eastAsia="Arial" w:hAnsi="Arial"/>
                <w:sz w:val="12"/>
                <w:szCs w:val="12"/>
                <w:b w:val="1"/>
                <w:bCs w:val="1"/>
                <w:color w:val="auto"/>
              </w:rPr>
              <w:t>For the Three Months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6"/>
          </w:tcPr>
          <w:p>
            <w:pPr>
              <w:jc w:val="right"/>
              <w:spacing w:after="0"/>
              <w:rPr>
                <w:sz w:val="20"/>
                <w:szCs w:val="20"/>
                <w:color w:val="auto"/>
              </w:rPr>
            </w:pPr>
            <w:r>
              <w:rPr>
                <w:rFonts w:ascii="Arial" w:cs="Arial" w:eastAsia="Arial" w:hAnsi="Arial"/>
                <w:sz w:val="12"/>
                <w:szCs w:val="12"/>
                <w:b w:val="1"/>
                <w:bCs w:val="1"/>
                <w:color w:val="auto"/>
              </w:rPr>
              <w:t>For the Year Ended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2"/>
                <w:szCs w:val="12"/>
                <w:b w:val="1"/>
                <w:bCs w:val="1"/>
                <w:color w:val="auto"/>
              </w:rPr>
              <w:t>December 31,</w:t>
            </w: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6"/>
          </w:tcPr>
          <w:p>
            <w:pPr>
              <w:jc w:val="right"/>
              <w:ind w:right="91"/>
              <w:spacing w:after="0"/>
              <w:rPr>
                <w:sz w:val="20"/>
                <w:szCs w:val="20"/>
                <w:color w:val="auto"/>
              </w:rPr>
            </w:pPr>
            <w:r>
              <w:rPr>
                <w:rFonts w:ascii="Arial" w:cs="Arial" w:eastAsia="Arial" w:hAnsi="Arial"/>
                <w:sz w:val="12"/>
                <w:szCs w:val="12"/>
                <w:b w:val="1"/>
                <w:bCs w:val="1"/>
                <w:color w:val="auto"/>
              </w:rPr>
              <w:t>December 31,</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40" w:type="dxa"/>
            <w:vAlign w:val="bottom"/>
            <w:tcBorders>
              <w:bottom w:val="single" w:sz="8" w:color="D2EEF5"/>
            </w:tcBorders>
          </w:tcPr>
          <w:p>
            <w:pPr>
              <w:spacing w:after="0"/>
              <w:rPr>
                <w:sz w:val="10"/>
                <w:szCs w:val="10"/>
                <w:color w:val="auto"/>
              </w:rPr>
            </w:pPr>
          </w:p>
        </w:tc>
        <w:tc>
          <w:tcPr>
            <w:tcW w:w="1340" w:type="dxa"/>
            <w:vAlign w:val="bottom"/>
            <w:tcBorders>
              <w:bottom w:val="single" w:sz="8" w:color="D2EEF5"/>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160"/>
              <w:spacing w:after="0" w:line="117" w:lineRule="exact"/>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D2EEF5"/>
            </w:tcBorders>
          </w:tcPr>
          <w:p>
            <w:pPr>
              <w:spacing w:after="0"/>
              <w:rPr>
                <w:sz w:val="10"/>
                <w:szCs w:val="10"/>
                <w:color w:val="auto"/>
              </w:rPr>
            </w:pPr>
          </w:p>
        </w:tc>
        <w:tc>
          <w:tcPr>
            <w:tcW w:w="120" w:type="dxa"/>
            <w:vAlign w:val="bottom"/>
            <w:tcBorders>
              <w:bottom w:val="single" w:sz="8" w:color="D2EEF5"/>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27"/>
              <w:spacing w:after="0" w:line="117" w:lineRule="exact"/>
              <w:rPr>
                <w:sz w:val="20"/>
                <w:szCs w:val="20"/>
                <w:color w:val="auto"/>
              </w:rPr>
            </w:pPr>
            <w:r>
              <w:rPr>
                <w:rFonts w:ascii="Arial" w:cs="Arial" w:eastAsia="Arial" w:hAnsi="Arial"/>
                <w:sz w:val="12"/>
                <w:szCs w:val="12"/>
                <w:b w:val="1"/>
                <w:bCs w:val="1"/>
                <w:color w:val="auto"/>
              </w:rPr>
              <w:t>2023</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D2EEF5"/>
            </w:tcBorders>
          </w:tcPr>
          <w:p>
            <w:pPr>
              <w:spacing w:after="0"/>
              <w:rPr>
                <w:sz w:val="10"/>
                <w:szCs w:val="10"/>
                <w:color w:val="auto"/>
              </w:rPr>
            </w:pPr>
          </w:p>
        </w:tc>
        <w:tc>
          <w:tcPr>
            <w:tcW w:w="100" w:type="dxa"/>
            <w:vAlign w:val="bottom"/>
            <w:tcBorders>
              <w:bottom w:val="single" w:sz="8" w:color="D2EEF5"/>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30"/>
              <w:spacing w:after="0" w:line="117" w:lineRule="exact"/>
              <w:rPr>
                <w:sz w:val="20"/>
                <w:szCs w:val="20"/>
                <w:color w:val="auto"/>
              </w:rPr>
            </w:pPr>
            <w:r>
              <w:rPr>
                <w:rFonts w:ascii="Arial" w:cs="Arial" w:eastAsia="Arial" w:hAnsi="Arial"/>
                <w:sz w:val="12"/>
                <w:szCs w:val="12"/>
                <w:b w:val="1"/>
                <w:bCs w:val="1"/>
                <w:color w:val="auto"/>
              </w:rPr>
              <w:t>2024</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D2EEF5"/>
            </w:tcBorders>
          </w:tcPr>
          <w:p>
            <w:pPr>
              <w:spacing w:after="0"/>
              <w:rPr>
                <w:sz w:val="10"/>
                <w:szCs w:val="10"/>
                <w:color w:val="auto"/>
              </w:rPr>
            </w:pPr>
          </w:p>
        </w:tc>
        <w:tc>
          <w:tcPr>
            <w:tcW w:w="100" w:type="dxa"/>
            <w:vAlign w:val="bottom"/>
            <w:tcBorders>
              <w:bottom w:val="single" w:sz="8" w:color="D2EEF5"/>
            </w:tcBorders>
          </w:tcPr>
          <w:p>
            <w:pPr>
              <w:spacing w:after="0"/>
              <w:rPr>
                <w:sz w:val="10"/>
                <w:szCs w:val="10"/>
                <w:color w:val="auto"/>
              </w:rPr>
            </w:pPr>
          </w:p>
        </w:tc>
        <w:tc>
          <w:tcPr>
            <w:tcW w:w="20" w:type="dxa"/>
            <w:vAlign w:val="bottom"/>
            <w:tcBorders>
              <w:bottom w:val="single" w:sz="8" w:color="D2EEF5"/>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47"/>
              <w:spacing w:after="0" w:line="117" w:lineRule="exact"/>
              <w:rPr>
                <w:sz w:val="20"/>
                <w:szCs w:val="20"/>
                <w:color w:val="auto"/>
              </w:rPr>
            </w:pPr>
            <w:r>
              <w:rPr>
                <w:rFonts w:ascii="Arial" w:cs="Arial" w:eastAsia="Arial" w:hAnsi="Arial"/>
                <w:sz w:val="12"/>
                <w:szCs w:val="12"/>
                <w:b w:val="1"/>
                <w:bCs w:val="1"/>
                <w:color w:val="auto"/>
                <w:w w:val="82"/>
              </w:rPr>
              <w:t>2023</w:t>
            </w:r>
          </w:p>
        </w:tc>
        <w:tc>
          <w:tcPr>
            <w:tcW w:w="0" w:type="dxa"/>
            <w:vAlign w:val="bottom"/>
          </w:tcPr>
          <w:p>
            <w:pPr>
              <w:spacing w:after="0"/>
              <w:rPr>
                <w:sz w:val="1"/>
                <w:szCs w:val="1"/>
                <w:color w:val="auto"/>
              </w:rPr>
            </w:pPr>
          </w:p>
        </w:tc>
      </w:tr>
      <w:tr>
        <w:trPr>
          <w:trHeight w:val="174"/>
        </w:trPr>
        <w:tc>
          <w:tcPr>
            <w:tcW w:w="4440" w:type="dxa"/>
            <w:vAlign w:val="bottom"/>
            <w:shd w:val="clear" w:color="auto" w:fill="D2EEF5"/>
          </w:tcPr>
          <w:p>
            <w:pPr>
              <w:spacing w:after="0"/>
              <w:rPr>
                <w:sz w:val="20"/>
                <w:szCs w:val="20"/>
                <w:color w:val="auto"/>
              </w:rPr>
            </w:pPr>
            <w:r>
              <w:rPr>
                <w:rFonts w:ascii="Arial" w:cs="Arial" w:eastAsia="Arial" w:hAnsi="Arial"/>
                <w:sz w:val="15"/>
                <w:szCs w:val="15"/>
                <w:color w:val="auto"/>
              </w:rPr>
              <w:t>Net cash (used in) operating activities</w:t>
            </w:r>
          </w:p>
        </w:tc>
        <w:tc>
          <w:tcPr>
            <w:tcW w:w="1340" w:type="dxa"/>
            <w:vAlign w:val="bottom"/>
            <w:shd w:val="clear" w:color="auto" w:fill="D2EEF5"/>
          </w:tcPr>
          <w:p>
            <w:pPr>
              <w:spacing w:after="0"/>
              <w:rPr>
                <w:sz w:val="15"/>
                <w:szCs w:val="15"/>
                <w:color w:val="auto"/>
              </w:rPr>
            </w:pPr>
          </w:p>
        </w:tc>
        <w:tc>
          <w:tcPr>
            <w:tcW w:w="240" w:type="dxa"/>
            <w:vAlign w:val="bottom"/>
            <w:shd w:val="clear" w:color="auto" w:fill="D2EEF5"/>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(13,791)</w:t>
            </w:r>
          </w:p>
        </w:tc>
        <w:tc>
          <w:tcPr>
            <w:tcW w:w="1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40" w:type="dxa"/>
            <w:vAlign w:val="bottom"/>
            <w:shd w:val="clear" w:color="auto" w:fill="D2EEF5"/>
          </w:tcPr>
          <w:p>
            <w:pPr>
              <w:jc w:val="right"/>
              <w:ind w:right="23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D2EEF5"/>
          </w:tcPr>
          <w:p>
            <w:pPr>
              <w:jc w:val="right"/>
              <w:ind w:right="20"/>
              <w:spacing w:after="0"/>
              <w:rPr>
                <w:sz w:val="20"/>
                <w:szCs w:val="20"/>
                <w:color w:val="auto"/>
              </w:rPr>
            </w:pPr>
            <w:r>
              <w:rPr>
                <w:rFonts w:ascii="Arial" w:cs="Arial" w:eastAsia="Arial" w:hAnsi="Arial"/>
                <w:sz w:val="15"/>
                <w:szCs w:val="15"/>
                <w:color w:val="auto"/>
              </w:rPr>
              <w:t>(15,214)</w:t>
            </w:r>
          </w:p>
        </w:tc>
        <w:tc>
          <w:tcPr>
            <w:tcW w:w="1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(43,468)</w:t>
            </w:r>
          </w:p>
        </w:tc>
        <w:tc>
          <w:tcPr>
            <w:tcW w:w="2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120" w:type="dxa"/>
            <w:vAlign w:val="bottom"/>
            <w:gridSpan w:val="2"/>
            <w:shd w:val="clear" w:color="auto" w:fill="D2EEF5"/>
          </w:tcPr>
          <w:p>
            <w:pPr>
              <w:spacing w:after="0"/>
              <w:rPr>
                <w:sz w:val="15"/>
                <w:szCs w:val="15"/>
                <w:color w:val="auto"/>
              </w:rPr>
            </w:pPr>
          </w:p>
        </w:tc>
        <w:tc>
          <w:tcPr>
            <w:tcW w:w="400" w:type="dxa"/>
            <w:vAlign w:val="bottom"/>
            <w:shd w:val="clear" w:color="auto" w:fill="D2EEF5"/>
          </w:tcPr>
          <w:p>
            <w:pPr>
              <w:jc w:val="right"/>
              <w:ind w:right="29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(59,573)</w:t>
            </w:r>
          </w:p>
        </w:tc>
        <w:tc>
          <w:tcPr>
            <w:tcW w:w="0" w:type="dxa"/>
            <w:vAlign w:val="bottom"/>
          </w:tcPr>
          <w:p>
            <w:pPr>
              <w:spacing w:after="0"/>
              <w:rPr>
                <w:sz w:val="1"/>
                <w:szCs w:val="1"/>
                <w:color w:val="auto"/>
              </w:rPr>
            </w:pPr>
          </w:p>
        </w:tc>
      </w:tr>
      <w:tr>
        <w:trPr>
          <w:trHeight w:val="183"/>
        </w:trPr>
        <w:tc>
          <w:tcPr>
            <w:tcW w:w="444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58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c>
          <w:tcPr>
            <w:tcW w:w="460" w:type="dxa"/>
            <w:vAlign w:val="bottom"/>
            <w:gridSpan w:val="2"/>
          </w:tcPr>
          <w:p>
            <w:pPr>
              <w:jc w:val="right"/>
              <w:ind w:right="231"/>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5"/>
                <w:szCs w:val="15"/>
                <w:color w:val="auto"/>
              </w:rPr>
              <w:t>(403)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291"/>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183"/>
        </w:trPr>
        <w:tc>
          <w:tcPr>
            <w:tcW w:w="4440" w:type="dxa"/>
            <w:vAlign w:val="bottom"/>
            <w:shd w:val="clear" w:color="auto" w:fill="D2EEF5"/>
          </w:tcPr>
          <w:p>
            <w:pPr>
              <w:spacing w:after="0"/>
              <w:rPr>
                <w:sz w:val="20"/>
                <w:szCs w:val="20"/>
                <w:color w:val="auto"/>
              </w:rPr>
            </w:pPr>
            <w:r>
              <w:rPr>
                <w:rFonts w:ascii="Arial" w:cs="Arial" w:eastAsia="Arial" w:hAnsi="Arial"/>
                <w:sz w:val="15"/>
                <w:szCs w:val="15"/>
                <w:color w:val="auto"/>
              </w:rPr>
              <w:t>Net cash (used in) provided by financing activities</w:t>
            </w:r>
          </w:p>
        </w:tc>
        <w:tc>
          <w:tcPr>
            <w:tcW w:w="1580" w:type="dxa"/>
            <w:vAlign w:val="bottom"/>
            <w:gridSpan w:val="2"/>
            <w:shd w:val="clear" w:color="auto" w:fill="D2EEF5"/>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17,373</w:t>
            </w:r>
          </w:p>
        </w:tc>
        <w:tc>
          <w:tcPr>
            <w:tcW w:w="100" w:type="dxa"/>
            <w:vAlign w:val="bottom"/>
            <w:shd w:val="clear" w:color="auto" w:fill="D2EEF5"/>
          </w:tcPr>
          <w:p>
            <w:pPr>
              <w:spacing w:after="0"/>
              <w:rPr>
                <w:sz w:val="15"/>
                <w:szCs w:val="15"/>
                <w:color w:val="auto"/>
              </w:rPr>
            </w:pPr>
          </w:p>
        </w:tc>
        <w:tc>
          <w:tcPr>
            <w:tcW w:w="460" w:type="dxa"/>
            <w:vAlign w:val="bottom"/>
            <w:gridSpan w:val="2"/>
            <w:shd w:val="clear" w:color="auto" w:fill="D2EEF5"/>
          </w:tcPr>
          <w:p>
            <w:pPr>
              <w:jc w:val="right"/>
              <w:ind w:right="231"/>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D2EEF5"/>
          </w:tcPr>
          <w:p>
            <w:pPr>
              <w:jc w:val="right"/>
              <w:ind w:right="120"/>
              <w:spacing w:after="0"/>
              <w:rPr>
                <w:sz w:val="20"/>
                <w:szCs w:val="20"/>
                <w:color w:val="auto"/>
              </w:rPr>
            </w:pPr>
            <w:r>
              <w:rPr>
                <w:rFonts w:ascii="Arial" w:cs="Arial" w:eastAsia="Arial" w:hAnsi="Arial"/>
                <w:sz w:val="15"/>
                <w:szCs w:val="15"/>
                <w:color w:val="auto"/>
              </w:rPr>
              <w:t>(150)</w:t>
            </w:r>
          </w:p>
        </w:tc>
        <w:tc>
          <w:tcPr>
            <w:tcW w:w="24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40,686</w:t>
            </w:r>
          </w:p>
        </w:tc>
        <w:tc>
          <w:tcPr>
            <w:tcW w:w="2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520" w:type="dxa"/>
            <w:vAlign w:val="bottom"/>
            <w:gridSpan w:val="3"/>
            <w:shd w:val="clear" w:color="auto" w:fill="D2EEF5"/>
          </w:tcPr>
          <w:p>
            <w:pPr>
              <w:jc w:val="right"/>
              <w:ind w:right="291"/>
              <w:spacing w:after="0"/>
              <w:rPr>
                <w:sz w:val="20"/>
                <w:szCs w:val="20"/>
                <w:color w:val="auto"/>
              </w:rPr>
            </w:pPr>
            <w:r>
              <w:rPr>
                <w:rFonts w:ascii="Arial" w:cs="Arial" w:eastAsia="Arial" w:hAnsi="Arial"/>
                <w:sz w:val="15"/>
                <w:szCs w:val="15"/>
                <w:color w:val="auto"/>
              </w:rPr>
              <w:t>$</w:t>
            </w: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20,066</w:t>
            </w:r>
          </w:p>
        </w:tc>
        <w:tc>
          <w:tcPr>
            <w:tcW w:w="0" w:type="dxa"/>
            <w:vAlign w:val="bottom"/>
          </w:tcPr>
          <w:p>
            <w:pPr>
              <w:spacing w:after="0"/>
              <w:rPr>
                <w:sz w:val="1"/>
                <w:szCs w:val="1"/>
                <w:color w:val="auto"/>
              </w:rPr>
            </w:pPr>
          </w:p>
        </w:tc>
      </w:tr>
      <w:tr>
        <w:trPr>
          <w:trHeight w:val="174"/>
        </w:trPr>
        <w:tc>
          <w:tcPr>
            <w:tcW w:w="4440" w:type="dxa"/>
            <w:vAlign w:val="bottom"/>
          </w:tcPr>
          <w:p>
            <w:pPr>
              <w:spacing w:after="0"/>
              <w:rPr>
                <w:sz w:val="20"/>
                <w:szCs w:val="20"/>
                <w:color w:val="auto"/>
              </w:rPr>
            </w:pPr>
            <w:r>
              <w:rPr>
                <w:rFonts w:ascii="Arial" w:cs="Arial" w:eastAsia="Arial" w:hAnsi="Arial"/>
                <w:sz w:val="15"/>
                <w:szCs w:val="15"/>
                <w:color w:val="auto"/>
              </w:rPr>
              <w:t>Increase (decrease) in cash</w:t>
            </w:r>
          </w:p>
        </w:tc>
        <w:tc>
          <w:tcPr>
            <w:tcW w:w="1340" w:type="dxa"/>
            <w:vAlign w:val="bottom"/>
          </w:tcPr>
          <w:p>
            <w:pPr>
              <w:spacing w:after="0"/>
              <w:rPr>
                <w:sz w:val="15"/>
                <w:szCs w:val="15"/>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(15,767)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(3,297)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0" w:type="dxa"/>
            <w:vAlign w:val="bottom"/>
            <w:tcBorders>
              <w:top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(40,085)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Full Year 2024 compared to Full Year 2023</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Cash flows used in Operating Activities</w:t>
      </w:r>
    </w:p>
    <w:p>
      <w:pPr>
        <w:spacing w:after="0" w:line="192" w:lineRule="exact"/>
        <w:rPr>
          <w:sz w:val="20"/>
          <w:szCs w:val="20"/>
          <w:color w:val="auto"/>
        </w:rPr>
      </w:pPr>
    </w:p>
    <w:p>
      <w:pPr>
        <w:jc w:val="both"/>
        <w:ind w:left="80" w:right="80" w:firstLine="274"/>
        <w:spacing w:after="0" w:line="263" w:lineRule="auto"/>
        <w:rPr>
          <w:sz w:val="20"/>
          <w:szCs w:val="20"/>
          <w:color w:val="auto"/>
        </w:rPr>
      </w:pPr>
      <w:r>
        <w:rPr>
          <w:rFonts w:ascii="Arial" w:cs="Arial" w:eastAsia="Arial" w:hAnsi="Arial"/>
          <w:sz w:val="15"/>
          <w:szCs w:val="15"/>
          <w:color w:val="auto"/>
        </w:rPr>
        <w:t>For the year ended December 31, 2024, major operating activities over this period involved Campaign 8, as well as advanced work on engineering and pre-feasibility studies as we advance towards our application to the ISA for a NORI exploitation contract and prepare for potential future commercial production. Net cash used in operating activities in the year ended December 31, 2024, amounted to $43.5 million, and consisted mainly of $14.7 million on Campaign 8 and various environmental work, $11.7 million on personnel costs, $9.2 million on legal, advisory and consulting, $2.4 million for sponsorship, training and stakeholder engagement support, $1.9 million spent on engineering and pre-feasibility studies, $1.7 million on communication and business development expenses, $0.9 million on and additional payments of $1.8 million for various expenses.</w:t>
      </w:r>
    </w:p>
    <w:p>
      <w:pPr>
        <w:spacing w:after="0" w:line="147"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For the year ended December 31, 2023, operating activities focused mainly on the continuation of environmental work following the completion of the NORI integrated collector test, as well as progressing on engineering work and pre-feasibility studies on the project. Net cash used in operating activities in the year ended December 31, 2023, amounted to $59.6 million, and consisted mainly of $32.2 million on various environmental work, $9.3 million on personnel costs, $4.4 million on legal costs, $3.2 million for sponsorship, training, and stakeholder engagement support, $2.8 million spent on engineering and pre-feasibility studies, $1.9 million on communication and business development and additional payments of $5.8 million for various expenses.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Cash flows used in/provided by Investing Activities</w:t>
      </w:r>
    </w:p>
    <w:p>
      <w:pPr>
        <w:spacing w:after="0" w:line="192"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Net cash used in investing activities in the year ended December 31, 2024 was $0.5 million, representing the purchase of equipment. In the comparative year ended December 31, 2023, cash used in investing activities was $0.6 million for the purchase of equipment.</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Cash flows provided by Financing Activities</w:t>
      </w:r>
    </w:p>
    <w:p>
      <w:pPr>
        <w:spacing w:after="0" w:line="192"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Net cash provided by financing activities for the year ended December 31, 2024 was $40.7 million, which comprised of net proceeds received from the Registered Direct Offering announced in November 2024 of $14.7 million, net proceeds of $8.8 million from the 2023 Offering, proceeds from short-term debt and credit facilities of $11.8 million, proceeds from shares issued from ATM of $4.9 million and proceeds from the exercise of stock options and employee stock plans of $0.5 million. The year ended December 31, 2023 represents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color w:val="auto"/>
        </w:rPr>
        <w:t>mainly cash received from the Registered Direct Offering of $14.7 million and cash received of $5 million on closing of our investment in Low Carbon Royalties.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NORI Exploration Contract</w:t>
      </w:r>
    </w:p>
    <w:p>
      <w:pPr>
        <w:spacing w:after="0" w:line="19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As part of the NORI Exploration Contract with the ISA, NORI submitted a periodic review report to the ISA which included a five-year plan covering 2022 to 2026: NORI is currently implementing its approved five-year plan. The cost of the estimated work plan for 2025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 NORI’s exploration contract expires on July 21, 2026. NORI is required to submit an application for extension no later than six months before the expiration of the contract. NORI intends to submit an application for a five-year extension in 2025.</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TOML Exploration Contract</w:t>
      </w:r>
    </w:p>
    <w:p>
      <w:pPr>
        <w:spacing w:after="0" w:line="192" w:lineRule="exact"/>
        <w:rPr>
          <w:sz w:val="20"/>
          <w:szCs w:val="20"/>
          <w:color w:val="auto"/>
        </w:rPr>
      </w:pPr>
    </w:p>
    <w:p>
      <w:pPr>
        <w:jc w:val="both"/>
        <w:ind w:left="80" w:right="80" w:firstLine="276"/>
        <w:spacing w:after="0" w:line="276" w:lineRule="auto"/>
        <w:rPr>
          <w:sz w:val="20"/>
          <w:szCs w:val="20"/>
          <w:color w:val="auto"/>
        </w:rPr>
      </w:pPr>
      <w:r>
        <w:rPr>
          <w:rFonts w:ascii="Arial" w:cs="Arial" w:eastAsia="Arial" w:hAnsi="Arial"/>
          <w:sz w:val="15"/>
          <w:szCs w:val="15"/>
          <w:color w:val="auto"/>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Regulatory Obligations Relating to Exploration Contracts</w:t>
      </w:r>
    </w:p>
    <w:p>
      <w:pPr>
        <w:spacing w:after="0" w:line="192"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Sponsorship Agreements</w:t>
      </w:r>
    </w:p>
    <w:p>
      <w:pPr>
        <w:spacing w:after="0" w:line="192"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 assuming our future operations are ultimately profitable.</w:t>
      </w:r>
    </w:p>
    <w:p>
      <w:pPr>
        <w:spacing w:after="0" w:line="147"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Allseas Agreements</w:t>
      </w:r>
    </w:p>
    <w:p>
      <w:pPr>
        <w:spacing w:after="0" w:line="192"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80"/>
        <w:spacing w:after="0" w:line="276" w:lineRule="auto"/>
        <w:rPr>
          <w:sz w:val="20"/>
          <w:szCs w:val="20"/>
          <w:color w:val="auto"/>
        </w:rPr>
      </w:pPr>
      <w:r>
        <w:rPr>
          <w:rFonts w:ascii="Arial" w:cs="Arial" w:eastAsia="Arial" w:hAnsi="Arial"/>
          <w:sz w:val="15"/>
          <w:szCs w:val="15"/>
          <w:color w:val="auto"/>
        </w:rPr>
        <w:t>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37" w:lineRule="exact"/>
        <w:rPr>
          <w:sz w:val="20"/>
          <w:szCs w:val="20"/>
          <w:color w:val="auto"/>
        </w:rPr>
      </w:pPr>
    </w:p>
    <w:p>
      <w:pPr>
        <w:jc w:val="both"/>
        <w:ind w:left="80" w:right="80" w:firstLine="275"/>
        <w:spacing w:after="0" w:line="278" w:lineRule="auto"/>
        <w:rPr>
          <w:sz w:val="20"/>
          <w:szCs w:val="20"/>
          <w:color w:val="auto"/>
        </w:rPr>
      </w:pPr>
      <w:r>
        <w:rPr>
          <w:rFonts w:ascii="Arial" w:cs="Arial" w:eastAsia="Arial" w:hAnsi="Arial"/>
          <w:sz w:val="14"/>
          <w:szCs w:val="14"/>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2024.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Arial" w:cs="Arial" w:eastAsia="Arial" w:hAnsi="Arial"/>
          <w:sz w:val="14"/>
          <w:szCs w:val="14"/>
          <w:i w:val="1"/>
          <w:iCs w:val="1"/>
          <w:color w:val="auto"/>
        </w:rPr>
        <w:t>Hidden Gem</w:t>
      </w:r>
      <w:r>
        <w:rPr>
          <w:rFonts w:ascii="Arial" w:cs="Arial" w:eastAsia="Arial" w:hAnsi="Arial"/>
          <w:sz w:val="14"/>
          <w:szCs w:val="14"/>
          <w:color w:val="auto"/>
        </w:rPr>
        <w:t>, another Samsung 10000, with the potential for an additional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38" w:lineRule="exact"/>
        <w:rPr>
          <w:sz w:val="20"/>
          <w:szCs w:val="20"/>
          <w:color w:val="auto"/>
        </w:rPr>
      </w:pPr>
    </w:p>
    <w:p>
      <w:pPr>
        <w:jc w:val="both"/>
        <w:ind w:left="80" w:right="80" w:firstLine="275"/>
        <w:spacing w:after="0" w:line="263" w:lineRule="auto"/>
        <w:rPr>
          <w:sz w:val="20"/>
          <w:szCs w:val="20"/>
          <w:color w:val="auto"/>
        </w:rPr>
      </w:pPr>
      <w:r>
        <w:rPr>
          <w:rFonts w:ascii="Arial" w:cs="Arial" w:eastAsia="Arial" w:hAnsi="Arial"/>
          <w:sz w:val="15"/>
          <w:szCs w:val="15"/>
          <w:color w:val="auto"/>
        </w:rPr>
        <w:t>Through December 31, 2024,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47"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37"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On August 1, 2023, we entered into an Exclusive Vessel Use Agreement with Allseas pursuant to which Allseas will give us exclusive use of the vessel (“</w:t>
      </w:r>
      <w:r>
        <w:rPr>
          <w:rFonts w:ascii="Arial" w:cs="Arial" w:eastAsia="Arial" w:hAnsi="Arial"/>
          <w:sz w:val="15"/>
          <w:szCs w:val="15"/>
          <w:i w:val="1"/>
          <w:iCs w:val="1"/>
          <w:color w:val="auto"/>
        </w:rPr>
        <w:t>Hidden Gem</w:t>
      </w:r>
      <w:r>
        <w:rPr>
          <w:rFonts w:ascii="Arial" w:cs="Arial" w:eastAsia="Arial" w:hAnsi="Arial"/>
          <w:sz w:val="15"/>
          <w:szCs w:val="15"/>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Offtake Agreement</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Borrowing with Company Related to Allseas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2023 Credit Facility</w:t>
      </w:r>
    </w:p>
    <w:p>
      <w:pPr>
        <w:spacing w:after="0" w:line="192"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As described above, on March 22, 2023, we entered into the 2023 Credit Facility with Argentum Cedit Virtuti GCV, an affiliate of Allseas, under which we may borrow up to $25.0 million pursuant to the terms and conditions of the 2023 Credit Facility, as amended, which has a maturity date of August 31, 2025. On August 16, 2024, we entered into the Third Amendment to the 2023 Credit Facility, to increase the borrowing limit of the 2023 Credit Facility to $27.5 million. Under the terms of the Third Amendment, upon closing of</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0" w:right="80"/>
        <w:spacing w:after="0" w:line="276" w:lineRule="auto"/>
        <w:rPr>
          <w:sz w:val="20"/>
          <w:szCs w:val="20"/>
          <w:color w:val="auto"/>
        </w:rPr>
      </w:pPr>
      <w:r>
        <w:rPr>
          <w:rFonts w:ascii="Arial" w:cs="Arial" w:eastAsia="Arial" w:hAnsi="Arial"/>
          <w:sz w:val="15"/>
          <w:szCs w:val="15"/>
          <w:color w:val="auto"/>
        </w:rPr>
        <w:t>the November 2024 Registered Direct Offering discussed above, the borrowing limit returned to $25 million. There was no outstanding balance under the 2023 Credit Facility as at December 31, 2024. Pursuant to the Letter Agreement entered into on March 24, 2025, we agreed to cancel the 2023 Credit Facility with no outstanding amounts remaining, other than our obligation to pay Argentum Cedit Virtuti GCV the underutilization fee thereunder.</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2024 Short-Term Loan and Working Capital Loan</w:t>
      </w:r>
    </w:p>
    <w:p>
      <w:pPr>
        <w:spacing w:after="0" w:line="192"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spacing w:after="0" w:line="137" w:lineRule="exact"/>
        <w:rPr>
          <w:sz w:val="20"/>
          <w:szCs w:val="20"/>
          <w:color w:val="auto"/>
        </w:rPr>
      </w:pPr>
    </w:p>
    <w:p>
      <w:pPr>
        <w:jc w:val="both"/>
        <w:ind w:left="80" w:right="80" w:firstLine="275"/>
        <w:spacing w:after="0" w:line="259" w:lineRule="auto"/>
        <w:rPr>
          <w:sz w:val="20"/>
          <w:szCs w:val="20"/>
          <w:color w:val="auto"/>
        </w:rPr>
      </w:pPr>
      <w:r>
        <w:rPr>
          <w:rFonts w:ascii="Arial" w:cs="Arial" w:eastAsia="Arial" w:hAnsi="Arial"/>
          <w:sz w:val="15"/>
          <w:szCs w:val="15"/>
          <w:color w:val="auto"/>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“Original Repayment Date”). The Working Capital Loan will bear interest based on the 6-month Secured Overnight Financing Rate, 180-day average plus a margin of 4.0% per annum and is payable in two installments on January 2, 2025, and the Original Repayment Date (or plus a margin of 5.0% if all interest payments are deferred to the Original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now repayable on that date.</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2024 Credit Facility with ERAS Capital LLC and Gerard Barron</w:t>
      </w:r>
    </w:p>
    <w:p>
      <w:pPr>
        <w:spacing w:after="0" w:line="192" w:lineRule="exact"/>
        <w:rPr>
          <w:sz w:val="20"/>
          <w:szCs w:val="20"/>
          <w:color w:val="auto"/>
        </w:rPr>
      </w:pPr>
    </w:p>
    <w:p>
      <w:pPr>
        <w:jc w:val="both"/>
        <w:ind w:left="80" w:right="80" w:firstLine="275"/>
        <w:spacing w:after="0" w:line="277" w:lineRule="auto"/>
        <w:rPr>
          <w:sz w:val="20"/>
          <w:szCs w:val="20"/>
          <w:color w:val="auto"/>
        </w:rPr>
      </w:pPr>
      <w:r>
        <w:rPr>
          <w:rFonts w:ascii="Arial" w:cs="Arial" w:eastAsia="Arial" w:hAnsi="Arial"/>
          <w:sz w:val="14"/>
          <w:szCs w:val="14"/>
          <w:color w:val="auto"/>
        </w:rPr>
        <w:t>On March 22, 2024, we entered into an Unsecured Credit Facility with Gerard Barron, our Chief Executive Officer and Chairman, and ERAS Capital LLC, the family fund of our director, Andrei Karkar, pursuant to which, we may borrow from the 2024 Lenders up to $25 million in the aggregate ($12.5 million from each of the 2024 Lenders), from time to time,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increase the borrowing limit to $38 million in the aggregate ($19 million from each of the 2024 Lenders) to the 2024 Credit Facility with ERAS Capital LLC and Gerard Barron, and to extend the maturity of the 2024 Credit Facility to December 31, 2025. As per the Second Amendment, the rate of underutilization fee was retroactively increased from March 22, 2024 to 6.5% on any undrawn amounts under the 2024 Credit Facility. On March 26, 2025, we entered into the Third Amendment to, among other things,increase the borrowing limit to $44 million in the aggregate ($22 million from each of the 2024 Lenders) and extend the maturity of the 2024 Credit Facility to June 30, 2026.</w:t>
      </w:r>
    </w:p>
    <w:p>
      <w:pPr>
        <w:spacing w:after="0" w:line="143"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During the year ended December 31, 2024, we have drawn $4.3 million from the 2024 Credit Facility and incurred $0.2 million as interest expense. During 2024, we incurred $1.1 million, as underutilization fees, which would be payable only in the event the 2024 Credit Facility is not drawn down at the time such fees are payable. During 2024, we repaid interest amounting to $25 thousand, and underutilization fees amounting to $0.1 million to the 2024 Lenders. On January 31, 2025, we repaid the drawn amount and outstanding interest on the 2024 Credit Facility amounting to $1.8 million and $0.1 million, respectively.</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Off-balance sheet arrangements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are not party to any off-balance sheet arrangements.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196" w:lineRule="exact"/>
        <w:rPr>
          <w:sz w:val="20"/>
          <w:szCs w:val="20"/>
          <w:color w:val="auto"/>
        </w:rPr>
      </w:pPr>
    </w:p>
    <w:p>
      <w:pPr>
        <w:jc w:val="both"/>
        <w:ind w:left="80" w:right="80" w:firstLine="274"/>
        <w:spacing w:after="0" w:line="276" w:lineRule="auto"/>
        <w:rPr>
          <w:sz w:val="20"/>
          <w:szCs w:val="20"/>
          <w:color w:val="auto"/>
        </w:rPr>
      </w:pPr>
      <w:r>
        <w:rPr>
          <w:rFonts w:ascii="Arial" w:cs="Arial" w:eastAsia="Arial" w:hAnsi="Arial"/>
          <w:sz w:val="15"/>
          <w:szCs w:val="15"/>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37"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Annual Report. We have the critical accounting policies and estimates which are described below.</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Value of Common Share-Based Payments</w:t>
      </w:r>
    </w:p>
    <w:p>
      <w:pPr>
        <w:spacing w:after="0" w:line="192"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19" w:lineRule="exact"/>
        <w:rPr>
          <w:sz w:val="20"/>
          <w:szCs w:val="20"/>
          <w:color w:val="auto"/>
        </w:rPr>
      </w:pPr>
    </w:p>
    <w:p>
      <w:pPr>
        <w:ind w:left="660" w:right="80" w:hanging="283"/>
        <w:spacing w:after="0" w:line="299" w:lineRule="auto"/>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Fair Value of Common Shares on the Date of the Grant — We used the price of the most recent offerings of our Common Shares to assess the value of our shares on the date of the grant of incentive stock options.</w:t>
      </w:r>
    </w:p>
    <w:p>
      <w:pPr>
        <w:spacing w:after="0" w:line="119" w:lineRule="exact"/>
        <w:rPr>
          <w:rFonts w:ascii="Arial" w:cs="Arial" w:eastAsia="Arial" w:hAnsi="Arial"/>
          <w:sz w:val="15"/>
          <w:szCs w:val="15"/>
          <w:color w:val="auto"/>
        </w:rPr>
      </w:pPr>
    </w:p>
    <w:p>
      <w:pPr>
        <w:ind w:left="660" w:hanging="282"/>
        <w:spacing w:after="0"/>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Expected Term — We used the term of the award when calculating the expected term due to insufficient historical exercise data.</w:t>
      </w:r>
    </w:p>
    <w:p>
      <w:pPr>
        <w:spacing w:after="0" w:line="193" w:lineRule="exact"/>
        <w:rPr>
          <w:rFonts w:ascii="Arial" w:cs="Arial" w:eastAsia="Arial" w:hAnsi="Arial"/>
          <w:sz w:val="15"/>
          <w:szCs w:val="15"/>
          <w:color w:val="auto"/>
        </w:rPr>
      </w:pPr>
    </w:p>
    <w:p>
      <w:pPr>
        <w:ind w:left="660" w:hanging="282"/>
        <w:spacing w:after="0"/>
        <w:tabs>
          <w:tab w:leader="none" w:pos="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Expected Volatility — As our Common Shares were not actively traded, the volatility is based on a benchmark of comparable companies within the mining industry.</w:t>
      </w:r>
    </w:p>
    <w:p>
      <w:pPr>
        <w:spacing w:after="0" w:line="216" w:lineRule="exact"/>
        <w:rPr>
          <w:rFonts w:ascii="Arial" w:cs="Arial" w:eastAsia="Arial" w:hAnsi="Arial"/>
          <w:sz w:val="13"/>
          <w:szCs w:val="13"/>
          <w:color w:val="auto"/>
        </w:rPr>
      </w:pPr>
    </w:p>
    <w:p>
      <w:pPr>
        <w:ind w:left="660" w:right="100" w:hanging="283"/>
        <w:spacing w:after="0" w:line="299" w:lineRule="auto"/>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Expected Dividend Yield — The dividend rate used is zero as we have never paid any cash dividends on our Common Shares and do not anticipate doing so in the foreseeable future.</w:t>
      </w:r>
    </w:p>
    <w:p>
      <w:pPr>
        <w:spacing w:after="0" w:line="119" w:lineRule="exact"/>
        <w:rPr>
          <w:rFonts w:ascii="Arial" w:cs="Arial" w:eastAsia="Arial" w:hAnsi="Arial"/>
          <w:sz w:val="15"/>
          <w:szCs w:val="15"/>
          <w:color w:val="auto"/>
        </w:rPr>
      </w:pPr>
    </w:p>
    <w:p>
      <w:pPr>
        <w:ind w:left="660" w:right="80" w:hanging="282"/>
        <w:spacing w:after="0" w:line="299" w:lineRule="auto"/>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Risk-Free Interest Rate — The interest rates used are based on the implied yield available on Canadian Treasury zero-coupon issues with an equivalent remaining term equal to the expected life of the award.</w:t>
      </w:r>
    </w:p>
    <w:p>
      <w:pPr>
        <w:spacing w:after="0" w:line="119"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our Common Shares. Changes in these assumptions used to determine the fair value of incentive stock options, including the vesting timeline of granted stock options, could have a material impact on our loss and comprehensive loss.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Valuation of Warrants Liability</w:t>
      </w:r>
    </w:p>
    <w:p>
      <w:pPr>
        <w:spacing w:after="0" w:line="192" w:lineRule="exact"/>
        <w:rPr>
          <w:sz w:val="20"/>
          <w:szCs w:val="20"/>
          <w:color w:val="auto"/>
        </w:rPr>
      </w:pPr>
    </w:p>
    <w:p>
      <w:pPr>
        <w:jc w:val="both"/>
        <w:ind w:left="80" w:right="80" w:firstLine="274"/>
        <w:spacing w:after="0" w:line="265" w:lineRule="auto"/>
        <w:rPr>
          <w:sz w:val="20"/>
          <w:szCs w:val="20"/>
          <w:color w:val="auto"/>
        </w:rPr>
      </w:pPr>
      <w:r>
        <w:rPr>
          <w:rFonts w:ascii="Arial" w:cs="Arial" w:eastAsia="Arial" w:hAnsi="Arial"/>
          <w:sz w:val="15"/>
          <w:szCs w:val="15"/>
          <w:color w:val="auto"/>
        </w:rPr>
        <w:t>We re-measure the fair value of the Private Warrants at the end of each reporting period. The fair value of the Private Warrants is estimated using a Black-Scholes option pricing model whereby the expected volatility is estimated by using a blended volatility calculated by assigning equal weights to both implied volatility of our Public Warrants and the historical volatility of our common share price. The expected volatility was estimated using a binomial model based on consideration of the implied volatility from our Public Warrants, adjusted to account for the call feature of the Public Warrants at prices above $18.00 during 20 trading days within any 30-trading-day period and historical volatility of the share price of our Common Shares.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Evaluation of Going Concern</w:t>
      </w:r>
    </w:p>
    <w:p>
      <w:pPr>
        <w:spacing w:after="0" w:line="192"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We assess quarterly whether we have the ability to meet its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Recent Accounting Pronouncements</w:t>
      </w:r>
    </w:p>
    <w:p>
      <w:pPr>
        <w:spacing w:after="0" w:line="196"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4"/>
          <w:szCs w:val="14"/>
          <w:color w:val="auto"/>
        </w:rPr>
        <w:t>See Note 5 to the audited consolidated financial statements included in this Annual Report for more information about recent accounting pronouncements, the timing of their adoption, and our assessment, to the extent we have made one, of their potential impact on our financial condition and our results of operations and cash flows.</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Emerging Growth Company Status</w:t>
      </w:r>
    </w:p>
    <w:p>
      <w:pPr>
        <w:spacing w:after="0" w:line="196" w:lineRule="exact"/>
        <w:rPr>
          <w:sz w:val="20"/>
          <w:szCs w:val="20"/>
          <w:color w:val="auto"/>
        </w:rPr>
      </w:pPr>
    </w:p>
    <w:p>
      <w:pPr>
        <w:jc w:val="both"/>
        <w:ind w:left="80" w:right="100" w:firstLine="274"/>
        <w:spacing w:after="0" w:line="269" w:lineRule="auto"/>
        <w:rPr>
          <w:sz w:val="20"/>
          <w:szCs w:val="20"/>
          <w:color w:val="auto"/>
        </w:rPr>
      </w:pPr>
      <w:r>
        <w:rPr>
          <w:rFonts w:ascii="Arial" w:cs="Arial" w:eastAsia="Arial" w:hAnsi="Arial"/>
          <w:sz w:val="15"/>
          <w:szCs w:val="15"/>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07" w:lineRule="exact"/>
        <w:rPr>
          <w:sz w:val="20"/>
          <w:szCs w:val="20"/>
          <w:color w:val="auto"/>
        </w:rPr>
      </w:pPr>
    </w:p>
    <w:p>
      <w:pPr>
        <w:jc w:val="both"/>
        <w:ind w:left="80" w:right="80" w:firstLine="275"/>
        <w:spacing w:after="0" w:line="285" w:lineRule="auto"/>
        <w:rPr>
          <w:sz w:val="20"/>
          <w:szCs w:val="20"/>
          <w:color w:val="auto"/>
        </w:rPr>
      </w:pPr>
      <w:r>
        <w:rPr>
          <w:rFonts w:ascii="Arial" w:cs="Arial" w:eastAsia="Arial" w:hAnsi="Arial"/>
          <w:sz w:val="14"/>
          <w:szCs w:val="14"/>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2025 fiscal year and we expect to continue to take advantage of the benefits of the extended transition period at least through the end of the 2025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06">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7pt"/>
            </w:pict>
          </mc:Fallback>
        </mc:AlternateContent>
      </w:r>
    </w:p>
    <w:p>
      <w:pPr>
        <w:sectPr>
          <w:pgSz w:w="13680" w:h="17280" w:orient="portrait"/>
          <w:cols w:equalWidth="0" w:num="1">
            <w:col w:w="10800"/>
          </w:cols>
          <w:pgMar w:left="1440" w:top="1440" w:right="1440"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5"/>
          <w:szCs w:val="15"/>
          <w:b w:val="1"/>
          <w:bCs w:val="1"/>
          <w:color w:val="auto"/>
        </w:rPr>
        <w:t>Item 7A.</w:t>
        <w:tab/>
        <w:t>QUANTITATIVE AND QUALITATIVE DISCLOSURES ABOUT MARKET RISK</w:t>
      </w:r>
    </w:p>
    <w:p>
      <w:pPr>
        <w:spacing w:after="0" w:line="196"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Interest Rate Risk and Credit Risk</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Interest rate risk is the risk that the fair value of our future cash flows and our financial instruments will fluctuate because of changes in market interest rates.</w:t>
      </w:r>
    </w:p>
    <w:p>
      <w:pPr>
        <w:spacing w:after="0" w:line="193"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2024.</w:t>
      </w:r>
    </w:p>
    <w:p>
      <w:pPr>
        <w:spacing w:after="0" w:line="142"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Foreign Currency Risk</w:t>
      </w:r>
    </w:p>
    <w:p>
      <w:pPr>
        <w:spacing w:after="0" w:line="196" w:lineRule="exact"/>
        <w:rPr>
          <w:sz w:val="20"/>
          <w:szCs w:val="20"/>
          <w:color w:val="auto"/>
        </w:rPr>
      </w:pPr>
    </w:p>
    <w:p>
      <w:pPr>
        <w:jc w:val="both"/>
        <w:ind w:left="80" w:right="80" w:firstLine="275"/>
        <w:spacing w:after="0" w:line="337" w:lineRule="auto"/>
        <w:rPr>
          <w:sz w:val="20"/>
          <w:szCs w:val="20"/>
          <w:color w:val="auto"/>
        </w:rPr>
      </w:pPr>
      <w:r>
        <w:rPr>
          <w:rFonts w:ascii="Arial" w:cs="Arial" w:eastAsia="Arial" w:hAnsi="Arial"/>
          <w:sz w:val="13"/>
          <w:szCs w:val="13"/>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the Great British Pound and the Euro. We primarily hold our cash in U.S. dollars and settle our foreign currency payables soon after the receipt of invoices thereby minimizing the foreign currency exposure.</w:t>
      </w:r>
    </w:p>
    <w:p>
      <w:pPr>
        <w:spacing w:after="0" w:line="102"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Commodity Price Risk</w:t>
      </w:r>
    </w:p>
    <w:p>
      <w:pPr>
        <w:spacing w:after="0" w:line="196"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9740" w:type="dxa"/>
            <w:vAlign w:val="bottom"/>
            <w:gridSpan w:val="3"/>
          </w:tcPr>
          <w:p>
            <w:pPr>
              <w:spacing w:after="0"/>
              <w:rPr>
                <w:sz w:val="20"/>
                <w:szCs w:val="20"/>
                <w:color w:val="auto"/>
              </w:rPr>
            </w:pPr>
            <w:r>
              <w:rPr>
                <w:rFonts w:ascii="Arial" w:cs="Arial" w:eastAsia="Arial" w:hAnsi="Arial"/>
                <w:sz w:val="15"/>
                <w:szCs w:val="15"/>
                <w:b w:val="1"/>
                <w:bCs w:val="1"/>
                <w:color w:val="auto"/>
              </w:rPr>
              <w:t>Item 8. FINANCIAL STATEMENTS AND SUPPLEMENTARY DATA</w:t>
            </w:r>
          </w:p>
        </w:tc>
        <w:tc>
          <w:tcPr>
            <w:tcW w:w="900" w:type="dxa"/>
            <w:vAlign w:val="bottom"/>
          </w:tcPr>
          <w:p>
            <w:pPr>
              <w:spacing w:after="0"/>
              <w:rPr>
                <w:sz w:val="18"/>
                <w:szCs w:val="18"/>
                <w:color w:val="auto"/>
              </w:rPr>
            </w:pPr>
          </w:p>
        </w:tc>
      </w:tr>
      <w:tr>
        <w:trPr>
          <w:trHeight w:val="366"/>
        </w:trPr>
        <w:tc>
          <w:tcPr>
            <w:tcW w:w="268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5"/>
                <w:szCs w:val="15"/>
                <w:b w:val="1"/>
                <w:bCs w:val="1"/>
                <w:color w:val="auto"/>
              </w:rPr>
              <w:t>TMC THE METALS COMPANY INC.</w:t>
            </w:r>
          </w:p>
        </w:tc>
        <w:tc>
          <w:tcPr>
            <w:tcW w:w="900" w:type="dxa"/>
            <w:vAlign w:val="bottom"/>
          </w:tcPr>
          <w:p>
            <w:pPr>
              <w:spacing w:after="0"/>
              <w:rPr>
                <w:sz w:val="24"/>
                <w:szCs w:val="24"/>
                <w:color w:val="auto"/>
              </w:rPr>
            </w:pPr>
          </w:p>
        </w:tc>
      </w:tr>
      <w:tr>
        <w:trPr>
          <w:trHeight w:val="354"/>
        </w:trPr>
        <w:tc>
          <w:tcPr>
            <w:tcW w:w="26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Page</w:t>
            </w:r>
          </w:p>
        </w:tc>
      </w:tr>
      <w:tr>
        <w:trPr>
          <w:trHeight w:val="204"/>
        </w:trPr>
        <w:tc>
          <w:tcPr>
            <w:tcW w:w="9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Index to Financial Statements and Financial Statement Schedules</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Number</w:t>
            </w:r>
          </w:p>
        </w:tc>
      </w:tr>
      <w:tr>
        <w:trPr>
          <w:trHeight w:val="358"/>
        </w:trPr>
        <w:tc>
          <w:tcPr>
            <w:tcW w:w="9740" w:type="dxa"/>
            <w:vAlign w:val="bottom"/>
            <w:gridSpan w:val="3"/>
          </w:tcPr>
          <w:p>
            <w:pPr>
              <w:spacing w:after="0"/>
              <w:rPr>
                <w:sz w:val="20"/>
                <w:szCs w:val="20"/>
                <w:color w:val="auto"/>
              </w:rPr>
            </w:pPr>
            <w:r>
              <w:rPr>
                <w:rFonts w:ascii="Arial" w:cs="Arial" w:eastAsia="Arial" w:hAnsi="Arial"/>
                <w:sz w:val="15"/>
                <w:szCs w:val="15"/>
                <w:color w:val="auto"/>
              </w:rPr>
              <w:t>Financial Statements:</w:t>
            </w:r>
          </w:p>
        </w:tc>
        <w:tc>
          <w:tcPr>
            <w:tcW w:w="900" w:type="dxa"/>
            <w:vAlign w:val="bottom"/>
          </w:tcPr>
          <w:p>
            <w:pPr>
              <w:spacing w:after="0"/>
              <w:rPr>
                <w:sz w:val="24"/>
                <w:szCs w:val="24"/>
                <w:color w:val="auto"/>
              </w:rPr>
            </w:pPr>
          </w:p>
        </w:tc>
      </w:tr>
      <w:tr>
        <w:trPr>
          <w:trHeight w:val="344"/>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auto"/>
              </w:rPr>
              <w:t>Report of Independent Registered Public Accounting Firm</w:t>
            </w:r>
            <w:r>
              <w:rPr>
                <w:rFonts w:ascii="Arial" w:cs="Arial" w:eastAsia="Arial" w:hAnsi="Arial"/>
                <w:sz w:val="15"/>
                <w:szCs w:val="15"/>
                <w:color w:val="auto"/>
              </w:rPr>
              <w:t xml:space="preserve"> (PCAOB ID: 1263)</w:t>
            </w:r>
          </w:p>
        </w:tc>
        <w:tc>
          <w:tcPr>
            <w:tcW w:w="900" w:type="dxa"/>
            <w:vAlign w:val="bottom"/>
          </w:tcPr>
          <w:p>
            <w:pPr>
              <w:jc w:val="right"/>
              <w:spacing w:after="0"/>
              <w:rPr>
                <w:sz w:val="20"/>
                <w:szCs w:val="20"/>
                <w:color w:val="auto"/>
              </w:rPr>
            </w:pPr>
            <w:r>
              <w:rPr>
                <w:rFonts w:ascii="Arial" w:cs="Arial" w:eastAsia="Arial" w:hAnsi="Arial"/>
                <w:sz w:val="15"/>
                <w:szCs w:val="15"/>
                <w:color w:val="auto"/>
              </w:rPr>
              <w:t>119</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auto"/>
              </w:rPr>
              <w:t>Consolidated Balance Sheets as at December 31, 2024 and 2023</w:t>
            </w:r>
          </w:p>
        </w:tc>
        <w:tc>
          <w:tcPr>
            <w:tcW w:w="90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auto"/>
              </w:rPr>
              <w:t>Consolidated Statements of Loss and Comprehensive Loss for the Years Ended December 31, 2024 and 2023</w:t>
            </w:r>
          </w:p>
        </w:tc>
        <w:tc>
          <w:tcPr>
            <w:tcW w:w="90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auto"/>
              </w:rPr>
              <w:t>Consolidated Statements of Changes in Equity for the Years Ended December 31, 2024 and 2023</w:t>
            </w:r>
          </w:p>
        </w:tc>
        <w:tc>
          <w:tcPr>
            <w:tcW w:w="9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auto"/>
              </w:rPr>
              <w:t>Consolidated Statements of Cash Flows for the Years Ended December 31, 2024 and 2023</w:t>
            </w:r>
          </w:p>
        </w:tc>
        <w:tc>
          <w:tcPr>
            <w:tcW w:w="90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170"/>
        </w:trPr>
        <w:tc>
          <w:tcPr>
            <w:tcW w:w="268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w w:val="91"/>
              </w:rPr>
              <w:t>Notes to Consolidated Financial Statements</w:t>
            </w:r>
          </w:p>
        </w:tc>
        <w:tc>
          <w:tcPr>
            <w:tcW w:w="7060" w:type="dxa"/>
            <w:vAlign w:val="bottom"/>
            <w:gridSpan w:val="2"/>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124</w:t>
            </w:r>
          </w:p>
        </w:tc>
      </w:tr>
      <w:tr>
        <w:trPr>
          <w:trHeight w:val="941"/>
        </w:trPr>
        <w:tc>
          <w:tcPr>
            <w:tcW w:w="9500" w:type="dxa"/>
            <w:vAlign w:val="bottom"/>
            <w:gridSpan w:val="2"/>
          </w:tcPr>
          <w:p>
            <w:pPr>
              <w:ind w:left="5200"/>
              <w:spacing w:after="0"/>
              <w:rPr>
                <w:sz w:val="20"/>
                <w:szCs w:val="20"/>
                <w:color w:val="auto"/>
              </w:rPr>
            </w:pPr>
            <w:r>
              <w:rPr>
                <w:rFonts w:ascii="Arial" w:cs="Arial" w:eastAsia="Arial" w:hAnsi="Arial"/>
                <w:sz w:val="15"/>
                <w:szCs w:val="15"/>
                <w:color w:val="auto"/>
              </w:rPr>
              <w:t>118</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0"/>
        </w:trPr>
        <w:tc>
          <w:tcPr>
            <w:tcW w:w="26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3680" w:h="17280" w:orient="portrait"/>
          <w:cols w:equalWidth="0" w:num="1">
            <w:col w:w="10800"/>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4"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To the Shareholders and the Board of Directors of TMC the metals company Inc.</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96" w:lineRule="exact"/>
        <w:rPr>
          <w:sz w:val="20"/>
          <w:szCs w:val="20"/>
          <w:color w:val="auto"/>
        </w:rPr>
      </w:pPr>
    </w:p>
    <w:p>
      <w:pPr>
        <w:jc w:val="both"/>
        <w:ind w:left="80" w:right="80"/>
        <w:spacing w:after="0" w:line="323" w:lineRule="auto"/>
        <w:rPr>
          <w:sz w:val="20"/>
          <w:szCs w:val="20"/>
          <w:color w:val="auto"/>
        </w:rPr>
      </w:pPr>
      <w:r>
        <w:rPr>
          <w:rFonts w:ascii="Arial" w:cs="Arial" w:eastAsia="Arial" w:hAnsi="Arial"/>
          <w:sz w:val="13"/>
          <w:szCs w:val="13"/>
          <w:color w:val="auto"/>
        </w:rPr>
        <w:t>We have audited the accompanying consolidated balance sheets of TMC the metals company Inc. (the “Company”) as of December 31, 2024 and 2023, the related consolidated statements of loss and comprehensive loss, changes in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U.S. generally accepted accounting principles.</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Basis for Opinion</w:t>
      </w:r>
    </w:p>
    <w:p>
      <w:pPr>
        <w:spacing w:after="0" w:line="196" w:lineRule="exact"/>
        <w:rPr>
          <w:sz w:val="20"/>
          <w:szCs w:val="20"/>
          <w:color w:val="auto"/>
        </w:rPr>
      </w:pPr>
    </w:p>
    <w:p>
      <w:pPr>
        <w:jc w:val="both"/>
        <w:ind w:left="80" w:right="80" w:firstLine="1"/>
        <w:spacing w:after="0" w:line="26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ind w:left="80" w:right="80"/>
        <w:spacing w:after="0" w:line="29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6" w:lineRule="exact"/>
        <w:rPr>
          <w:sz w:val="20"/>
          <w:szCs w:val="20"/>
          <w:color w:val="auto"/>
        </w:rPr>
      </w:pPr>
    </w:p>
    <w:p>
      <w:pPr>
        <w:jc w:val="both"/>
        <w:ind w:left="80" w:right="80"/>
        <w:spacing w:after="0" w:line="269"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Ernst &amp; Young LLP</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color w:val="auto"/>
        </w:rPr>
        <w:t>We have served as the Company’s auditor since 2012.</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5"/>
          <w:szCs w:val="15"/>
          <w:color w:val="auto"/>
        </w:rPr>
        <w:t>Vancouver, Canada</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5"/>
          <w:szCs w:val="15"/>
          <w:color w:val="auto"/>
        </w:rPr>
        <w:t>March 27, 2025</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amounts)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As at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As at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ASSETS</w:t>
            </w:r>
          </w:p>
        </w:tc>
        <w:tc>
          <w:tcPr>
            <w:tcW w:w="1340" w:type="dxa"/>
            <w:vAlign w:val="bottom"/>
            <w:gridSpan w:val="3"/>
            <w:vMerge w:val="restart"/>
          </w:tcPr>
          <w:p>
            <w:pPr>
              <w:jc w:val="right"/>
              <w:ind w:right="664"/>
              <w:spacing w:after="0"/>
              <w:rPr>
                <w:sz w:val="20"/>
                <w:szCs w:val="20"/>
                <w:color w:val="auto"/>
              </w:rPr>
            </w:pPr>
            <w:r>
              <w:rPr>
                <w:rFonts w:ascii="Arial" w:cs="Arial" w:eastAsia="Arial" w:hAnsi="Arial"/>
                <w:sz w:val="12"/>
                <w:szCs w:val="12"/>
                <w:b w:val="1"/>
                <w:bCs w:val="1"/>
                <w:color w:val="auto"/>
              </w:rPr>
              <w:t>Note</w:t>
            </w:r>
          </w:p>
        </w:tc>
        <w:tc>
          <w:tcPr>
            <w:tcW w:w="1500" w:type="dxa"/>
            <w:vAlign w:val="bottom"/>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jc w:val="right"/>
              <w:ind w:right="5"/>
              <w:spacing w:after="0" w:line="12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b w:val="1"/>
                <w:bCs w:val="1"/>
                <w:color w:val="auto"/>
              </w:rPr>
              <w:t>Current</w:t>
            </w:r>
          </w:p>
        </w:tc>
        <w:tc>
          <w:tcPr>
            <w:tcW w:w="240" w:type="dxa"/>
            <w:vAlign w:val="bottom"/>
            <w:tcBorders>
              <w:top w:val="single" w:sz="8" w:color="D2EEF5"/>
            </w:tcBorders>
            <w:shd w:val="clear" w:color="auto" w:fill="D2EEF5"/>
          </w:tcPr>
          <w:p>
            <w:pPr>
              <w:spacing w:after="0"/>
              <w:rPr>
                <w:sz w:val="15"/>
                <w:szCs w:val="15"/>
                <w:color w:val="auto"/>
              </w:rPr>
            </w:pPr>
          </w:p>
        </w:tc>
        <w:tc>
          <w:tcPr>
            <w:tcW w:w="940" w:type="dxa"/>
            <w:vAlign w:val="bottom"/>
            <w:tcBorders>
              <w:top w:val="single" w:sz="8" w:color="auto"/>
            </w:tcBorders>
            <w:shd w:val="clear" w:color="auto" w:fill="D2EEF5"/>
          </w:tcPr>
          <w:p>
            <w:pPr>
              <w:spacing w:after="0"/>
              <w:rPr>
                <w:sz w:val="15"/>
                <w:szCs w:val="15"/>
                <w:color w:val="auto"/>
              </w:rPr>
            </w:pPr>
          </w:p>
        </w:tc>
        <w:tc>
          <w:tcPr>
            <w:tcW w:w="2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1380" w:type="dxa"/>
            <w:vAlign w:val="bottom"/>
            <w:tcBorders>
              <w:top w:val="single" w:sz="8" w:color="auto"/>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440" w:type="dxa"/>
            <w:vAlign w:val="bottom"/>
            <w:tcBorders>
              <w:top w:val="single" w:sz="8" w:color="auto"/>
            </w:tcBorders>
            <w:shd w:val="clear" w:color="auto" w:fill="D2EEF5"/>
          </w:tcPr>
          <w:p>
            <w:pPr>
              <w:spacing w:after="0"/>
              <w:rPr>
                <w:sz w:val="15"/>
                <w:szCs w:val="15"/>
                <w:color w:val="auto"/>
              </w:rPr>
            </w:pPr>
          </w:p>
        </w:tc>
        <w:tc>
          <w:tcPr>
            <w:tcW w:w="1140" w:type="dxa"/>
            <w:vAlign w:val="bottom"/>
            <w:tcBorders>
              <w:top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Cash</w:t>
            </w:r>
          </w:p>
        </w:tc>
        <w:tc>
          <w:tcPr>
            <w:tcW w:w="1340" w:type="dxa"/>
            <w:vAlign w:val="bottom"/>
            <w:gridSpan w:val="3"/>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3,480</w:t>
            </w:r>
          </w:p>
        </w:tc>
        <w:tc>
          <w:tcPr>
            <w:tcW w:w="120" w:type="dxa"/>
            <w:vAlign w:val="bottom"/>
          </w:tcPr>
          <w:p>
            <w:pPr>
              <w:spacing w:after="0"/>
              <w:rPr>
                <w:sz w:val="15"/>
                <w:szCs w:val="15"/>
                <w:color w:val="auto"/>
              </w:rPr>
            </w:pPr>
          </w:p>
        </w:tc>
        <w:tc>
          <w:tcPr>
            <w:tcW w:w="56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6,842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160"/>
              <w:spacing w:after="0"/>
              <w:rPr>
                <w:sz w:val="20"/>
                <w:szCs w:val="20"/>
                <w:color w:val="auto"/>
              </w:rPr>
            </w:pPr>
            <w:r>
              <w:rPr>
                <w:rFonts w:ascii="Arial" w:cs="Arial" w:eastAsia="Arial" w:hAnsi="Arial"/>
                <w:sz w:val="15"/>
                <w:szCs w:val="15"/>
                <w:color w:val="auto"/>
              </w:rPr>
              <w:t>Receivables and prepayments</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6</w:t>
            </w: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13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1,851</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tcBorders>
              <w:bottom w:val="single" w:sz="8" w:color="auto"/>
            </w:tcBorders>
            <w:shd w:val="clear" w:color="auto" w:fill="D2EEF5"/>
          </w:tcPr>
          <w:p>
            <w:pPr>
              <w:spacing w:after="0"/>
              <w:rPr>
                <w:sz w:val="15"/>
                <w:szCs w:val="15"/>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5,331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8,820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spacing w:after="0"/>
              <w:rPr>
                <w:sz w:val="20"/>
                <w:szCs w:val="20"/>
                <w:color w:val="auto"/>
              </w:rPr>
            </w:pPr>
            <w:r>
              <w:rPr>
                <w:rFonts w:ascii="Arial" w:cs="Arial" w:eastAsia="Arial" w:hAnsi="Arial"/>
                <w:sz w:val="15"/>
                <w:szCs w:val="15"/>
                <w:b w:val="1"/>
                <w:bCs w:val="1"/>
                <w:color w:val="auto"/>
              </w:rPr>
              <w:t>Non-current</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Exploration contracts</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42,951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43,150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160"/>
              <w:spacing w:after="0"/>
              <w:rPr>
                <w:sz w:val="20"/>
                <w:szCs w:val="20"/>
                <w:color w:val="auto"/>
              </w:rPr>
            </w:pPr>
            <w:r>
              <w:rPr>
                <w:rFonts w:ascii="Arial" w:cs="Arial" w:eastAsia="Arial" w:hAnsi="Arial"/>
                <w:sz w:val="15"/>
                <w:szCs w:val="15"/>
                <w:color w:val="auto"/>
              </w:rPr>
              <w:t>Right of use asset</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8</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3,814</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Equipment</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160"/>
              <w:spacing w:after="0"/>
              <w:rPr>
                <w:sz w:val="20"/>
                <w:szCs w:val="20"/>
                <w:color w:val="auto"/>
              </w:rPr>
            </w:pPr>
            <w:r>
              <w:rPr>
                <w:rFonts w:ascii="Arial" w:cs="Arial" w:eastAsia="Arial" w:hAnsi="Arial"/>
                <w:sz w:val="15"/>
                <w:szCs w:val="15"/>
                <w:color w:val="auto"/>
              </w:rPr>
              <w:t>Software</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7</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1,928</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D2EEF5"/>
            </w:tcBorders>
            <w:gridSpan w:val="2"/>
          </w:tcPr>
          <w:p>
            <w:pPr>
              <w:ind w:left="160"/>
              <w:spacing w:after="0"/>
              <w:rPr>
                <w:sz w:val="20"/>
                <w:szCs w:val="20"/>
                <w:color w:val="auto"/>
              </w:rPr>
            </w:pPr>
            <w:r>
              <w:rPr>
                <w:rFonts w:ascii="Arial" w:cs="Arial" w:eastAsia="Arial" w:hAnsi="Arial"/>
                <w:sz w:val="15"/>
                <w:szCs w:val="15"/>
                <w:color w:val="auto"/>
              </w:rPr>
              <w:t>Investment</w:t>
            </w:r>
          </w:p>
        </w:tc>
        <w:tc>
          <w:tcPr>
            <w:tcW w:w="940" w:type="dxa"/>
            <w:vAlign w:val="bottom"/>
            <w:tcBorders>
              <w:bottom w:val="single" w:sz="8" w:color="D2EEF5"/>
            </w:tcBorders>
          </w:tcPr>
          <w:p>
            <w:pPr>
              <w:jc w:val="center"/>
              <w:spacing w:after="0"/>
              <w:rPr>
                <w:sz w:val="20"/>
                <w:szCs w:val="20"/>
                <w:color w:val="auto"/>
              </w:rPr>
            </w:pPr>
            <w:r>
              <w:rPr>
                <w:rFonts w:ascii="Arial" w:cs="Arial" w:eastAsia="Arial" w:hAnsi="Arial"/>
                <w:sz w:val="15"/>
                <w:szCs w:val="15"/>
                <w:color w:val="auto"/>
                <w:w w:val="71"/>
              </w:rPr>
              <w:t>9</w:t>
            </w:r>
          </w:p>
        </w:tc>
        <w:tc>
          <w:tcPr>
            <w:tcW w:w="24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8,203</w:t>
            </w:r>
          </w:p>
        </w:tc>
        <w:tc>
          <w:tcPr>
            <w:tcW w:w="12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57,667</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60,076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D2EEF5"/>
            </w:tcBorders>
          </w:tcPr>
          <w:p>
            <w:pPr>
              <w:spacing w:after="0"/>
              <w:rPr>
                <w:sz w:val="15"/>
                <w:szCs w:val="15"/>
                <w:color w:val="auto"/>
              </w:rPr>
            </w:pPr>
          </w:p>
        </w:tc>
        <w:tc>
          <w:tcPr>
            <w:tcW w:w="240" w:type="dxa"/>
            <w:vAlign w:val="bottom"/>
            <w:tcBorders>
              <w:bottom w:val="single" w:sz="8" w:color="D2EEF5"/>
            </w:tcBorders>
          </w:tcPr>
          <w:p>
            <w:pPr>
              <w:spacing w:after="0"/>
              <w:rPr>
                <w:sz w:val="15"/>
                <w:szCs w:val="15"/>
                <w:color w:val="auto"/>
              </w:rPr>
            </w:pPr>
          </w:p>
        </w:tc>
        <w:tc>
          <w:tcPr>
            <w:tcW w:w="940" w:type="dxa"/>
            <w:vAlign w:val="bottom"/>
            <w:tcBorders>
              <w:bottom w:val="single" w:sz="8" w:color="D2EEF5"/>
            </w:tcBorders>
          </w:tcPr>
          <w:p>
            <w:pPr>
              <w:spacing w:after="0"/>
              <w:rPr>
                <w:sz w:val="15"/>
                <w:szCs w:val="15"/>
                <w:color w:val="auto"/>
              </w:rPr>
            </w:pPr>
          </w:p>
        </w:tc>
        <w:tc>
          <w:tcPr>
            <w:tcW w:w="24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gridSpan w:val="2"/>
            <w:shd w:val="clear" w:color="auto" w:fill="D2EEF5"/>
          </w:tcPr>
          <w:p>
            <w:pPr>
              <w:spacing w:after="0"/>
              <w:rPr>
                <w:sz w:val="20"/>
                <w:szCs w:val="20"/>
                <w:color w:val="auto"/>
              </w:rPr>
            </w:pPr>
            <w:r>
              <w:rPr>
                <w:rFonts w:ascii="Arial" w:cs="Arial" w:eastAsia="Arial" w:hAnsi="Arial"/>
                <w:sz w:val="15"/>
                <w:szCs w:val="15"/>
                <w:b w:val="1"/>
                <w:bCs w:val="1"/>
                <w:color w:val="auto"/>
              </w:rPr>
              <w:t>TOTAL ASSETS</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62,998</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tcBorders>
              <w:bottom w:val="single" w:sz="8" w:color="auto"/>
            </w:tcBorders>
            <w:shd w:val="clear" w:color="auto" w:fill="D2EEF5"/>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68,896</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gridSpan w:val="2"/>
            <w:shd w:val="clear" w:color="auto" w:fill="D2EEF5"/>
          </w:tcPr>
          <w:p>
            <w:pPr>
              <w:spacing w:after="0"/>
              <w:rPr>
                <w:sz w:val="20"/>
                <w:szCs w:val="20"/>
                <w:color w:val="auto"/>
              </w:rPr>
            </w:pPr>
            <w:r>
              <w:rPr>
                <w:rFonts w:ascii="Arial" w:cs="Arial" w:eastAsia="Arial" w:hAnsi="Arial"/>
                <w:sz w:val="15"/>
                <w:szCs w:val="15"/>
                <w:b w:val="1"/>
                <w:bCs w:val="1"/>
                <w:color w:val="auto"/>
              </w:rPr>
              <w:t>LIABILITIES</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Current</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160"/>
              <w:spacing w:after="0"/>
              <w:rPr>
                <w:sz w:val="20"/>
                <w:szCs w:val="20"/>
                <w:color w:val="auto"/>
              </w:rPr>
            </w:pPr>
            <w:r>
              <w:rPr>
                <w:rFonts w:ascii="Arial" w:cs="Arial" w:eastAsia="Arial" w:hAnsi="Arial"/>
                <w:sz w:val="15"/>
                <w:szCs w:val="15"/>
                <w:color w:val="auto"/>
              </w:rPr>
              <w:t>Accounts payable and accrued liabilities</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12</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42,754</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31,334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D2EEF5"/>
            </w:tcBorders>
            <w:gridSpan w:val="2"/>
          </w:tcPr>
          <w:p>
            <w:pPr>
              <w:ind w:left="160"/>
              <w:spacing w:after="0"/>
              <w:rPr>
                <w:sz w:val="20"/>
                <w:szCs w:val="20"/>
                <w:color w:val="auto"/>
              </w:rPr>
            </w:pPr>
            <w:r>
              <w:rPr>
                <w:rFonts w:ascii="Arial" w:cs="Arial" w:eastAsia="Arial" w:hAnsi="Arial"/>
                <w:sz w:val="15"/>
                <w:szCs w:val="15"/>
                <w:color w:val="auto"/>
              </w:rPr>
              <w:t>Short-term debt</w:t>
            </w:r>
          </w:p>
        </w:tc>
        <w:tc>
          <w:tcPr>
            <w:tcW w:w="940" w:type="dxa"/>
            <w:vAlign w:val="bottom"/>
            <w:tcBorders>
              <w:bottom w:val="single" w:sz="8" w:color="D2EEF5"/>
            </w:tcBorders>
          </w:tcPr>
          <w:p>
            <w:pPr>
              <w:jc w:val="center"/>
              <w:spacing w:after="0"/>
              <w:rPr>
                <w:sz w:val="20"/>
                <w:szCs w:val="20"/>
                <w:color w:val="auto"/>
              </w:rPr>
            </w:pPr>
            <w:r>
              <w:rPr>
                <w:rFonts w:ascii="Arial" w:cs="Arial" w:eastAsia="Arial" w:hAnsi="Arial"/>
                <w:sz w:val="15"/>
                <w:szCs w:val="15"/>
                <w:color w:val="auto"/>
                <w:w w:val="89"/>
              </w:rPr>
              <w:t>8, 20</w:t>
            </w:r>
          </w:p>
        </w:tc>
        <w:tc>
          <w:tcPr>
            <w:tcW w:w="24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11,775</w:t>
            </w:r>
          </w:p>
        </w:tc>
        <w:tc>
          <w:tcPr>
            <w:tcW w:w="12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54,529</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31,334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Non-current</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160"/>
              <w:spacing w:after="0"/>
              <w:rPr>
                <w:sz w:val="20"/>
                <w:szCs w:val="20"/>
                <w:color w:val="auto"/>
              </w:rPr>
            </w:pPr>
            <w:r>
              <w:rPr>
                <w:rFonts w:ascii="Arial" w:cs="Arial" w:eastAsia="Arial" w:hAnsi="Arial"/>
                <w:sz w:val="15"/>
                <w:szCs w:val="15"/>
                <w:color w:val="auto"/>
              </w:rPr>
              <w:t>Deferred tax liability</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10</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10,675</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10,675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Royalty liability</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160"/>
              <w:spacing w:after="0"/>
              <w:rPr>
                <w:sz w:val="20"/>
                <w:szCs w:val="20"/>
                <w:color w:val="auto"/>
              </w:rPr>
            </w:pPr>
            <w:r>
              <w:rPr>
                <w:rFonts w:ascii="Arial" w:cs="Arial" w:eastAsia="Arial" w:hAnsi="Arial"/>
                <w:sz w:val="15"/>
                <w:szCs w:val="15"/>
                <w:color w:val="auto"/>
              </w:rPr>
              <w:t>Warrants liability</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15</w:t>
            </w: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13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912</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tcBorders>
              <w:bottom w:val="single" w:sz="8" w:color="auto"/>
            </w:tcBorders>
            <w:shd w:val="clear" w:color="auto" w:fill="D2EEF5"/>
          </w:tcPr>
          <w:p>
            <w:pPr>
              <w:spacing w:after="0"/>
              <w:rPr>
                <w:sz w:val="15"/>
                <w:szCs w:val="15"/>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25,587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26,644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1380" w:type="dxa"/>
            <w:vAlign w:val="bottom"/>
            <w:tcBorders>
              <w:bottom w:val="single" w:sz="8" w:color="auto"/>
            </w:tcBorders>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tcBorders>
              <w:bottom w:val="single" w:sz="8" w:color="auto"/>
            </w:tcBorders>
            <w:shd w:val="clear" w:color="auto" w:fill="D2EEF5"/>
          </w:tcPr>
          <w:p>
            <w:pPr>
              <w:spacing w:after="0"/>
              <w:rPr>
                <w:sz w:val="15"/>
                <w:szCs w:val="15"/>
                <w:color w:val="auto"/>
              </w:rPr>
            </w:pPr>
          </w:p>
        </w:tc>
        <w:tc>
          <w:tcPr>
            <w:tcW w:w="1140" w:type="dxa"/>
            <w:vAlign w:val="bottom"/>
            <w:tcBorders>
              <w:bottom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D2EEF5"/>
            </w:tcBorders>
            <w:gridSpan w:val="2"/>
          </w:tcPr>
          <w:p>
            <w:pPr>
              <w:spacing w:after="0"/>
              <w:rPr>
                <w:sz w:val="20"/>
                <w:szCs w:val="20"/>
                <w:color w:val="auto"/>
              </w:rPr>
            </w:pPr>
            <w:r>
              <w:rPr>
                <w:rFonts w:ascii="Arial" w:cs="Arial" w:eastAsia="Arial" w:hAnsi="Arial"/>
                <w:sz w:val="15"/>
                <w:szCs w:val="15"/>
                <w:b w:val="1"/>
                <w:bCs w:val="1"/>
                <w:color w:val="auto"/>
              </w:rPr>
              <w:t>TOTAL LIABILITIES</w:t>
            </w:r>
          </w:p>
        </w:tc>
        <w:tc>
          <w:tcPr>
            <w:tcW w:w="940" w:type="dxa"/>
            <w:vAlign w:val="bottom"/>
            <w:tcBorders>
              <w:bottom w:val="single" w:sz="8" w:color="D2EEF5"/>
            </w:tcBorders>
          </w:tcPr>
          <w:p>
            <w:pPr>
              <w:spacing w:after="0"/>
              <w:rPr>
                <w:sz w:val="15"/>
                <w:szCs w:val="15"/>
                <w:color w:val="auto"/>
              </w:rPr>
            </w:pPr>
          </w:p>
        </w:tc>
        <w:tc>
          <w:tcPr>
            <w:tcW w:w="24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80,116</w:t>
            </w:r>
          </w:p>
        </w:tc>
        <w:tc>
          <w:tcPr>
            <w:tcW w:w="12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57,978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EQUITY</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80" w:type="dxa"/>
            <w:vAlign w:val="bottom"/>
            <w:gridSpan w:val="2"/>
            <w:shd w:val="clear" w:color="auto" w:fill="D2EEF5"/>
          </w:tcPr>
          <w:p>
            <w:pPr>
              <w:ind w:left="80"/>
              <w:spacing w:after="0" w:line="164" w:lineRule="exact"/>
              <w:rPr>
                <w:sz w:val="20"/>
                <w:szCs w:val="20"/>
                <w:color w:val="auto"/>
              </w:rPr>
            </w:pPr>
            <w:r>
              <w:rPr>
                <w:rFonts w:ascii="Arial" w:cs="Arial" w:eastAsia="Arial" w:hAnsi="Arial"/>
                <w:sz w:val="15"/>
                <w:szCs w:val="15"/>
                <w:color w:val="auto"/>
                <w:w w:val="95"/>
              </w:rPr>
              <w:t xml:space="preserve">Common shares </w:t>
            </w:r>
            <w:r>
              <w:rPr>
                <w:rFonts w:ascii="Arial" w:cs="Arial" w:eastAsia="Arial" w:hAnsi="Arial"/>
                <w:sz w:val="15"/>
                <w:szCs w:val="15"/>
                <w:i w:val="1"/>
                <w:iCs w:val="1"/>
                <w:color w:val="auto"/>
                <w:w w:val="95"/>
              </w:rPr>
              <w:t>(unlimited shares, no par value – issued: 340,708,460 (December 31, 2023 –</w:t>
            </w:r>
          </w:p>
        </w:tc>
        <w:tc>
          <w:tcPr>
            <w:tcW w:w="940" w:type="dxa"/>
            <w:vAlign w:val="bottom"/>
            <w:vMerge w:val="restart"/>
            <w:shd w:val="clear" w:color="auto" w:fill="D2EEF5"/>
          </w:tcPr>
          <w:p>
            <w:pPr>
              <w:jc w:val="center"/>
              <w:spacing w:after="0"/>
              <w:rPr>
                <w:sz w:val="20"/>
                <w:szCs w:val="20"/>
                <w:color w:val="auto"/>
              </w:rPr>
            </w:pPr>
            <w:r>
              <w:rPr>
                <w:rFonts w:ascii="Arial" w:cs="Arial" w:eastAsia="Arial" w:hAnsi="Arial"/>
                <w:sz w:val="15"/>
                <w:szCs w:val="15"/>
                <w:color w:val="auto"/>
                <w:w w:val="83"/>
              </w:rPr>
              <w:t>16</w:t>
            </w:r>
          </w:p>
        </w:tc>
        <w:tc>
          <w:tcPr>
            <w:tcW w:w="240" w:type="dxa"/>
            <w:vAlign w:val="bottom"/>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1380" w:type="dxa"/>
            <w:vAlign w:val="bottom"/>
            <w:vMerge w:val="restart"/>
            <w:shd w:val="clear" w:color="auto" w:fill="D2EEF5"/>
          </w:tcPr>
          <w:p>
            <w:pPr>
              <w:jc w:val="right"/>
              <w:spacing w:after="0"/>
              <w:rPr>
                <w:sz w:val="20"/>
                <w:szCs w:val="20"/>
                <w:color w:val="auto"/>
              </w:rPr>
            </w:pPr>
            <w:r>
              <w:rPr>
                <w:rFonts w:ascii="Arial" w:cs="Arial" w:eastAsia="Arial" w:hAnsi="Arial"/>
                <w:sz w:val="15"/>
                <w:szCs w:val="15"/>
                <w:color w:val="auto"/>
              </w:rPr>
              <w:t>477,217</w:t>
            </w:r>
          </w:p>
        </w:tc>
        <w:tc>
          <w:tcPr>
            <w:tcW w:w="120" w:type="dxa"/>
            <w:vAlign w:val="bottom"/>
            <w:shd w:val="clear" w:color="auto" w:fill="D2EEF5"/>
          </w:tcPr>
          <w:p>
            <w:pPr>
              <w:spacing w:after="0"/>
              <w:rPr>
                <w:sz w:val="14"/>
                <w:szCs w:val="14"/>
                <w:color w:val="auto"/>
              </w:rPr>
            </w:pPr>
          </w:p>
        </w:tc>
        <w:tc>
          <w:tcPr>
            <w:tcW w:w="120" w:type="dxa"/>
            <w:vAlign w:val="bottom"/>
            <w:shd w:val="clear" w:color="auto" w:fill="D2EEF5"/>
          </w:tcPr>
          <w:p>
            <w:pPr>
              <w:spacing w:after="0"/>
              <w:rPr>
                <w:sz w:val="14"/>
                <w:szCs w:val="14"/>
                <w:color w:val="auto"/>
              </w:rPr>
            </w:pPr>
          </w:p>
        </w:tc>
        <w:tc>
          <w:tcPr>
            <w:tcW w:w="440" w:type="dxa"/>
            <w:vAlign w:val="bottom"/>
            <w:shd w:val="clear" w:color="auto" w:fill="D2EEF5"/>
          </w:tcPr>
          <w:p>
            <w:pPr>
              <w:spacing w:after="0"/>
              <w:rPr>
                <w:sz w:val="14"/>
                <w:szCs w:val="14"/>
                <w:color w:val="auto"/>
              </w:rPr>
            </w:pPr>
          </w:p>
        </w:tc>
        <w:tc>
          <w:tcPr>
            <w:tcW w:w="1140" w:type="dxa"/>
            <w:vAlign w:val="bottom"/>
            <w:vMerge w:val="restart"/>
            <w:shd w:val="clear" w:color="auto" w:fill="D2EEF5"/>
          </w:tcPr>
          <w:p>
            <w:pPr>
              <w:jc w:val="right"/>
              <w:spacing w:after="0"/>
              <w:rPr>
                <w:sz w:val="20"/>
                <w:szCs w:val="20"/>
                <w:color w:val="auto"/>
              </w:rPr>
            </w:pPr>
            <w:r>
              <w:rPr>
                <w:rFonts w:ascii="Arial" w:cs="Arial" w:eastAsia="Arial" w:hAnsi="Arial"/>
                <w:sz w:val="15"/>
                <w:szCs w:val="15"/>
                <w:color w:val="auto"/>
              </w:rPr>
              <w:t>438,239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40" w:type="dxa"/>
            <w:vAlign w:val="bottom"/>
            <w:shd w:val="clear" w:color="auto" w:fill="D2EEF5"/>
          </w:tcPr>
          <w:p>
            <w:pPr>
              <w:ind w:left="180"/>
              <w:spacing w:after="0"/>
              <w:rPr>
                <w:sz w:val="20"/>
                <w:szCs w:val="20"/>
                <w:color w:val="auto"/>
              </w:rPr>
            </w:pPr>
            <w:r>
              <w:rPr>
                <w:rFonts w:ascii="Arial" w:cs="Arial" w:eastAsia="Arial" w:hAnsi="Arial"/>
                <w:sz w:val="15"/>
                <w:szCs w:val="15"/>
                <w:i w:val="1"/>
                <w:iCs w:val="1"/>
                <w:color w:val="auto"/>
              </w:rPr>
              <w:t>306,558,710))</w:t>
            </w:r>
          </w:p>
        </w:tc>
        <w:tc>
          <w:tcPr>
            <w:tcW w:w="240" w:type="dxa"/>
            <w:vAlign w:val="bottom"/>
            <w:shd w:val="clear" w:color="auto" w:fill="D2EEF5"/>
          </w:tcPr>
          <w:p>
            <w:pPr>
              <w:spacing w:after="0"/>
              <w:rPr>
                <w:sz w:val="17"/>
                <w:szCs w:val="17"/>
                <w:color w:val="auto"/>
              </w:rPr>
            </w:pPr>
          </w:p>
        </w:tc>
        <w:tc>
          <w:tcPr>
            <w:tcW w:w="940" w:type="dxa"/>
            <w:vAlign w:val="bottom"/>
            <w:vMerge w:val="continue"/>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380" w:type="dxa"/>
            <w:vAlign w:val="bottom"/>
            <w:vMerge w:val="continue"/>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440" w:type="dxa"/>
            <w:vAlign w:val="bottom"/>
            <w:shd w:val="clear" w:color="auto" w:fill="D2EEF5"/>
          </w:tcPr>
          <w:p>
            <w:pPr>
              <w:spacing w:after="0"/>
              <w:rPr>
                <w:sz w:val="17"/>
                <w:szCs w:val="17"/>
                <w:color w:val="auto"/>
              </w:rPr>
            </w:pPr>
          </w:p>
        </w:tc>
        <w:tc>
          <w:tcPr>
            <w:tcW w:w="1140" w:type="dxa"/>
            <w:vAlign w:val="bottom"/>
            <w:vMerge w:val="continue"/>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80"/>
              <w:spacing w:after="0"/>
              <w:rPr>
                <w:sz w:val="20"/>
                <w:szCs w:val="20"/>
                <w:color w:val="auto"/>
              </w:rPr>
            </w:pPr>
            <w:r>
              <w:rPr>
                <w:rFonts w:ascii="Arial" w:cs="Arial" w:eastAsia="Arial" w:hAnsi="Arial"/>
                <w:sz w:val="15"/>
                <w:szCs w:val="15"/>
                <w:color w:val="auto"/>
              </w:rPr>
              <w:t>Class A - J Special Shares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Additional paid in capital</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3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138,303</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122,797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80"/>
              <w:spacing w:after="0"/>
              <w:rPr>
                <w:sz w:val="20"/>
                <w:szCs w:val="20"/>
                <w:color w:val="auto"/>
              </w:rPr>
            </w:pPr>
            <w:r>
              <w:rPr>
                <w:rFonts w:ascii="Arial" w:cs="Arial" w:eastAsia="Arial" w:hAnsi="Arial"/>
                <w:sz w:val="15"/>
                <w:szCs w:val="15"/>
                <w:color w:val="auto"/>
              </w:rPr>
              <w:t>Accumulated other comprehensive loss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5"/>
                <w:szCs w:val="15"/>
                <w:color w:val="auto"/>
              </w:rPr>
              <w:t>(1,203)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Deficit</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500" w:type="dxa"/>
            <w:vAlign w:val="bottom"/>
            <w:gridSpan w:val="2"/>
            <w:shd w:val="clear" w:color="auto" w:fill="D2EEF5"/>
          </w:tcPr>
          <w:p>
            <w:pPr>
              <w:jc w:val="right"/>
              <w:ind w:right="120"/>
              <w:spacing w:after="0"/>
              <w:rPr>
                <w:sz w:val="20"/>
                <w:szCs w:val="20"/>
                <w:color w:val="auto"/>
              </w:rPr>
            </w:pPr>
            <w:r>
              <w:rPr>
                <w:rFonts w:ascii="Arial" w:cs="Arial" w:eastAsia="Arial" w:hAnsi="Arial"/>
                <w:sz w:val="15"/>
                <w:szCs w:val="15"/>
                <w:color w:val="auto"/>
              </w:rPr>
              <w:t>(631,435)</w:t>
            </w:r>
          </w:p>
        </w:tc>
        <w:tc>
          <w:tcPr>
            <w:tcW w:w="12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(548,902)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D2EEF5"/>
            </w:tcBorders>
            <w:gridSpan w:val="2"/>
          </w:tcPr>
          <w:p>
            <w:pPr>
              <w:spacing w:after="0"/>
              <w:rPr>
                <w:sz w:val="20"/>
                <w:szCs w:val="20"/>
                <w:color w:val="auto"/>
              </w:rPr>
            </w:pPr>
            <w:r>
              <w:rPr>
                <w:rFonts w:ascii="Arial" w:cs="Arial" w:eastAsia="Arial" w:hAnsi="Arial"/>
                <w:sz w:val="15"/>
                <w:szCs w:val="15"/>
                <w:b w:val="1"/>
                <w:bCs w:val="1"/>
                <w:color w:val="auto"/>
              </w:rPr>
              <w:t>TOTAL EQUITY</w:t>
            </w:r>
          </w:p>
        </w:tc>
        <w:tc>
          <w:tcPr>
            <w:tcW w:w="940" w:type="dxa"/>
            <w:vAlign w:val="bottom"/>
            <w:tcBorders>
              <w:bottom w:val="single" w:sz="8" w:color="D2EEF5"/>
            </w:tcBorders>
          </w:tcPr>
          <w:p>
            <w:pPr>
              <w:spacing w:after="0"/>
              <w:rPr>
                <w:sz w:val="15"/>
                <w:szCs w:val="15"/>
                <w:color w:val="auto"/>
              </w:rPr>
            </w:pPr>
          </w:p>
        </w:tc>
        <w:tc>
          <w:tcPr>
            <w:tcW w:w="240" w:type="dxa"/>
            <w:vAlign w:val="bottom"/>
            <w:tcBorders>
              <w:bottom w:val="single" w:sz="8" w:color="D2EEF5"/>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(17,118)</w:t>
            </w:r>
          </w:p>
        </w:tc>
        <w:tc>
          <w:tcPr>
            <w:tcW w:w="12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1380" w:type="dxa"/>
            <w:vAlign w:val="bottom"/>
            <w:tcBorders>
              <w:bottom w:val="single" w:sz="8" w:color="auto"/>
            </w:tcBorders>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440" w:type="dxa"/>
            <w:vAlign w:val="bottom"/>
            <w:tcBorders>
              <w:bottom w:val="single" w:sz="8" w:color="auto"/>
            </w:tcBorders>
            <w:shd w:val="clear" w:color="auto" w:fill="D2EEF5"/>
          </w:tcPr>
          <w:p>
            <w:pPr>
              <w:spacing w:after="0"/>
              <w:rPr>
                <w:sz w:val="15"/>
                <w:szCs w:val="15"/>
                <w:color w:val="auto"/>
              </w:rPr>
            </w:pPr>
          </w:p>
        </w:tc>
        <w:tc>
          <w:tcPr>
            <w:tcW w:w="1140" w:type="dxa"/>
            <w:vAlign w:val="bottom"/>
            <w:tcBorders>
              <w:bottom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 AND EQUITY</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62,998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68,896</w:t>
            </w:r>
          </w:p>
        </w:tc>
        <w:tc>
          <w:tcPr>
            <w:tcW w:w="0" w:type="dxa"/>
            <w:vAlign w:val="bottom"/>
          </w:tcPr>
          <w:p>
            <w:pPr>
              <w:spacing w:after="0"/>
              <w:rPr>
                <w:sz w:val="1"/>
                <w:szCs w:val="1"/>
                <w:color w:val="auto"/>
              </w:rPr>
            </w:pPr>
          </w:p>
        </w:tc>
      </w:tr>
      <w:tr>
        <w:trPr>
          <w:trHeight w:val="334"/>
        </w:trPr>
        <w:tc>
          <w:tcPr>
            <w:tcW w:w="610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Nature of Operations </w:t>
            </w:r>
            <w:r>
              <w:rPr>
                <w:rFonts w:ascii="Arial" w:cs="Arial" w:eastAsia="Arial" w:hAnsi="Arial"/>
                <w:sz w:val="15"/>
                <w:szCs w:val="15"/>
                <w:i w:val="1"/>
                <w:iCs w:val="1"/>
                <w:color w:val="auto"/>
              </w:rPr>
              <w:t>(Note 1)</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10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Commitments and Contingent Liabilities </w:t>
            </w:r>
            <w:r>
              <w:rPr>
                <w:rFonts w:ascii="Arial" w:cs="Arial" w:eastAsia="Arial" w:hAnsi="Arial"/>
                <w:sz w:val="15"/>
                <w:szCs w:val="15"/>
                <w:i w:val="1"/>
                <w:iCs w:val="1"/>
                <w:color w:val="auto"/>
              </w:rPr>
              <w:t>(Note 21)</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0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(Note 25)</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Loss and Comprehensive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and per share amounts)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For the year ended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For the year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9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Note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Borders>
              <w:bottom w:val="single" w:sz="8" w:color="D2EEF5"/>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D2EEF5"/>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D2EEF5"/>
            </w:tcBorders>
          </w:tcPr>
          <w:p>
            <w:pPr>
              <w:spacing w:after="0"/>
              <w:rPr>
                <w:sz w:val="12"/>
                <w:szCs w:val="12"/>
                <w:color w:val="auto"/>
              </w:rPr>
            </w:pPr>
          </w:p>
        </w:tc>
        <w:tc>
          <w:tcPr>
            <w:tcW w:w="120" w:type="dxa"/>
            <w:vAlign w:val="bottom"/>
            <w:tcBorders>
              <w:bottom w:val="single" w:sz="8" w:color="D2EEF5"/>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Operating expenses</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Exploration and evaluation expenses</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10</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50,643</w:t>
            </w:r>
          </w:p>
        </w:tc>
        <w:tc>
          <w:tcPr>
            <w:tcW w:w="12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49,849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D2EEF5"/>
          </w:tcPr>
          <w:p>
            <w:pPr>
              <w:ind w:left="80"/>
              <w:spacing w:after="0"/>
              <w:rPr>
                <w:sz w:val="20"/>
                <w:szCs w:val="20"/>
                <w:color w:val="auto"/>
              </w:rPr>
            </w:pPr>
            <w:r>
              <w:rPr>
                <w:rFonts w:ascii="Arial" w:cs="Arial" w:eastAsia="Arial" w:hAnsi="Arial"/>
                <w:sz w:val="15"/>
                <w:szCs w:val="15"/>
                <w:color w:val="auto"/>
              </w:rPr>
              <w:t>General and administrative expenses</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11</w:t>
            </w: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30,644</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tcBorders>
              <w:bottom w:val="single" w:sz="8" w:color="auto"/>
            </w:tcBorders>
            <w:shd w:val="clear" w:color="auto" w:fill="D2EEF5"/>
          </w:tcPr>
          <w:p>
            <w:pPr>
              <w:spacing w:after="0"/>
              <w:rPr>
                <w:sz w:val="15"/>
                <w:szCs w:val="15"/>
                <w:color w:val="auto"/>
              </w:rPr>
            </w:pPr>
          </w:p>
        </w:tc>
        <w:tc>
          <w:tcPr>
            <w:tcW w:w="1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22,540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Operating loss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81,287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72,389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Other items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D2EEF5"/>
          </w:tcPr>
          <w:p>
            <w:pPr>
              <w:ind w:left="80"/>
              <w:spacing w:after="0"/>
              <w:rPr>
                <w:sz w:val="20"/>
                <w:szCs w:val="20"/>
                <w:color w:val="auto"/>
              </w:rPr>
            </w:pPr>
            <w:r>
              <w:rPr>
                <w:rFonts w:ascii="Arial" w:cs="Arial" w:eastAsia="Arial" w:hAnsi="Arial"/>
                <w:sz w:val="15"/>
                <w:szCs w:val="15"/>
                <w:color w:val="auto"/>
              </w:rPr>
              <w:t>Equity-accounted investment loss</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9</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226</w:t>
            </w: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Loss on termination of contract</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D2EEF5"/>
          </w:tcPr>
          <w:p>
            <w:pPr>
              <w:ind w:left="80"/>
              <w:spacing w:after="0"/>
              <w:rPr>
                <w:sz w:val="20"/>
                <w:szCs w:val="20"/>
                <w:color w:val="auto"/>
              </w:rPr>
            </w:pPr>
            <w:r>
              <w:rPr>
                <w:rFonts w:ascii="Arial" w:cs="Arial" w:eastAsia="Arial" w:hAnsi="Arial"/>
                <w:sz w:val="15"/>
                <w:szCs w:val="15"/>
                <w:color w:val="auto"/>
              </w:rPr>
              <w:t>Change in fair value of warrant liability</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15</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2"/>
            <w:shd w:val="clear" w:color="auto" w:fill="D2EEF5"/>
          </w:tcPr>
          <w:p>
            <w:pPr>
              <w:jc w:val="right"/>
              <w:ind w:right="120"/>
              <w:spacing w:after="0"/>
              <w:rPr>
                <w:sz w:val="20"/>
                <w:szCs w:val="20"/>
                <w:color w:val="auto"/>
              </w:rPr>
            </w:pPr>
            <w:r>
              <w:rPr>
                <w:rFonts w:ascii="Arial" w:cs="Arial" w:eastAsia="Arial" w:hAnsi="Arial"/>
                <w:sz w:val="15"/>
                <w:szCs w:val="15"/>
                <w:color w:val="auto"/>
              </w:rPr>
              <w:t>(1,057)</w:t>
            </w: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Foreign exchange loss (gain)</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(1,186)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D2EEF5"/>
          </w:tcPr>
          <w:p>
            <w:pPr>
              <w:ind w:left="80"/>
              <w:spacing w:after="0"/>
              <w:rPr>
                <w:sz w:val="20"/>
                <w:szCs w:val="20"/>
                <w:color w:val="auto"/>
              </w:rPr>
            </w:pPr>
            <w:r>
              <w:rPr>
                <w:rFonts w:ascii="Arial" w:cs="Arial" w:eastAsia="Arial" w:hAnsi="Arial"/>
                <w:sz w:val="15"/>
                <w:szCs w:val="15"/>
                <w:color w:val="auto"/>
              </w:rPr>
              <w:t>Interest income</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2"/>
            <w:shd w:val="clear" w:color="auto" w:fill="D2EEF5"/>
          </w:tcPr>
          <w:p>
            <w:pPr>
              <w:jc w:val="right"/>
              <w:ind w:right="120"/>
              <w:spacing w:after="0"/>
              <w:rPr>
                <w:sz w:val="20"/>
                <w:szCs w:val="20"/>
                <w:color w:val="auto"/>
              </w:rPr>
            </w:pPr>
            <w:r>
              <w:rPr>
                <w:rFonts w:ascii="Arial" w:cs="Arial" w:eastAsia="Arial" w:hAnsi="Arial"/>
                <w:sz w:val="15"/>
                <w:szCs w:val="15"/>
                <w:color w:val="auto"/>
              </w:rPr>
              <w:t>(176)</w:t>
            </w: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D2EEF5"/>
            </w:tcBorders>
          </w:tcPr>
          <w:p>
            <w:pPr>
              <w:ind w:left="80"/>
              <w:spacing w:after="0"/>
              <w:rPr>
                <w:sz w:val="20"/>
                <w:szCs w:val="20"/>
                <w:color w:val="auto"/>
              </w:rPr>
            </w:pPr>
            <w:r>
              <w:rPr>
                <w:rFonts w:ascii="Arial" w:cs="Arial" w:eastAsia="Arial" w:hAnsi="Arial"/>
                <w:sz w:val="15"/>
                <w:szCs w:val="15"/>
                <w:color w:val="auto"/>
              </w:rPr>
              <w:t>Fees and interest on borrowings and credit facilities</w:t>
            </w:r>
          </w:p>
        </w:tc>
        <w:tc>
          <w:tcPr>
            <w:tcW w:w="940" w:type="dxa"/>
            <w:vAlign w:val="bottom"/>
            <w:tcBorders>
              <w:bottom w:val="single" w:sz="8" w:color="D2EEF5"/>
            </w:tcBorders>
          </w:tcPr>
          <w:p>
            <w:pPr>
              <w:jc w:val="center"/>
              <w:spacing w:after="0"/>
              <w:rPr>
                <w:sz w:val="20"/>
                <w:szCs w:val="20"/>
                <w:color w:val="auto"/>
              </w:rPr>
            </w:pPr>
            <w:r>
              <w:rPr>
                <w:rFonts w:ascii="Arial" w:cs="Arial" w:eastAsia="Arial" w:hAnsi="Arial"/>
                <w:sz w:val="15"/>
                <w:szCs w:val="15"/>
                <w:color w:val="auto"/>
                <w:w w:val="89"/>
              </w:rPr>
              <w:t>8, 20</w:t>
            </w:r>
          </w:p>
        </w:tc>
        <w:tc>
          <w:tcPr>
            <w:tcW w:w="24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2,602</w:t>
            </w:r>
          </w:p>
        </w:tc>
        <w:tc>
          <w:tcPr>
            <w:tcW w:w="12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vMerge w:val="restart"/>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Loss and comprehensive loss for the year, before tax</w:t>
            </w:r>
          </w:p>
        </w:tc>
        <w:tc>
          <w:tcPr>
            <w:tcW w:w="94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2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81,895</w:t>
            </w:r>
          </w:p>
        </w:tc>
        <w:tc>
          <w:tcPr>
            <w:tcW w:w="12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73,740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vMerge w:val="restart"/>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Tax Expense</w:t>
            </w:r>
          </w:p>
        </w:tc>
        <w:tc>
          <w:tcPr>
            <w:tcW w:w="940" w:type="dxa"/>
            <w:vAlign w:val="bottom"/>
            <w:tcBorders>
              <w:bottom w:val="single" w:sz="8" w:color="D2EEF5"/>
            </w:tcBorders>
          </w:tcPr>
          <w:p>
            <w:pPr>
              <w:jc w:val="center"/>
              <w:spacing w:after="0"/>
              <w:rPr>
                <w:sz w:val="20"/>
                <w:szCs w:val="20"/>
                <w:color w:val="auto"/>
              </w:rPr>
            </w:pPr>
            <w:r>
              <w:rPr>
                <w:rFonts w:ascii="Arial" w:cs="Arial" w:eastAsia="Arial" w:hAnsi="Arial"/>
                <w:sz w:val="15"/>
                <w:szCs w:val="15"/>
                <w:color w:val="auto"/>
                <w:w w:val="83"/>
              </w:rPr>
              <w:t>24</w:t>
            </w:r>
          </w:p>
        </w:tc>
        <w:tc>
          <w:tcPr>
            <w:tcW w:w="24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2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vMerge w:val="restart"/>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Loss and comprehensive loss for the year</w:t>
            </w:r>
          </w:p>
        </w:tc>
        <w:tc>
          <w:tcPr>
            <w:tcW w:w="94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2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81,943</w:t>
            </w:r>
          </w:p>
        </w:tc>
        <w:tc>
          <w:tcPr>
            <w:tcW w:w="12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73,781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vMerge w:val="restart"/>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Loss per share - Basic and diluted</w:t>
            </w:r>
          </w:p>
        </w:tc>
        <w:tc>
          <w:tcPr>
            <w:tcW w:w="94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2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0.25</w:t>
            </w:r>
          </w:p>
        </w:tc>
        <w:tc>
          <w:tcPr>
            <w:tcW w:w="12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0.26</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080" w:type="dxa"/>
            <w:vAlign w:val="bottom"/>
            <w:tcBorders>
              <w:top w:val="single" w:sz="8" w:color="D2EEF5"/>
            </w:tcBorders>
            <w:shd w:val="clear" w:color="auto" w:fill="D2EEF5"/>
          </w:tcPr>
          <w:p>
            <w:pPr>
              <w:spacing w:after="0"/>
              <w:rPr>
                <w:sz w:val="15"/>
                <w:szCs w:val="15"/>
                <w:color w:val="auto"/>
              </w:rPr>
            </w:pPr>
          </w:p>
        </w:tc>
        <w:tc>
          <w:tcPr>
            <w:tcW w:w="940" w:type="dxa"/>
            <w:vAlign w:val="bottom"/>
            <w:tcBorders>
              <w:top w:val="single" w:sz="8" w:color="D2EEF5"/>
            </w:tcBorders>
            <w:shd w:val="clear" w:color="auto" w:fill="D2EEF5"/>
          </w:tcPr>
          <w:p>
            <w:pPr>
              <w:spacing w:after="0"/>
              <w:rPr>
                <w:sz w:val="15"/>
                <w:szCs w:val="15"/>
                <w:color w:val="auto"/>
              </w:rPr>
            </w:pPr>
          </w:p>
        </w:tc>
        <w:tc>
          <w:tcPr>
            <w:tcW w:w="2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auto"/>
            </w:tcBorders>
            <w:vMerge w:val="restart"/>
          </w:tcPr>
          <w:p>
            <w:pPr>
              <w:spacing w:after="0"/>
              <w:rPr>
                <w:sz w:val="15"/>
                <w:szCs w:val="15"/>
                <w:color w:val="auto"/>
              </w:rPr>
            </w:pPr>
          </w:p>
        </w:tc>
        <w:tc>
          <w:tcPr>
            <w:tcW w:w="1360" w:type="dxa"/>
            <w:vAlign w:val="bottom"/>
            <w:tcBorders>
              <w:top w:val="single" w:sz="8" w:color="auto"/>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320" w:type="dxa"/>
            <w:vAlign w:val="bottom"/>
            <w:tcBorders>
              <w:top w:val="single" w:sz="8" w:color="auto"/>
            </w:tcBorders>
            <w:shd w:val="clear" w:color="auto" w:fill="D2EEF5"/>
          </w:tcPr>
          <w:p>
            <w:pPr>
              <w:spacing w:after="0"/>
              <w:rPr>
                <w:sz w:val="15"/>
                <w:szCs w:val="15"/>
                <w:color w:val="auto"/>
              </w:rPr>
            </w:pPr>
          </w:p>
        </w:tc>
        <w:tc>
          <w:tcPr>
            <w:tcW w:w="1260" w:type="dxa"/>
            <w:vAlign w:val="bottom"/>
            <w:tcBorders>
              <w:top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Weighted average number of common shares outstanding – basic and diluted</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321,875,050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288,643,700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amounts)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44"/>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2"/>
                <w:szCs w:val="12"/>
                <w:b w:val="1"/>
                <w:bCs w:val="1"/>
                <w:color w:val="auto"/>
              </w:rPr>
              <w:t>Common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Accumulated Other</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 the year ended December 31, 2024</w:t>
            </w:r>
          </w:p>
        </w:tc>
        <w:tc>
          <w:tcPr>
            <w:tcW w:w="9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Paid in Capital</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w w:val="97"/>
              </w:rPr>
              <w:t>Comprehensive Loss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Deficit</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240" w:type="dxa"/>
            <w:vAlign w:val="bottom"/>
            <w:tcBorders>
              <w:top w:val="single" w:sz="8" w:color="auto"/>
            </w:tcBorders>
            <w:shd w:val="clear" w:color="auto" w:fill="D2EEF5"/>
          </w:tcPr>
          <w:p>
            <w:pPr>
              <w:spacing w:after="0" w:line="117" w:lineRule="exact"/>
              <w:rPr>
                <w:sz w:val="20"/>
                <w:szCs w:val="20"/>
                <w:color w:val="auto"/>
              </w:rPr>
            </w:pPr>
            <w:r>
              <w:rPr>
                <w:rFonts w:ascii="Arial" w:cs="Arial" w:eastAsia="Arial" w:hAnsi="Arial"/>
                <w:sz w:val="12"/>
                <w:szCs w:val="12"/>
                <w:b w:val="1"/>
                <w:bCs w:val="1"/>
                <w:color w:val="auto"/>
              </w:rPr>
              <w:t>January 1, 2024</w:t>
            </w:r>
          </w:p>
        </w:tc>
        <w:tc>
          <w:tcPr>
            <w:tcW w:w="160" w:type="dxa"/>
            <w:vAlign w:val="bottom"/>
            <w:tcBorders>
              <w:top w:val="single" w:sz="8" w:color="D2EEF5"/>
            </w:tcBorders>
            <w:shd w:val="clear" w:color="auto" w:fill="D2EEF5"/>
          </w:tcPr>
          <w:p>
            <w:pPr>
              <w:spacing w:after="0"/>
              <w:rPr>
                <w:sz w:val="10"/>
                <w:szCs w:val="10"/>
                <w:color w:val="auto"/>
              </w:rPr>
            </w:pPr>
          </w:p>
        </w:tc>
        <w:tc>
          <w:tcPr>
            <w:tcW w:w="90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306,558,710</w:t>
            </w:r>
          </w:p>
        </w:tc>
        <w:tc>
          <w:tcPr>
            <w:tcW w:w="160" w:type="dxa"/>
            <w:vAlign w:val="bottom"/>
            <w:tcBorders>
              <w:top w:val="single" w:sz="8" w:color="D2EEF5"/>
            </w:tcBorders>
            <w:shd w:val="clear" w:color="auto" w:fill="D2EEF5"/>
          </w:tcPr>
          <w:p>
            <w:pPr>
              <w:spacing w:after="0"/>
              <w:rPr>
                <w:sz w:val="10"/>
                <w:szCs w:val="10"/>
                <w:color w:val="auto"/>
              </w:rPr>
            </w:pPr>
          </w:p>
        </w:tc>
        <w:tc>
          <w:tcPr>
            <w:tcW w:w="1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438,239</w:t>
            </w:r>
          </w:p>
        </w:tc>
        <w:tc>
          <w:tcPr>
            <w:tcW w:w="160" w:type="dxa"/>
            <w:vAlign w:val="bottom"/>
            <w:tcBorders>
              <w:top w:val="single" w:sz="8" w:color="D2EEF5"/>
            </w:tcBorders>
            <w:shd w:val="clear" w:color="auto" w:fill="D2EEF5"/>
          </w:tcPr>
          <w:p>
            <w:pPr>
              <w:spacing w:after="0"/>
              <w:rPr>
                <w:sz w:val="10"/>
                <w:szCs w:val="10"/>
                <w:color w:val="auto"/>
              </w:rPr>
            </w:pPr>
          </w:p>
        </w:tc>
        <w:tc>
          <w:tcPr>
            <w:tcW w:w="140" w:type="dxa"/>
            <w:vAlign w:val="bottom"/>
            <w:tcBorders>
              <w:top w:val="single" w:sz="8" w:color="auto"/>
            </w:tcBorders>
            <w:shd w:val="clear" w:color="auto" w:fill="D2EEF5"/>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122,797</w:t>
            </w:r>
          </w:p>
        </w:tc>
        <w:tc>
          <w:tcPr>
            <w:tcW w:w="80" w:type="dxa"/>
            <w:vAlign w:val="bottom"/>
            <w:tcBorders>
              <w:top w:val="single" w:sz="8" w:color="D2EEF5"/>
            </w:tcBorders>
            <w:shd w:val="clear" w:color="auto" w:fill="D2EEF5"/>
          </w:tcPr>
          <w:p>
            <w:pPr>
              <w:spacing w:after="0"/>
              <w:rPr>
                <w:sz w:val="10"/>
                <w:szCs w:val="10"/>
                <w:color w:val="auto"/>
              </w:rPr>
            </w:pPr>
          </w:p>
        </w:tc>
        <w:tc>
          <w:tcPr>
            <w:tcW w:w="80" w:type="dxa"/>
            <w:vAlign w:val="bottom"/>
            <w:tcBorders>
              <w:top w:val="single" w:sz="8" w:color="D2EEF5"/>
            </w:tcBorders>
            <w:shd w:val="clear" w:color="auto" w:fill="D2EEF5"/>
          </w:tcPr>
          <w:p>
            <w:pPr>
              <w:spacing w:after="0"/>
              <w:rPr>
                <w:sz w:val="10"/>
                <w:szCs w:val="10"/>
                <w:color w:val="auto"/>
              </w:rPr>
            </w:pPr>
          </w:p>
        </w:tc>
        <w:tc>
          <w:tcPr>
            <w:tcW w:w="200" w:type="dxa"/>
            <w:vAlign w:val="bottom"/>
            <w:tcBorders>
              <w:top w:val="single" w:sz="8" w:color="auto"/>
            </w:tcBorders>
            <w:shd w:val="clear" w:color="auto" w:fill="D2EEF5"/>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(1,216)</w:t>
            </w:r>
          </w:p>
        </w:tc>
        <w:tc>
          <w:tcPr>
            <w:tcW w:w="80" w:type="dxa"/>
            <w:vAlign w:val="bottom"/>
            <w:tcBorders>
              <w:top w:val="single" w:sz="8" w:color="D2EEF5"/>
            </w:tcBorders>
            <w:shd w:val="clear" w:color="auto" w:fill="D2EEF5"/>
          </w:tcPr>
          <w:p>
            <w:pPr>
              <w:spacing w:after="0"/>
              <w:rPr>
                <w:sz w:val="10"/>
                <w:szCs w:val="10"/>
                <w:color w:val="auto"/>
              </w:rPr>
            </w:pPr>
          </w:p>
        </w:tc>
        <w:tc>
          <w:tcPr>
            <w:tcW w:w="80" w:type="dxa"/>
            <w:vAlign w:val="bottom"/>
            <w:tcBorders>
              <w:top w:val="single" w:sz="8" w:color="D2EEF5"/>
            </w:tcBorders>
            <w:shd w:val="clear" w:color="auto" w:fill="D2EEF5"/>
          </w:tcPr>
          <w:p>
            <w:pPr>
              <w:spacing w:after="0"/>
              <w:rPr>
                <w:sz w:val="10"/>
                <w:szCs w:val="10"/>
                <w:color w:val="auto"/>
              </w:rPr>
            </w:pPr>
          </w:p>
        </w:tc>
        <w:tc>
          <w:tcPr>
            <w:tcW w:w="280" w:type="dxa"/>
            <w:vAlign w:val="bottom"/>
            <w:tcBorders>
              <w:top w:val="single" w:sz="8" w:color="auto"/>
            </w:tcBorders>
            <w:shd w:val="clear" w:color="auto" w:fill="D2EEF5"/>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(548,902)</w:t>
            </w:r>
          </w:p>
        </w:tc>
        <w:tc>
          <w:tcPr>
            <w:tcW w:w="160" w:type="dxa"/>
            <w:vAlign w:val="bottom"/>
            <w:tcBorders>
              <w:top w:val="single" w:sz="8" w:color="D2EEF5"/>
            </w:tcBorders>
            <w:shd w:val="clear" w:color="auto" w:fill="D2EEF5"/>
          </w:tcPr>
          <w:p>
            <w:pPr>
              <w:spacing w:after="0"/>
              <w:rPr>
                <w:sz w:val="10"/>
                <w:szCs w:val="10"/>
                <w:color w:val="auto"/>
              </w:rPr>
            </w:pPr>
          </w:p>
        </w:tc>
        <w:tc>
          <w:tcPr>
            <w:tcW w:w="340" w:type="dxa"/>
            <w:vAlign w:val="bottom"/>
            <w:tcBorders>
              <w:top w:val="single" w:sz="8" w:color="auto"/>
            </w:tcBorders>
            <w:shd w:val="clear" w:color="auto" w:fill="D2EEF5"/>
          </w:tcPr>
          <w:p>
            <w:pPr>
              <w:jc w:val="right"/>
              <w:ind w:right="199"/>
              <w:spacing w:after="0" w:line="117" w:lineRule="exact"/>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10,918</w:t>
            </w:r>
          </w:p>
        </w:tc>
        <w:tc>
          <w:tcPr>
            <w:tcW w:w="0" w:type="dxa"/>
            <w:vAlign w:val="bottom"/>
          </w:tcPr>
          <w:p>
            <w:pPr>
              <w:spacing w:after="0"/>
              <w:rPr>
                <w:sz w:val="1"/>
                <w:szCs w:val="1"/>
                <w:color w:val="auto"/>
              </w:rPr>
            </w:pPr>
          </w:p>
        </w:tc>
      </w:tr>
      <w:tr>
        <w:trPr>
          <w:trHeight w:val="103"/>
        </w:trPr>
        <w:tc>
          <w:tcPr>
            <w:tcW w:w="3400" w:type="dxa"/>
            <w:vAlign w:val="bottom"/>
            <w:gridSpan w:val="2"/>
          </w:tcPr>
          <w:p>
            <w:pPr>
              <w:spacing w:after="0" w:line="103" w:lineRule="exact"/>
              <w:rPr>
                <w:sz w:val="20"/>
                <w:szCs w:val="20"/>
                <w:color w:val="auto"/>
              </w:rPr>
            </w:pPr>
            <w:r>
              <w:rPr>
                <w:rFonts w:ascii="Arial" w:cs="Arial" w:eastAsia="Arial" w:hAnsi="Arial"/>
                <w:sz w:val="11"/>
                <w:szCs w:val="11"/>
                <w:color w:val="auto"/>
              </w:rPr>
              <w:t>Shares and warrants issued under Registered Direct Offering, net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19,400,000</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17,190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6,023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23,213</w:t>
            </w:r>
          </w:p>
        </w:tc>
        <w:tc>
          <w:tcPr>
            <w:tcW w:w="0" w:type="dxa"/>
            <w:vAlign w:val="bottom"/>
          </w:tcPr>
          <w:p>
            <w:pPr>
              <w:spacing w:after="0"/>
              <w:rPr>
                <w:sz w:val="1"/>
                <w:szCs w:val="1"/>
                <w:color w:val="auto"/>
              </w:rPr>
            </w:pPr>
          </w:p>
        </w:tc>
      </w:tr>
      <w:tr>
        <w:trPr>
          <w:trHeight w:val="148"/>
        </w:trPr>
        <w:tc>
          <w:tcPr>
            <w:tcW w:w="3400" w:type="dxa"/>
            <w:vAlign w:val="bottom"/>
            <w:gridSpan w:val="2"/>
          </w:tcPr>
          <w:p>
            <w:pPr>
              <w:ind w:left="120"/>
              <w:spacing w:after="0"/>
              <w:rPr>
                <w:sz w:val="20"/>
                <w:szCs w:val="20"/>
                <w:color w:val="auto"/>
              </w:rPr>
            </w:pPr>
            <w:r>
              <w:rPr>
                <w:rFonts w:ascii="Arial" w:cs="Arial" w:eastAsia="Arial" w:hAnsi="Arial"/>
                <w:sz w:val="12"/>
                <w:szCs w:val="12"/>
                <w:color w:val="auto"/>
              </w:rPr>
              <w:t>of expenses (Note 13)</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gridSpan w:val="2"/>
            <w:shd w:val="clear" w:color="auto" w:fill="D2EEF5"/>
          </w:tcPr>
          <w:p>
            <w:pPr>
              <w:spacing w:after="0" w:line="126" w:lineRule="exact"/>
              <w:rPr>
                <w:sz w:val="20"/>
                <w:szCs w:val="20"/>
                <w:color w:val="auto"/>
              </w:rPr>
            </w:pPr>
            <w:r>
              <w:rPr>
                <w:rFonts w:ascii="Arial" w:cs="Arial" w:eastAsia="Arial" w:hAnsi="Arial"/>
                <w:sz w:val="12"/>
                <w:szCs w:val="12"/>
                <w:color w:val="auto"/>
              </w:rPr>
              <w:t>Adjustment to Class A Warrant (Note 15)</w:t>
            </w: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D2EEF5"/>
          </w:tcPr>
          <w:p>
            <w:pPr>
              <w:spacing w:after="0"/>
              <w:rPr>
                <w:sz w:val="10"/>
                <w:szCs w:val="10"/>
                <w:color w:val="auto"/>
              </w:rPr>
            </w:pPr>
          </w:p>
        </w:tc>
        <w:tc>
          <w:tcPr>
            <w:tcW w:w="100" w:type="dxa"/>
            <w:vAlign w:val="bottom"/>
            <w:shd w:val="clear" w:color="auto" w:fill="D2EEF5"/>
          </w:tcPr>
          <w:p>
            <w:pPr>
              <w:spacing w:after="0"/>
              <w:rPr>
                <w:sz w:val="10"/>
                <w:szCs w:val="10"/>
                <w:color w:val="auto"/>
              </w:rPr>
            </w:pP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94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590</w:t>
            </w:r>
          </w:p>
        </w:tc>
        <w:tc>
          <w:tcPr>
            <w:tcW w:w="80" w:type="dxa"/>
            <w:vAlign w:val="bottom"/>
            <w:shd w:val="clear" w:color="auto" w:fill="D2EEF5"/>
          </w:tcPr>
          <w:p>
            <w:pPr>
              <w:spacing w:after="0"/>
              <w:rPr>
                <w:sz w:val="10"/>
                <w:szCs w:val="10"/>
                <w:color w:val="auto"/>
              </w:rPr>
            </w:pPr>
          </w:p>
        </w:tc>
        <w:tc>
          <w:tcPr>
            <w:tcW w:w="80" w:type="dxa"/>
            <w:vAlign w:val="bottom"/>
            <w:shd w:val="clear" w:color="auto" w:fill="D2EEF5"/>
          </w:tcPr>
          <w:p>
            <w:pPr>
              <w:spacing w:after="0"/>
              <w:rPr>
                <w:sz w:val="10"/>
                <w:szCs w:val="10"/>
                <w:color w:val="auto"/>
              </w:rPr>
            </w:pPr>
          </w:p>
        </w:tc>
        <w:tc>
          <w:tcPr>
            <w:tcW w:w="200" w:type="dxa"/>
            <w:vAlign w:val="bottom"/>
            <w:shd w:val="clear" w:color="auto" w:fill="D2EEF5"/>
          </w:tcPr>
          <w:p>
            <w:pPr>
              <w:spacing w:after="0"/>
              <w:rPr>
                <w:sz w:val="10"/>
                <w:szCs w:val="10"/>
                <w:color w:val="auto"/>
              </w:rPr>
            </w:pPr>
          </w:p>
        </w:tc>
        <w:tc>
          <w:tcPr>
            <w:tcW w:w="1340" w:type="dxa"/>
            <w:vAlign w:val="bottom"/>
            <w:gridSpan w:val="2"/>
            <w:shd w:val="clear" w:color="auto" w:fill="D2EEF5"/>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10"/>
                <w:szCs w:val="10"/>
                <w:color w:val="auto"/>
              </w:rPr>
            </w:pPr>
          </w:p>
        </w:tc>
        <w:tc>
          <w:tcPr>
            <w:tcW w:w="280" w:type="dxa"/>
            <w:vAlign w:val="bottom"/>
            <w:shd w:val="clear" w:color="auto" w:fill="D2EEF5"/>
          </w:tcPr>
          <w:p>
            <w:pPr>
              <w:spacing w:after="0"/>
              <w:rPr>
                <w:sz w:val="10"/>
                <w:szCs w:val="10"/>
                <w:color w:val="auto"/>
              </w:rPr>
            </w:pPr>
          </w:p>
        </w:tc>
        <w:tc>
          <w:tcPr>
            <w:tcW w:w="860" w:type="dxa"/>
            <w:vAlign w:val="bottom"/>
            <w:gridSpan w:val="2"/>
            <w:shd w:val="clear" w:color="auto" w:fill="D2EEF5"/>
          </w:tcPr>
          <w:p>
            <w:pPr>
              <w:jc w:val="right"/>
              <w:ind w:right="160"/>
              <w:spacing w:after="0" w:line="126" w:lineRule="exact"/>
              <w:rPr>
                <w:sz w:val="20"/>
                <w:szCs w:val="20"/>
                <w:color w:val="auto"/>
              </w:rPr>
            </w:pPr>
            <w:r>
              <w:rPr>
                <w:rFonts w:ascii="Arial" w:cs="Arial" w:eastAsia="Arial" w:hAnsi="Arial"/>
                <w:sz w:val="12"/>
                <w:szCs w:val="12"/>
                <w:color w:val="auto"/>
              </w:rPr>
              <w:t>(590)</w:t>
            </w:r>
          </w:p>
        </w:tc>
        <w:tc>
          <w:tcPr>
            <w:tcW w:w="340" w:type="dxa"/>
            <w:vAlign w:val="bottom"/>
            <w:shd w:val="clear" w:color="auto" w:fill="D2EEF5"/>
          </w:tcPr>
          <w:p>
            <w:pPr>
              <w:spacing w:after="0"/>
              <w:rPr>
                <w:sz w:val="10"/>
                <w:szCs w:val="10"/>
                <w:color w:val="auto"/>
              </w:rPr>
            </w:pPr>
          </w:p>
        </w:tc>
        <w:tc>
          <w:tcPr>
            <w:tcW w:w="68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3"/>
        </w:trPr>
        <w:tc>
          <w:tcPr>
            <w:tcW w:w="3400" w:type="dxa"/>
            <w:vAlign w:val="bottom"/>
            <w:gridSpan w:val="2"/>
          </w:tcPr>
          <w:p>
            <w:pPr>
              <w:spacing w:after="0" w:line="103" w:lineRule="exact"/>
              <w:rPr>
                <w:sz w:val="20"/>
                <w:szCs w:val="20"/>
                <w:color w:val="auto"/>
              </w:rPr>
            </w:pPr>
            <w:r>
              <w:rPr>
                <w:rFonts w:ascii="Arial" w:cs="Arial" w:eastAsia="Arial" w:hAnsi="Arial"/>
                <w:sz w:val="11"/>
                <w:szCs w:val="11"/>
                <w:color w:val="auto"/>
              </w:rPr>
              <w:t>Conversion of restricted share units, net of shares withheld for</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10,734,581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14,954</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(14,954)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00" w:type="dxa"/>
            <w:vAlign w:val="bottom"/>
            <w:gridSpan w:val="2"/>
          </w:tcPr>
          <w:p>
            <w:pPr>
              <w:ind w:left="120"/>
              <w:spacing w:after="0"/>
              <w:rPr>
                <w:sz w:val="20"/>
                <w:szCs w:val="20"/>
                <w:color w:val="auto"/>
              </w:rPr>
            </w:pPr>
            <w:r>
              <w:rPr>
                <w:rFonts w:ascii="Arial" w:cs="Arial" w:eastAsia="Arial" w:hAnsi="Arial"/>
                <w:sz w:val="12"/>
                <w:szCs w:val="12"/>
                <w:color w:val="auto"/>
              </w:rPr>
              <w:t>taxes (Note 17)</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400" w:type="dxa"/>
            <w:vAlign w:val="bottom"/>
            <w:gridSpan w:val="2"/>
            <w:shd w:val="clear" w:color="auto" w:fill="D2EEF5"/>
          </w:tcPr>
          <w:p>
            <w:pPr>
              <w:spacing w:after="0" w:line="103" w:lineRule="exact"/>
              <w:rPr>
                <w:sz w:val="20"/>
                <w:szCs w:val="20"/>
                <w:color w:val="auto"/>
              </w:rPr>
            </w:pPr>
            <w:r>
              <w:rPr>
                <w:rFonts w:ascii="Arial" w:cs="Arial" w:eastAsia="Arial" w:hAnsi="Arial"/>
                <w:sz w:val="11"/>
                <w:szCs w:val="11"/>
                <w:color w:val="auto"/>
              </w:rPr>
              <w:t>Shares issued as per At-the-Market Equity Distribution</w:t>
            </w:r>
          </w:p>
        </w:tc>
        <w:tc>
          <w:tcPr>
            <w:tcW w:w="90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3,251,588</w:t>
            </w:r>
          </w:p>
        </w:tc>
        <w:tc>
          <w:tcPr>
            <w:tcW w:w="160" w:type="dxa"/>
            <w:vAlign w:val="bottom"/>
            <w:shd w:val="clear" w:color="auto" w:fill="D2EEF5"/>
          </w:tcPr>
          <w:p>
            <w:pPr>
              <w:spacing w:after="0"/>
              <w:rPr>
                <w:sz w:val="8"/>
                <w:szCs w:val="8"/>
                <w:color w:val="auto"/>
              </w:rPr>
            </w:pPr>
          </w:p>
        </w:tc>
        <w:tc>
          <w:tcPr>
            <w:tcW w:w="100" w:type="dxa"/>
            <w:vAlign w:val="bottom"/>
            <w:shd w:val="clear" w:color="auto" w:fill="D2EEF5"/>
          </w:tcPr>
          <w:p>
            <w:pPr>
              <w:spacing w:after="0"/>
              <w:rPr>
                <w:sz w:val="8"/>
                <w:szCs w:val="8"/>
                <w:color w:val="auto"/>
              </w:rPr>
            </w:pPr>
          </w:p>
        </w:tc>
        <w:tc>
          <w:tcPr>
            <w:tcW w:w="90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4,866</w:t>
            </w:r>
          </w:p>
        </w:tc>
        <w:tc>
          <w:tcPr>
            <w:tcW w:w="160" w:type="dxa"/>
            <w:vAlign w:val="bottom"/>
            <w:shd w:val="clear" w:color="auto" w:fill="D2EEF5"/>
          </w:tcPr>
          <w:p>
            <w:pPr>
              <w:spacing w:after="0"/>
              <w:rPr>
                <w:sz w:val="8"/>
                <w:szCs w:val="8"/>
                <w:color w:val="auto"/>
              </w:rPr>
            </w:pPr>
          </w:p>
        </w:tc>
        <w:tc>
          <w:tcPr>
            <w:tcW w:w="140" w:type="dxa"/>
            <w:vAlign w:val="bottom"/>
            <w:shd w:val="clear" w:color="auto" w:fill="D2EEF5"/>
          </w:tcPr>
          <w:p>
            <w:pPr>
              <w:spacing w:after="0"/>
              <w:rPr>
                <w:sz w:val="8"/>
                <w:szCs w:val="8"/>
                <w:color w:val="auto"/>
              </w:rPr>
            </w:pPr>
          </w:p>
        </w:tc>
        <w:tc>
          <w:tcPr>
            <w:tcW w:w="94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200" w:type="dxa"/>
            <w:vAlign w:val="bottom"/>
            <w:shd w:val="clear" w:color="auto" w:fill="D2EEF5"/>
          </w:tcPr>
          <w:p>
            <w:pPr>
              <w:spacing w:after="0"/>
              <w:rPr>
                <w:sz w:val="8"/>
                <w:szCs w:val="8"/>
                <w:color w:val="auto"/>
              </w:rPr>
            </w:pPr>
          </w:p>
        </w:tc>
        <w:tc>
          <w:tcPr>
            <w:tcW w:w="1340" w:type="dxa"/>
            <w:vAlign w:val="bottom"/>
            <w:gridSpan w:val="2"/>
            <w:vMerge w:val="restart"/>
            <w:shd w:val="clear" w:color="auto" w:fill="D2EEF5"/>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8"/>
                <w:szCs w:val="8"/>
                <w:color w:val="auto"/>
              </w:rPr>
            </w:pPr>
          </w:p>
        </w:tc>
        <w:tc>
          <w:tcPr>
            <w:tcW w:w="280" w:type="dxa"/>
            <w:vAlign w:val="bottom"/>
            <w:shd w:val="clear" w:color="auto" w:fill="D2EEF5"/>
          </w:tcPr>
          <w:p>
            <w:pPr>
              <w:spacing w:after="0"/>
              <w:rPr>
                <w:sz w:val="8"/>
                <w:szCs w:val="8"/>
                <w:color w:val="auto"/>
              </w:rPr>
            </w:pPr>
          </w:p>
        </w:tc>
        <w:tc>
          <w:tcPr>
            <w:tcW w:w="860" w:type="dxa"/>
            <w:vAlign w:val="bottom"/>
            <w:gridSpan w:val="2"/>
            <w:vMerge w:val="restart"/>
            <w:shd w:val="clear" w:color="auto" w:fill="D2EEF5"/>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D2EEF5"/>
          </w:tcPr>
          <w:p>
            <w:pPr>
              <w:spacing w:after="0"/>
              <w:rPr>
                <w:sz w:val="8"/>
                <w:szCs w:val="8"/>
                <w:color w:val="auto"/>
              </w:rPr>
            </w:pPr>
          </w:p>
        </w:tc>
        <w:tc>
          <w:tcPr>
            <w:tcW w:w="68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4,866</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D2EEF5"/>
          </w:tcPr>
          <w:p>
            <w:pPr>
              <w:ind w:left="120"/>
              <w:spacing w:after="0"/>
              <w:rPr>
                <w:sz w:val="20"/>
                <w:szCs w:val="20"/>
                <w:color w:val="auto"/>
              </w:rPr>
            </w:pPr>
            <w:r>
              <w:rPr>
                <w:rFonts w:ascii="Arial" w:cs="Arial" w:eastAsia="Arial" w:hAnsi="Arial"/>
                <w:sz w:val="12"/>
                <w:szCs w:val="12"/>
                <w:color w:val="auto"/>
              </w:rPr>
              <w:t>Agreement (Note 14)</w:t>
            </w:r>
          </w:p>
        </w:tc>
        <w:tc>
          <w:tcPr>
            <w:tcW w:w="900" w:type="dxa"/>
            <w:vAlign w:val="bottom"/>
            <w:vMerge w:val="continue"/>
            <w:shd w:val="clear" w:color="auto" w:fill="D2EEF5"/>
          </w:tcPr>
          <w:p>
            <w:pPr>
              <w:spacing w:after="0"/>
              <w:rPr>
                <w:sz w:val="12"/>
                <w:szCs w:val="12"/>
                <w:color w:val="auto"/>
              </w:rPr>
            </w:pPr>
          </w:p>
        </w:tc>
        <w:tc>
          <w:tcPr>
            <w:tcW w:w="160" w:type="dxa"/>
            <w:vAlign w:val="bottom"/>
            <w:shd w:val="clear" w:color="auto" w:fill="D2EEF5"/>
          </w:tcPr>
          <w:p>
            <w:pPr>
              <w:spacing w:after="0"/>
              <w:rPr>
                <w:sz w:val="12"/>
                <w:szCs w:val="12"/>
                <w:color w:val="auto"/>
              </w:rPr>
            </w:pPr>
          </w:p>
        </w:tc>
        <w:tc>
          <w:tcPr>
            <w:tcW w:w="100" w:type="dxa"/>
            <w:vAlign w:val="bottom"/>
            <w:shd w:val="clear" w:color="auto" w:fill="D2EEF5"/>
          </w:tcPr>
          <w:p>
            <w:pPr>
              <w:spacing w:after="0"/>
              <w:rPr>
                <w:sz w:val="12"/>
                <w:szCs w:val="12"/>
                <w:color w:val="auto"/>
              </w:rPr>
            </w:pPr>
          </w:p>
        </w:tc>
        <w:tc>
          <w:tcPr>
            <w:tcW w:w="900" w:type="dxa"/>
            <w:vAlign w:val="bottom"/>
            <w:vMerge w:val="continue"/>
            <w:shd w:val="clear" w:color="auto" w:fill="D2EEF5"/>
          </w:tcPr>
          <w:p>
            <w:pPr>
              <w:spacing w:after="0"/>
              <w:rPr>
                <w:sz w:val="12"/>
                <w:szCs w:val="12"/>
                <w:color w:val="auto"/>
              </w:rPr>
            </w:pPr>
          </w:p>
        </w:tc>
        <w:tc>
          <w:tcPr>
            <w:tcW w:w="160" w:type="dxa"/>
            <w:vAlign w:val="bottom"/>
            <w:shd w:val="clear" w:color="auto" w:fill="D2EEF5"/>
          </w:tcPr>
          <w:p>
            <w:pPr>
              <w:spacing w:after="0"/>
              <w:rPr>
                <w:sz w:val="12"/>
                <w:szCs w:val="12"/>
                <w:color w:val="auto"/>
              </w:rPr>
            </w:pPr>
          </w:p>
        </w:tc>
        <w:tc>
          <w:tcPr>
            <w:tcW w:w="140" w:type="dxa"/>
            <w:vAlign w:val="bottom"/>
            <w:shd w:val="clear" w:color="auto" w:fill="D2EEF5"/>
          </w:tcPr>
          <w:p>
            <w:pPr>
              <w:spacing w:after="0"/>
              <w:rPr>
                <w:sz w:val="12"/>
                <w:szCs w:val="12"/>
                <w:color w:val="auto"/>
              </w:rPr>
            </w:pPr>
          </w:p>
        </w:tc>
        <w:tc>
          <w:tcPr>
            <w:tcW w:w="940" w:type="dxa"/>
            <w:vAlign w:val="bottom"/>
            <w:vMerge w:val="continue"/>
            <w:shd w:val="clear" w:color="auto" w:fill="D2EEF5"/>
          </w:tcPr>
          <w:p>
            <w:pPr>
              <w:spacing w:after="0"/>
              <w:rPr>
                <w:sz w:val="12"/>
                <w:szCs w:val="12"/>
                <w:color w:val="auto"/>
              </w:rPr>
            </w:pPr>
          </w:p>
        </w:tc>
        <w:tc>
          <w:tcPr>
            <w:tcW w:w="80" w:type="dxa"/>
            <w:vAlign w:val="bottom"/>
            <w:shd w:val="clear" w:color="auto" w:fill="D2EEF5"/>
          </w:tcPr>
          <w:p>
            <w:pPr>
              <w:spacing w:after="0"/>
              <w:rPr>
                <w:sz w:val="12"/>
                <w:szCs w:val="12"/>
                <w:color w:val="auto"/>
              </w:rPr>
            </w:pPr>
          </w:p>
        </w:tc>
        <w:tc>
          <w:tcPr>
            <w:tcW w:w="80" w:type="dxa"/>
            <w:vAlign w:val="bottom"/>
            <w:shd w:val="clear" w:color="auto" w:fill="D2EEF5"/>
          </w:tcPr>
          <w:p>
            <w:pPr>
              <w:spacing w:after="0"/>
              <w:rPr>
                <w:sz w:val="12"/>
                <w:szCs w:val="12"/>
                <w:color w:val="auto"/>
              </w:rPr>
            </w:pPr>
          </w:p>
        </w:tc>
        <w:tc>
          <w:tcPr>
            <w:tcW w:w="200" w:type="dxa"/>
            <w:vAlign w:val="bottom"/>
            <w:shd w:val="clear" w:color="auto" w:fill="D2EEF5"/>
          </w:tcPr>
          <w:p>
            <w:pPr>
              <w:spacing w:after="0"/>
              <w:rPr>
                <w:sz w:val="12"/>
                <w:szCs w:val="12"/>
                <w:color w:val="auto"/>
              </w:rPr>
            </w:pPr>
          </w:p>
        </w:tc>
        <w:tc>
          <w:tcPr>
            <w:tcW w:w="1340" w:type="dxa"/>
            <w:vAlign w:val="bottom"/>
            <w:gridSpan w:val="2"/>
            <w:vMerge w:val="continue"/>
            <w:shd w:val="clear" w:color="auto" w:fill="D2EEF5"/>
          </w:tcPr>
          <w:p>
            <w:pPr>
              <w:spacing w:after="0"/>
              <w:rPr>
                <w:sz w:val="12"/>
                <w:szCs w:val="12"/>
                <w:color w:val="auto"/>
              </w:rPr>
            </w:pPr>
          </w:p>
        </w:tc>
        <w:tc>
          <w:tcPr>
            <w:tcW w:w="80" w:type="dxa"/>
            <w:vAlign w:val="bottom"/>
            <w:shd w:val="clear" w:color="auto" w:fill="D2EEF5"/>
          </w:tcPr>
          <w:p>
            <w:pPr>
              <w:spacing w:after="0"/>
              <w:rPr>
                <w:sz w:val="12"/>
                <w:szCs w:val="12"/>
                <w:color w:val="auto"/>
              </w:rPr>
            </w:pPr>
          </w:p>
        </w:tc>
        <w:tc>
          <w:tcPr>
            <w:tcW w:w="280" w:type="dxa"/>
            <w:vAlign w:val="bottom"/>
            <w:shd w:val="clear" w:color="auto" w:fill="D2EEF5"/>
          </w:tcPr>
          <w:p>
            <w:pPr>
              <w:spacing w:after="0"/>
              <w:rPr>
                <w:sz w:val="12"/>
                <w:szCs w:val="12"/>
                <w:color w:val="auto"/>
              </w:rPr>
            </w:pPr>
          </w:p>
        </w:tc>
        <w:tc>
          <w:tcPr>
            <w:tcW w:w="860" w:type="dxa"/>
            <w:vAlign w:val="bottom"/>
            <w:gridSpan w:val="2"/>
            <w:vMerge w:val="continue"/>
            <w:shd w:val="clear" w:color="auto" w:fill="D2EEF5"/>
          </w:tcPr>
          <w:p>
            <w:pPr>
              <w:spacing w:after="0"/>
              <w:rPr>
                <w:sz w:val="12"/>
                <w:szCs w:val="12"/>
                <w:color w:val="auto"/>
              </w:rPr>
            </w:pPr>
          </w:p>
        </w:tc>
        <w:tc>
          <w:tcPr>
            <w:tcW w:w="340" w:type="dxa"/>
            <w:vAlign w:val="bottom"/>
            <w:shd w:val="clear" w:color="auto" w:fill="D2EEF5"/>
          </w:tcPr>
          <w:p>
            <w:pPr>
              <w:spacing w:after="0"/>
              <w:rPr>
                <w:sz w:val="12"/>
                <w:szCs w:val="12"/>
                <w:color w:val="auto"/>
              </w:rPr>
            </w:pPr>
          </w:p>
        </w:tc>
        <w:tc>
          <w:tcPr>
            <w:tcW w:w="680" w:type="dxa"/>
            <w:vAlign w:val="bottom"/>
            <w:vMerge w:val="continue"/>
            <w:shd w:val="clear" w:color="auto" w:fill="D2EEF5"/>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2"/>
                <w:szCs w:val="12"/>
                <w:color w:val="auto"/>
              </w:rPr>
              <w:t>Exercise of stock options (Note 17)</w:t>
            </w: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715,772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1,891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(1,428)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463</w:t>
            </w:r>
          </w:p>
        </w:tc>
        <w:tc>
          <w:tcPr>
            <w:tcW w:w="0" w:type="dxa"/>
            <w:vAlign w:val="bottom"/>
          </w:tcPr>
          <w:p>
            <w:pPr>
              <w:spacing w:after="0"/>
              <w:rPr>
                <w:sz w:val="1"/>
                <w:szCs w:val="1"/>
                <w:color w:val="auto"/>
              </w:rPr>
            </w:pPr>
          </w:p>
        </w:tc>
      </w:tr>
      <w:tr>
        <w:trPr>
          <w:trHeight w:val="126"/>
        </w:trPr>
        <w:tc>
          <w:tcPr>
            <w:tcW w:w="3400" w:type="dxa"/>
            <w:vAlign w:val="bottom"/>
            <w:gridSpan w:val="2"/>
            <w:shd w:val="clear" w:color="auto" w:fill="D2EEF5"/>
          </w:tcPr>
          <w:p>
            <w:pPr>
              <w:spacing w:after="0" w:line="126" w:lineRule="exact"/>
              <w:rPr>
                <w:sz w:val="20"/>
                <w:szCs w:val="20"/>
                <w:color w:val="auto"/>
              </w:rPr>
            </w:pPr>
            <w:r>
              <w:rPr>
                <w:rFonts w:ascii="Arial" w:cs="Arial" w:eastAsia="Arial" w:hAnsi="Arial"/>
                <w:sz w:val="12"/>
                <w:szCs w:val="12"/>
                <w:color w:val="auto"/>
                <w:w w:val="97"/>
              </w:rPr>
              <w:t>Share purchase under Employee Share Purchase Plan (Note 17)</w:t>
            </w: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47,809</w:t>
            </w:r>
          </w:p>
        </w:tc>
        <w:tc>
          <w:tcPr>
            <w:tcW w:w="160" w:type="dxa"/>
            <w:vAlign w:val="bottom"/>
            <w:shd w:val="clear" w:color="auto" w:fill="D2EEF5"/>
          </w:tcPr>
          <w:p>
            <w:pPr>
              <w:spacing w:after="0"/>
              <w:rPr>
                <w:sz w:val="10"/>
                <w:szCs w:val="10"/>
                <w:color w:val="auto"/>
              </w:rPr>
            </w:pPr>
          </w:p>
        </w:tc>
        <w:tc>
          <w:tcPr>
            <w:tcW w:w="100" w:type="dxa"/>
            <w:vAlign w:val="bottom"/>
            <w:shd w:val="clear" w:color="auto" w:fill="D2EEF5"/>
          </w:tcPr>
          <w:p>
            <w:pPr>
              <w:spacing w:after="0"/>
              <w:rPr>
                <w:sz w:val="10"/>
                <w:szCs w:val="10"/>
                <w:color w:val="auto"/>
              </w:rPr>
            </w:pP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77</w:t>
            </w:r>
          </w:p>
        </w:tc>
        <w:tc>
          <w:tcPr>
            <w:tcW w:w="1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94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(38)</w:t>
            </w:r>
          </w:p>
        </w:tc>
        <w:tc>
          <w:tcPr>
            <w:tcW w:w="80" w:type="dxa"/>
            <w:vAlign w:val="bottom"/>
            <w:shd w:val="clear" w:color="auto" w:fill="D2EEF5"/>
          </w:tcPr>
          <w:p>
            <w:pPr>
              <w:spacing w:after="0"/>
              <w:rPr>
                <w:sz w:val="10"/>
                <w:szCs w:val="10"/>
                <w:color w:val="auto"/>
              </w:rPr>
            </w:pPr>
          </w:p>
        </w:tc>
        <w:tc>
          <w:tcPr>
            <w:tcW w:w="80" w:type="dxa"/>
            <w:vAlign w:val="bottom"/>
            <w:shd w:val="clear" w:color="auto" w:fill="D2EEF5"/>
          </w:tcPr>
          <w:p>
            <w:pPr>
              <w:spacing w:after="0"/>
              <w:rPr>
                <w:sz w:val="10"/>
                <w:szCs w:val="10"/>
                <w:color w:val="auto"/>
              </w:rPr>
            </w:pPr>
          </w:p>
        </w:tc>
        <w:tc>
          <w:tcPr>
            <w:tcW w:w="200" w:type="dxa"/>
            <w:vAlign w:val="bottom"/>
            <w:shd w:val="clear" w:color="auto" w:fill="D2EEF5"/>
          </w:tcPr>
          <w:p>
            <w:pPr>
              <w:spacing w:after="0"/>
              <w:rPr>
                <w:sz w:val="10"/>
                <w:szCs w:val="10"/>
                <w:color w:val="auto"/>
              </w:rPr>
            </w:pPr>
          </w:p>
        </w:tc>
        <w:tc>
          <w:tcPr>
            <w:tcW w:w="1340" w:type="dxa"/>
            <w:vAlign w:val="bottom"/>
            <w:gridSpan w:val="2"/>
            <w:shd w:val="clear" w:color="auto" w:fill="D2EEF5"/>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10"/>
                <w:szCs w:val="10"/>
                <w:color w:val="auto"/>
              </w:rPr>
            </w:pPr>
          </w:p>
        </w:tc>
        <w:tc>
          <w:tcPr>
            <w:tcW w:w="280" w:type="dxa"/>
            <w:vAlign w:val="bottom"/>
            <w:shd w:val="clear" w:color="auto" w:fill="D2EEF5"/>
          </w:tcPr>
          <w:p>
            <w:pPr>
              <w:spacing w:after="0"/>
              <w:rPr>
                <w:sz w:val="10"/>
                <w:szCs w:val="10"/>
                <w:color w:val="auto"/>
              </w:rPr>
            </w:pPr>
          </w:p>
        </w:tc>
        <w:tc>
          <w:tcPr>
            <w:tcW w:w="860" w:type="dxa"/>
            <w:vAlign w:val="bottom"/>
            <w:gridSpan w:val="2"/>
            <w:shd w:val="clear" w:color="auto" w:fill="D2EEF5"/>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shd w:val="clear" w:color="auto" w:fill="D2EEF5"/>
          </w:tcPr>
          <w:p>
            <w:pPr>
              <w:spacing w:after="0"/>
              <w:rPr>
                <w:sz w:val="10"/>
                <w:szCs w:val="10"/>
                <w:color w:val="auto"/>
              </w:rPr>
            </w:pPr>
          </w:p>
        </w:tc>
        <w:tc>
          <w:tcPr>
            <w:tcW w:w="68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03"/>
        </w:trPr>
        <w:tc>
          <w:tcPr>
            <w:tcW w:w="3400" w:type="dxa"/>
            <w:vAlign w:val="bottom"/>
            <w:gridSpan w:val="2"/>
          </w:tcPr>
          <w:p>
            <w:pPr>
              <w:spacing w:after="0" w:line="103" w:lineRule="exact"/>
              <w:rPr>
                <w:sz w:val="20"/>
                <w:szCs w:val="20"/>
                <w:color w:val="auto"/>
              </w:rPr>
            </w:pPr>
            <w:r>
              <w:rPr>
                <w:rFonts w:ascii="Arial" w:cs="Arial" w:eastAsia="Arial" w:hAnsi="Arial"/>
                <w:sz w:val="11"/>
                <w:szCs w:val="11"/>
                <w:color w:val="auto"/>
              </w:rPr>
              <w:t>Share-based compensation and expenses settled with equity (Note</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25,313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25,313</w:t>
            </w:r>
          </w:p>
        </w:tc>
        <w:tc>
          <w:tcPr>
            <w:tcW w:w="0" w:type="dxa"/>
            <w:vAlign w:val="bottom"/>
          </w:tcPr>
          <w:p>
            <w:pPr>
              <w:spacing w:after="0"/>
              <w:rPr>
                <w:sz w:val="1"/>
                <w:szCs w:val="1"/>
                <w:color w:val="auto"/>
              </w:rPr>
            </w:pPr>
          </w:p>
        </w:tc>
      </w:tr>
      <w:tr>
        <w:trPr>
          <w:trHeight w:val="149"/>
        </w:trPr>
        <w:tc>
          <w:tcPr>
            <w:tcW w:w="3240" w:type="dxa"/>
            <w:vAlign w:val="bottom"/>
          </w:tcPr>
          <w:p>
            <w:pPr>
              <w:ind w:left="120"/>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gridSpan w:val="2"/>
            <w:shd w:val="clear" w:color="auto" w:fill="D2EEF5"/>
          </w:tcPr>
          <w:p>
            <w:pPr>
              <w:spacing w:after="0" w:line="126" w:lineRule="exact"/>
              <w:rPr>
                <w:sz w:val="20"/>
                <w:szCs w:val="20"/>
                <w:color w:val="auto"/>
              </w:rPr>
            </w:pPr>
            <w:r>
              <w:rPr>
                <w:rFonts w:ascii="Arial" w:cs="Arial" w:eastAsia="Arial" w:hAnsi="Arial"/>
                <w:sz w:val="12"/>
                <w:szCs w:val="12"/>
                <w:color w:val="auto"/>
              </w:rPr>
              <w:t>Foreign currency translation adjustment</w:t>
            </w: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D2EEF5"/>
          </w:tcPr>
          <w:p>
            <w:pPr>
              <w:spacing w:after="0"/>
              <w:rPr>
                <w:sz w:val="10"/>
                <w:szCs w:val="10"/>
                <w:color w:val="auto"/>
              </w:rPr>
            </w:pPr>
          </w:p>
        </w:tc>
        <w:tc>
          <w:tcPr>
            <w:tcW w:w="100" w:type="dxa"/>
            <w:vAlign w:val="bottom"/>
            <w:shd w:val="clear" w:color="auto" w:fill="D2EEF5"/>
          </w:tcPr>
          <w:p>
            <w:pPr>
              <w:spacing w:after="0"/>
              <w:rPr>
                <w:sz w:val="10"/>
                <w:szCs w:val="10"/>
                <w:color w:val="auto"/>
              </w:rPr>
            </w:pP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94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10"/>
                <w:szCs w:val="10"/>
                <w:color w:val="auto"/>
              </w:rPr>
            </w:pPr>
          </w:p>
        </w:tc>
        <w:tc>
          <w:tcPr>
            <w:tcW w:w="80" w:type="dxa"/>
            <w:vAlign w:val="bottom"/>
            <w:shd w:val="clear" w:color="auto" w:fill="D2EEF5"/>
          </w:tcPr>
          <w:p>
            <w:pPr>
              <w:spacing w:after="0"/>
              <w:rPr>
                <w:sz w:val="10"/>
                <w:szCs w:val="10"/>
                <w:color w:val="auto"/>
              </w:rPr>
            </w:pPr>
          </w:p>
        </w:tc>
        <w:tc>
          <w:tcPr>
            <w:tcW w:w="200" w:type="dxa"/>
            <w:vAlign w:val="bottom"/>
            <w:shd w:val="clear" w:color="auto" w:fill="D2EEF5"/>
          </w:tcPr>
          <w:p>
            <w:pPr>
              <w:spacing w:after="0"/>
              <w:rPr>
                <w:sz w:val="10"/>
                <w:szCs w:val="10"/>
                <w:color w:val="auto"/>
              </w:rPr>
            </w:pPr>
          </w:p>
        </w:tc>
        <w:tc>
          <w:tcPr>
            <w:tcW w:w="126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13</w:t>
            </w:r>
          </w:p>
        </w:tc>
        <w:tc>
          <w:tcPr>
            <w:tcW w:w="80" w:type="dxa"/>
            <w:vAlign w:val="bottom"/>
            <w:shd w:val="clear" w:color="auto" w:fill="D2EEF5"/>
          </w:tcPr>
          <w:p>
            <w:pPr>
              <w:spacing w:after="0"/>
              <w:rPr>
                <w:sz w:val="10"/>
                <w:szCs w:val="10"/>
                <w:color w:val="auto"/>
              </w:rPr>
            </w:pPr>
          </w:p>
        </w:tc>
        <w:tc>
          <w:tcPr>
            <w:tcW w:w="80" w:type="dxa"/>
            <w:vAlign w:val="bottom"/>
            <w:shd w:val="clear" w:color="auto" w:fill="D2EEF5"/>
          </w:tcPr>
          <w:p>
            <w:pPr>
              <w:spacing w:after="0"/>
              <w:rPr>
                <w:sz w:val="10"/>
                <w:szCs w:val="10"/>
                <w:color w:val="auto"/>
              </w:rPr>
            </w:pPr>
          </w:p>
        </w:tc>
        <w:tc>
          <w:tcPr>
            <w:tcW w:w="280" w:type="dxa"/>
            <w:vAlign w:val="bottom"/>
            <w:shd w:val="clear" w:color="auto" w:fill="D2EEF5"/>
          </w:tcPr>
          <w:p>
            <w:pPr>
              <w:spacing w:after="0"/>
              <w:rPr>
                <w:sz w:val="10"/>
                <w:szCs w:val="10"/>
                <w:color w:val="auto"/>
              </w:rPr>
            </w:pPr>
          </w:p>
        </w:tc>
        <w:tc>
          <w:tcPr>
            <w:tcW w:w="860" w:type="dxa"/>
            <w:vAlign w:val="bottom"/>
            <w:gridSpan w:val="2"/>
            <w:shd w:val="clear" w:color="auto" w:fill="D2EEF5"/>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shd w:val="clear" w:color="auto" w:fill="D2EEF5"/>
          </w:tcPr>
          <w:p>
            <w:pPr>
              <w:spacing w:after="0"/>
              <w:rPr>
                <w:sz w:val="10"/>
                <w:szCs w:val="10"/>
                <w:color w:val="auto"/>
              </w:rPr>
            </w:pPr>
          </w:p>
        </w:tc>
        <w:tc>
          <w:tcPr>
            <w:tcW w:w="68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2"/>
                <w:szCs w:val="12"/>
                <w:color w:val="auto"/>
              </w:rPr>
              <w:t>Loss for the year</w:t>
            </w: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160"/>
              <w:spacing w:after="0" w:line="126" w:lineRule="exact"/>
              <w:rPr>
                <w:sz w:val="20"/>
                <w:szCs w:val="20"/>
                <w:color w:val="auto"/>
              </w:rPr>
            </w:pPr>
            <w:r>
              <w:rPr>
                <w:rFonts w:ascii="Arial" w:cs="Arial" w:eastAsia="Arial" w:hAnsi="Arial"/>
                <w:sz w:val="12"/>
                <w:szCs w:val="12"/>
                <w:color w:val="auto"/>
              </w:rPr>
              <w:t>(81,943)</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(81,943)</w:t>
            </w:r>
          </w:p>
        </w:tc>
        <w:tc>
          <w:tcPr>
            <w:tcW w:w="0" w:type="dxa"/>
            <w:vAlign w:val="bottom"/>
          </w:tcPr>
          <w:p>
            <w:pPr>
              <w:spacing w:after="0"/>
              <w:rPr>
                <w:sz w:val="1"/>
                <w:szCs w:val="1"/>
                <w:color w:val="auto"/>
              </w:rPr>
            </w:pPr>
          </w:p>
        </w:tc>
      </w:tr>
      <w:tr>
        <w:trPr>
          <w:trHeight w:val="117"/>
        </w:trPr>
        <w:tc>
          <w:tcPr>
            <w:tcW w:w="3400" w:type="dxa"/>
            <w:vAlign w:val="bottom"/>
            <w:tcBorders>
              <w:top w:val="single" w:sz="8" w:color="D2EEF5"/>
              <w:bottom w:val="single" w:sz="8" w:color="D2EEF5"/>
            </w:tcBorders>
            <w:gridSpan w:val="2"/>
            <w:shd w:val="clear" w:color="auto" w:fill="D2EEF5"/>
          </w:tcPr>
          <w:p>
            <w:pPr>
              <w:spacing w:after="0" w:line="117" w:lineRule="exact"/>
              <w:rPr>
                <w:sz w:val="20"/>
                <w:szCs w:val="20"/>
                <w:color w:val="auto"/>
              </w:rPr>
            </w:pPr>
            <w:r>
              <w:rPr>
                <w:rFonts w:ascii="Arial" w:cs="Arial" w:eastAsia="Arial" w:hAnsi="Arial"/>
                <w:sz w:val="12"/>
                <w:szCs w:val="12"/>
                <w:b w:val="1"/>
                <w:bCs w:val="1"/>
                <w:color w:val="auto"/>
              </w:rPr>
              <w:t>December 31, 2024</w:t>
            </w:r>
          </w:p>
        </w:tc>
        <w:tc>
          <w:tcPr>
            <w:tcW w:w="90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340,708,460</w:t>
            </w:r>
          </w:p>
        </w:tc>
        <w:tc>
          <w:tcPr>
            <w:tcW w:w="160" w:type="dxa"/>
            <w:vAlign w:val="bottom"/>
            <w:tcBorders>
              <w:top w:val="single" w:sz="8" w:color="D2EEF5"/>
              <w:bottom w:val="single" w:sz="8" w:color="D2EEF5"/>
            </w:tcBorders>
            <w:shd w:val="clear" w:color="auto" w:fill="D2EEF5"/>
          </w:tcPr>
          <w:p>
            <w:pPr>
              <w:spacing w:after="0"/>
              <w:rPr>
                <w:sz w:val="10"/>
                <w:szCs w:val="10"/>
                <w:color w:val="auto"/>
              </w:rPr>
            </w:pPr>
          </w:p>
        </w:tc>
        <w:tc>
          <w:tcPr>
            <w:tcW w:w="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477,217</w:t>
            </w:r>
          </w:p>
        </w:tc>
        <w:tc>
          <w:tcPr>
            <w:tcW w:w="160" w:type="dxa"/>
            <w:vAlign w:val="bottom"/>
            <w:tcBorders>
              <w:top w:val="single" w:sz="8" w:color="D2EEF5"/>
              <w:bottom w:val="single" w:sz="8" w:color="D2EEF5"/>
            </w:tcBorders>
            <w:shd w:val="clear" w:color="auto" w:fill="D2EEF5"/>
          </w:tcPr>
          <w:p>
            <w:pPr>
              <w:spacing w:after="0"/>
              <w:rPr>
                <w:sz w:val="10"/>
                <w:szCs w:val="10"/>
                <w:color w:val="auto"/>
              </w:rPr>
            </w:pPr>
          </w:p>
        </w:tc>
        <w:tc>
          <w:tcPr>
            <w:tcW w:w="140" w:type="dxa"/>
            <w:vAlign w:val="bottom"/>
            <w:tcBorders>
              <w:top w:val="single" w:sz="8" w:color="auto"/>
              <w:bottom w:val="single" w:sz="8" w:color="auto"/>
            </w:tcBorders>
            <w:shd w:val="clear" w:color="auto" w:fill="D2EEF5"/>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138,303</w:t>
            </w:r>
          </w:p>
        </w:tc>
        <w:tc>
          <w:tcPr>
            <w:tcW w:w="80" w:type="dxa"/>
            <w:vAlign w:val="bottom"/>
            <w:tcBorders>
              <w:top w:val="single" w:sz="8" w:color="D2EEF5"/>
              <w:bottom w:val="single" w:sz="8" w:color="D2EEF5"/>
            </w:tcBorders>
            <w:shd w:val="clear" w:color="auto" w:fill="D2EEF5"/>
          </w:tcPr>
          <w:p>
            <w:pPr>
              <w:spacing w:after="0"/>
              <w:rPr>
                <w:sz w:val="10"/>
                <w:szCs w:val="10"/>
                <w:color w:val="auto"/>
              </w:rPr>
            </w:pPr>
          </w:p>
        </w:tc>
        <w:tc>
          <w:tcPr>
            <w:tcW w:w="80" w:type="dxa"/>
            <w:vAlign w:val="bottom"/>
            <w:tcBorders>
              <w:top w:val="single" w:sz="8" w:color="D2EEF5"/>
              <w:bottom w:val="single" w:sz="8" w:color="D2EEF5"/>
            </w:tcBorders>
            <w:shd w:val="clear" w:color="auto" w:fill="D2EEF5"/>
          </w:tcPr>
          <w:p>
            <w:pPr>
              <w:spacing w:after="0"/>
              <w:rPr>
                <w:sz w:val="10"/>
                <w:szCs w:val="10"/>
                <w:color w:val="auto"/>
              </w:rPr>
            </w:pPr>
          </w:p>
        </w:tc>
        <w:tc>
          <w:tcPr>
            <w:tcW w:w="200" w:type="dxa"/>
            <w:vAlign w:val="bottom"/>
            <w:tcBorders>
              <w:top w:val="single" w:sz="8" w:color="auto"/>
              <w:bottom w:val="single" w:sz="8" w:color="auto"/>
            </w:tcBorders>
            <w:shd w:val="clear" w:color="auto" w:fill="D2EEF5"/>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(1,203)</w:t>
            </w:r>
          </w:p>
        </w:tc>
        <w:tc>
          <w:tcPr>
            <w:tcW w:w="80" w:type="dxa"/>
            <w:vAlign w:val="bottom"/>
            <w:tcBorders>
              <w:top w:val="single" w:sz="8" w:color="D2EEF5"/>
              <w:bottom w:val="single" w:sz="8" w:color="D2EEF5"/>
            </w:tcBorders>
            <w:shd w:val="clear" w:color="auto" w:fill="D2EEF5"/>
          </w:tcPr>
          <w:p>
            <w:pPr>
              <w:spacing w:after="0"/>
              <w:rPr>
                <w:sz w:val="10"/>
                <w:szCs w:val="10"/>
                <w:color w:val="auto"/>
              </w:rPr>
            </w:pPr>
          </w:p>
        </w:tc>
        <w:tc>
          <w:tcPr>
            <w:tcW w:w="80" w:type="dxa"/>
            <w:vAlign w:val="bottom"/>
            <w:tcBorders>
              <w:top w:val="single" w:sz="8" w:color="D2EEF5"/>
              <w:bottom w:val="single" w:sz="8" w:color="D2EEF5"/>
            </w:tcBorders>
            <w:shd w:val="clear" w:color="auto" w:fill="D2EEF5"/>
          </w:tcPr>
          <w:p>
            <w:pPr>
              <w:spacing w:after="0"/>
              <w:rPr>
                <w:sz w:val="10"/>
                <w:szCs w:val="10"/>
                <w:color w:val="auto"/>
              </w:rPr>
            </w:pPr>
          </w:p>
        </w:tc>
        <w:tc>
          <w:tcPr>
            <w:tcW w:w="280" w:type="dxa"/>
            <w:vAlign w:val="bottom"/>
            <w:tcBorders>
              <w:top w:val="single" w:sz="8" w:color="auto"/>
              <w:bottom w:val="single" w:sz="8" w:color="auto"/>
            </w:tcBorders>
            <w:shd w:val="clear" w:color="auto" w:fill="D2EEF5"/>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(631,435)</w:t>
            </w:r>
          </w:p>
        </w:tc>
        <w:tc>
          <w:tcPr>
            <w:tcW w:w="160" w:type="dxa"/>
            <w:vAlign w:val="bottom"/>
            <w:tcBorders>
              <w:top w:val="single" w:sz="8" w:color="D2EEF5"/>
              <w:bottom w:val="single" w:sz="8" w:color="D2EEF5"/>
            </w:tcBorders>
            <w:shd w:val="clear" w:color="auto" w:fill="D2EEF5"/>
          </w:tcPr>
          <w:p>
            <w:pPr>
              <w:spacing w:after="0"/>
              <w:rPr>
                <w:sz w:val="10"/>
                <w:szCs w:val="10"/>
                <w:color w:val="auto"/>
              </w:rPr>
            </w:pPr>
          </w:p>
        </w:tc>
        <w:tc>
          <w:tcPr>
            <w:tcW w:w="340" w:type="dxa"/>
            <w:vAlign w:val="bottom"/>
            <w:tcBorders>
              <w:top w:val="single" w:sz="8" w:color="auto"/>
              <w:bottom w:val="single" w:sz="8" w:color="auto"/>
            </w:tcBorders>
            <w:shd w:val="clear" w:color="auto" w:fill="D2EEF5"/>
          </w:tcPr>
          <w:p>
            <w:pPr>
              <w:jc w:val="right"/>
              <w:ind w:right="199"/>
              <w:spacing w:after="0" w:line="117" w:lineRule="exact"/>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(17,118)</w:t>
            </w:r>
          </w:p>
        </w:tc>
        <w:tc>
          <w:tcPr>
            <w:tcW w:w="0" w:type="dxa"/>
            <w:vAlign w:val="bottom"/>
          </w:tcPr>
          <w:p>
            <w:pPr>
              <w:spacing w:after="0"/>
              <w:rPr>
                <w:sz w:val="1"/>
                <w:szCs w:val="1"/>
                <w:color w:val="auto"/>
              </w:rPr>
            </w:pPr>
          </w:p>
        </w:tc>
      </w:tr>
      <w:tr>
        <w:trPr>
          <w:trHeight w:val="303"/>
        </w:trPr>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2"/>
                <w:szCs w:val="12"/>
                <w:b w:val="1"/>
                <w:bCs w:val="1"/>
                <w:color w:val="auto"/>
              </w:rPr>
              <w:t>Common Shares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Accumulated Other</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 the year ended December 31, 2023</w:t>
            </w:r>
          </w:p>
        </w:tc>
        <w:tc>
          <w:tcPr>
            <w:tcW w:w="900" w:type="dxa"/>
            <w:vAlign w:val="bottom"/>
          </w:tcPr>
          <w:p>
            <w:pPr>
              <w:jc w:val="right"/>
              <w:ind w:right="219"/>
              <w:spacing w:after="0" w:line="126"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219"/>
              <w:spacing w:after="0" w:line="126"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Paid in Capital</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w w:val="97"/>
              </w:rPr>
              <w:t>Comprehensive Loss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Deficit</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240" w:type="dxa"/>
            <w:vAlign w:val="bottom"/>
            <w:tcBorders>
              <w:top w:val="single" w:sz="8" w:color="auto"/>
            </w:tcBorders>
            <w:shd w:val="clear" w:color="auto" w:fill="D2EEF5"/>
          </w:tcPr>
          <w:p>
            <w:pPr>
              <w:spacing w:after="0" w:line="117" w:lineRule="exact"/>
              <w:rPr>
                <w:sz w:val="20"/>
                <w:szCs w:val="20"/>
                <w:color w:val="auto"/>
              </w:rPr>
            </w:pPr>
            <w:r>
              <w:rPr>
                <w:rFonts w:ascii="Arial" w:cs="Arial" w:eastAsia="Arial" w:hAnsi="Arial"/>
                <w:sz w:val="12"/>
                <w:szCs w:val="12"/>
                <w:b w:val="1"/>
                <w:bCs w:val="1"/>
                <w:color w:val="auto"/>
              </w:rPr>
              <w:t>January 1, 2023</w:t>
            </w:r>
          </w:p>
        </w:tc>
        <w:tc>
          <w:tcPr>
            <w:tcW w:w="160" w:type="dxa"/>
            <w:vAlign w:val="bottom"/>
            <w:tcBorders>
              <w:top w:val="single" w:sz="8" w:color="D2EEF5"/>
            </w:tcBorders>
            <w:shd w:val="clear" w:color="auto" w:fill="D2EEF5"/>
          </w:tcPr>
          <w:p>
            <w:pPr>
              <w:spacing w:after="0"/>
              <w:rPr>
                <w:sz w:val="10"/>
                <w:szCs w:val="10"/>
                <w:color w:val="auto"/>
              </w:rPr>
            </w:pPr>
          </w:p>
        </w:tc>
        <w:tc>
          <w:tcPr>
            <w:tcW w:w="90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266,812,131</w:t>
            </w:r>
          </w:p>
        </w:tc>
        <w:tc>
          <w:tcPr>
            <w:tcW w:w="160" w:type="dxa"/>
            <w:vAlign w:val="bottom"/>
            <w:tcBorders>
              <w:top w:val="single" w:sz="8" w:color="D2EEF5"/>
            </w:tcBorders>
            <w:shd w:val="clear" w:color="auto" w:fill="D2EEF5"/>
          </w:tcPr>
          <w:p>
            <w:pPr>
              <w:spacing w:after="0"/>
              <w:rPr>
                <w:sz w:val="10"/>
                <w:szCs w:val="10"/>
                <w:color w:val="auto"/>
              </w:rPr>
            </w:pPr>
          </w:p>
        </w:tc>
        <w:tc>
          <w:tcPr>
            <w:tcW w:w="1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332,882</w:t>
            </w:r>
          </w:p>
        </w:tc>
        <w:tc>
          <w:tcPr>
            <w:tcW w:w="160" w:type="dxa"/>
            <w:vAlign w:val="bottom"/>
            <w:tcBorders>
              <w:top w:val="single" w:sz="8" w:color="D2EEF5"/>
            </w:tcBorders>
            <w:shd w:val="clear" w:color="auto" w:fill="D2EEF5"/>
          </w:tcPr>
          <w:p>
            <w:pPr>
              <w:spacing w:after="0"/>
              <w:rPr>
                <w:sz w:val="10"/>
                <w:szCs w:val="10"/>
                <w:color w:val="auto"/>
              </w:rPr>
            </w:pPr>
          </w:p>
        </w:tc>
        <w:tc>
          <w:tcPr>
            <w:tcW w:w="140" w:type="dxa"/>
            <w:vAlign w:val="bottom"/>
            <w:tcBorders>
              <w:top w:val="single" w:sz="8" w:color="auto"/>
            </w:tcBorders>
            <w:shd w:val="clear" w:color="auto" w:fill="D2EEF5"/>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184,960</w:t>
            </w:r>
          </w:p>
        </w:tc>
        <w:tc>
          <w:tcPr>
            <w:tcW w:w="80" w:type="dxa"/>
            <w:vAlign w:val="bottom"/>
            <w:tcBorders>
              <w:top w:val="single" w:sz="8" w:color="D2EEF5"/>
            </w:tcBorders>
            <w:shd w:val="clear" w:color="auto" w:fill="D2EEF5"/>
          </w:tcPr>
          <w:p>
            <w:pPr>
              <w:spacing w:after="0"/>
              <w:rPr>
                <w:sz w:val="10"/>
                <w:szCs w:val="10"/>
                <w:color w:val="auto"/>
              </w:rPr>
            </w:pPr>
          </w:p>
        </w:tc>
        <w:tc>
          <w:tcPr>
            <w:tcW w:w="80" w:type="dxa"/>
            <w:vAlign w:val="bottom"/>
            <w:tcBorders>
              <w:top w:val="single" w:sz="8" w:color="D2EEF5"/>
            </w:tcBorders>
            <w:shd w:val="clear" w:color="auto" w:fill="D2EEF5"/>
          </w:tcPr>
          <w:p>
            <w:pPr>
              <w:spacing w:after="0"/>
              <w:rPr>
                <w:sz w:val="10"/>
                <w:szCs w:val="10"/>
                <w:color w:val="auto"/>
              </w:rPr>
            </w:pPr>
          </w:p>
        </w:tc>
        <w:tc>
          <w:tcPr>
            <w:tcW w:w="200" w:type="dxa"/>
            <w:vAlign w:val="bottom"/>
            <w:tcBorders>
              <w:top w:val="single" w:sz="8" w:color="auto"/>
            </w:tcBorders>
            <w:shd w:val="clear" w:color="auto" w:fill="D2EEF5"/>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(1,216)</w:t>
            </w:r>
          </w:p>
        </w:tc>
        <w:tc>
          <w:tcPr>
            <w:tcW w:w="80" w:type="dxa"/>
            <w:vAlign w:val="bottom"/>
            <w:tcBorders>
              <w:top w:val="single" w:sz="8" w:color="D2EEF5"/>
            </w:tcBorders>
            <w:shd w:val="clear" w:color="auto" w:fill="D2EEF5"/>
          </w:tcPr>
          <w:p>
            <w:pPr>
              <w:spacing w:after="0"/>
              <w:rPr>
                <w:sz w:val="10"/>
                <w:szCs w:val="10"/>
                <w:color w:val="auto"/>
              </w:rPr>
            </w:pPr>
          </w:p>
        </w:tc>
        <w:tc>
          <w:tcPr>
            <w:tcW w:w="80" w:type="dxa"/>
            <w:vAlign w:val="bottom"/>
            <w:tcBorders>
              <w:top w:val="single" w:sz="8" w:color="D2EEF5"/>
            </w:tcBorders>
            <w:shd w:val="clear" w:color="auto" w:fill="D2EEF5"/>
          </w:tcPr>
          <w:p>
            <w:pPr>
              <w:spacing w:after="0"/>
              <w:rPr>
                <w:sz w:val="10"/>
                <w:szCs w:val="10"/>
                <w:color w:val="auto"/>
              </w:rPr>
            </w:pPr>
          </w:p>
        </w:tc>
        <w:tc>
          <w:tcPr>
            <w:tcW w:w="280" w:type="dxa"/>
            <w:vAlign w:val="bottom"/>
            <w:tcBorders>
              <w:top w:val="single" w:sz="8" w:color="auto"/>
            </w:tcBorders>
            <w:shd w:val="clear" w:color="auto" w:fill="D2EEF5"/>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(475,121)</w:t>
            </w:r>
          </w:p>
        </w:tc>
        <w:tc>
          <w:tcPr>
            <w:tcW w:w="160" w:type="dxa"/>
            <w:vAlign w:val="bottom"/>
            <w:tcBorders>
              <w:top w:val="single" w:sz="8" w:color="D2EEF5"/>
            </w:tcBorders>
            <w:shd w:val="clear" w:color="auto" w:fill="D2EEF5"/>
          </w:tcPr>
          <w:p>
            <w:pPr>
              <w:spacing w:after="0"/>
              <w:rPr>
                <w:sz w:val="10"/>
                <w:szCs w:val="10"/>
                <w:color w:val="auto"/>
              </w:rPr>
            </w:pPr>
          </w:p>
        </w:tc>
        <w:tc>
          <w:tcPr>
            <w:tcW w:w="340" w:type="dxa"/>
            <w:vAlign w:val="bottom"/>
            <w:tcBorders>
              <w:top w:val="single" w:sz="8" w:color="auto"/>
            </w:tcBorders>
            <w:shd w:val="clear" w:color="auto" w:fill="D2EEF5"/>
          </w:tcPr>
          <w:p>
            <w:pPr>
              <w:jc w:val="right"/>
              <w:ind w:right="199"/>
              <w:spacing w:after="0" w:line="117" w:lineRule="exact"/>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b w:val="1"/>
                <w:bCs w:val="1"/>
                <w:color w:val="auto"/>
              </w:rPr>
              <w:t>41,505</w:t>
            </w: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2"/>
                <w:szCs w:val="12"/>
                <w:color w:val="auto"/>
              </w:rPr>
              <w:t>Shares issued to Allseas</w:t>
            </w: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15,000,000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15,910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15,910</w:t>
            </w:r>
          </w:p>
        </w:tc>
        <w:tc>
          <w:tcPr>
            <w:tcW w:w="0" w:type="dxa"/>
            <w:vAlign w:val="bottom"/>
          </w:tcPr>
          <w:p>
            <w:pPr>
              <w:spacing w:after="0"/>
              <w:rPr>
                <w:sz w:val="1"/>
                <w:szCs w:val="1"/>
                <w:color w:val="auto"/>
              </w:rPr>
            </w:pPr>
          </w:p>
        </w:tc>
      </w:tr>
      <w:tr>
        <w:trPr>
          <w:trHeight w:val="126"/>
        </w:trPr>
        <w:tc>
          <w:tcPr>
            <w:tcW w:w="3400" w:type="dxa"/>
            <w:vAlign w:val="bottom"/>
            <w:gridSpan w:val="2"/>
            <w:shd w:val="clear" w:color="auto" w:fill="D2EEF5"/>
          </w:tcPr>
          <w:p>
            <w:pPr>
              <w:spacing w:after="0" w:line="126" w:lineRule="exact"/>
              <w:rPr>
                <w:sz w:val="20"/>
                <w:szCs w:val="20"/>
                <w:color w:val="auto"/>
              </w:rPr>
            </w:pPr>
            <w:r>
              <w:rPr>
                <w:rFonts w:ascii="Arial" w:cs="Arial" w:eastAsia="Arial" w:hAnsi="Arial"/>
                <w:sz w:val="12"/>
                <w:szCs w:val="12"/>
                <w:color w:val="auto"/>
              </w:rPr>
              <w:t>Exercise of warrant by Allseas</w:t>
            </w: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11,578,620</w:t>
            </w:r>
          </w:p>
        </w:tc>
        <w:tc>
          <w:tcPr>
            <w:tcW w:w="160" w:type="dxa"/>
            <w:vAlign w:val="bottom"/>
            <w:shd w:val="clear" w:color="auto" w:fill="D2EEF5"/>
          </w:tcPr>
          <w:p>
            <w:pPr>
              <w:spacing w:after="0"/>
              <w:rPr>
                <w:sz w:val="10"/>
                <w:szCs w:val="10"/>
                <w:color w:val="auto"/>
              </w:rPr>
            </w:pPr>
          </w:p>
        </w:tc>
        <w:tc>
          <w:tcPr>
            <w:tcW w:w="100" w:type="dxa"/>
            <w:vAlign w:val="bottom"/>
            <w:shd w:val="clear" w:color="auto" w:fill="D2EEF5"/>
          </w:tcPr>
          <w:p>
            <w:pPr>
              <w:spacing w:after="0"/>
              <w:rPr>
                <w:sz w:val="10"/>
                <w:szCs w:val="10"/>
                <w:color w:val="auto"/>
              </w:rPr>
            </w:pP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70,016</w:t>
            </w:r>
          </w:p>
        </w:tc>
        <w:tc>
          <w:tcPr>
            <w:tcW w:w="1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94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(69,900)</w:t>
            </w:r>
          </w:p>
        </w:tc>
        <w:tc>
          <w:tcPr>
            <w:tcW w:w="80" w:type="dxa"/>
            <w:vAlign w:val="bottom"/>
            <w:shd w:val="clear" w:color="auto" w:fill="D2EEF5"/>
          </w:tcPr>
          <w:p>
            <w:pPr>
              <w:spacing w:after="0"/>
              <w:rPr>
                <w:sz w:val="10"/>
                <w:szCs w:val="10"/>
                <w:color w:val="auto"/>
              </w:rPr>
            </w:pPr>
          </w:p>
        </w:tc>
        <w:tc>
          <w:tcPr>
            <w:tcW w:w="80" w:type="dxa"/>
            <w:vAlign w:val="bottom"/>
            <w:shd w:val="clear" w:color="auto" w:fill="D2EEF5"/>
          </w:tcPr>
          <w:p>
            <w:pPr>
              <w:spacing w:after="0"/>
              <w:rPr>
                <w:sz w:val="10"/>
                <w:szCs w:val="10"/>
                <w:color w:val="auto"/>
              </w:rPr>
            </w:pPr>
          </w:p>
        </w:tc>
        <w:tc>
          <w:tcPr>
            <w:tcW w:w="200" w:type="dxa"/>
            <w:vAlign w:val="bottom"/>
            <w:shd w:val="clear" w:color="auto" w:fill="D2EEF5"/>
          </w:tcPr>
          <w:p>
            <w:pPr>
              <w:spacing w:after="0"/>
              <w:rPr>
                <w:sz w:val="10"/>
                <w:szCs w:val="10"/>
                <w:color w:val="auto"/>
              </w:rPr>
            </w:pPr>
          </w:p>
        </w:tc>
        <w:tc>
          <w:tcPr>
            <w:tcW w:w="1340" w:type="dxa"/>
            <w:vAlign w:val="bottom"/>
            <w:gridSpan w:val="2"/>
            <w:shd w:val="clear" w:color="auto" w:fill="D2EEF5"/>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10"/>
                <w:szCs w:val="10"/>
                <w:color w:val="auto"/>
              </w:rPr>
            </w:pPr>
          </w:p>
        </w:tc>
        <w:tc>
          <w:tcPr>
            <w:tcW w:w="280" w:type="dxa"/>
            <w:vAlign w:val="bottom"/>
            <w:shd w:val="clear" w:color="auto" w:fill="D2EEF5"/>
          </w:tcPr>
          <w:p>
            <w:pPr>
              <w:spacing w:after="0"/>
              <w:rPr>
                <w:sz w:val="10"/>
                <w:szCs w:val="10"/>
                <w:color w:val="auto"/>
              </w:rPr>
            </w:pPr>
          </w:p>
        </w:tc>
        <w:tc>
          <w:tcPr>
            <w:tcW w:w="860" w:type="dxa"/>
            <w:vAlign w:val="bottom"/>
            <w:gridSpan w:val="2"/>
            <w:shd w:val="clear" w:color="auto" w:fill="D2EEF5"/>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shd w:val="clear" w:color="auto" w:fill="D2EEF5"/>
          </w:tcPr>
          <w:p>
            <w:pPr>
              <w:spacing w:after="0"/>
              <w:rPr>
                <w:sz w:val="10"/>
                <w:szCs w:val="10"/>
                <w:color w:val="auto"/>
              </w:rPr>
            </w:pPr>
          </w:p>
        </w:tc>
        <w:tc>
          <w:tcPr>
            <w:tcW w:w="68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03"/>
        </w:trPr>
        <w:tc>
          <w:tcPr>
            <w:tcW w:w="3400" w:type="dxa"/>
            <w:vAlign w:val="bottom"/>
            <w:gridSpan w:val="2"/>
          </w:tcPr>
          <w:p>
            <w:pPr>
              <w:spacing w:after="0" w:line="103" w:lineRule="exact"/>
              <w:rPr>
                <w:sz w:val="20"/>
                <w:szCs w:val="20"/>
                <w:color w:val="auto"/>
              </w:rPr>
            </w:pPr>
            <w:r>
              <w:rPr>
                <w:rFonts w:ascii="Arial" w:cs="Arial" w:eastAsia="Arial" w:hAnsi="Arial"/>
                <w:sz w:val="11"/>
                <w:szCs w:val="11"/>
                <w:color w:val="auto"/>
              </w:rPr>
              <w:t>Shares and warrants issued under Registered Direct Offering, net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7,961,540</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11,420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3,179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14,599</w:t>
            </w:r>
          </w:p>
        </w:tc>
        <w:tc>
          <w:tcPr>
            <w:tcW w:w="0" w:type="dxa"/>
            <w:vAlign w:val="bottom"/>
          </w:tcPr>
          <w:p>
            <w:pPr>
              <w:spacing w:after="0"/>
              <w:rPr>
                <w:sz w:val="1"/>
                <w:szCs w:val="1"/>
                <w:color w:val="auto"/>
              </w:rPr>
            </w:pPr>
          </w:p>
        </w:tc>
      </w:tr>
      <w:tr>
        <w:trPr>
          <w:trHeight w:val="149"/>
        </w:trPr>
        <w:tc>
          <w:tcPr>
            <w:tcW w:w="3400" w:type="dxa"/>
            <w:vAlign w:val="bottom"/>
            <w:gridSpan w:val="2"/>
          </w:tcPr>
          <w:p>
            <w:pPr>
              <w:ind w:left="120"/>
              <w:spacing w:after="0"/>
              <w:rPr>
                <w:sz w:val="20"/>
                <w:szCs w:val="20"/>
                <w:color w:val="auto"/>
              </w:rPr>
            </w:pPr>
            <w:r>
              <w:rPr>
                <w:rFonts w:ascii="Arial" w:cs="Arial" w:eastAsia="Arial" w:hAnsi="Arial"/>
                <w:sz w:val="12"/>
                <w:szCs w:val="12"/>
                <w:color w:val="auto"/>
              </w:rPr>
              <w:t>of expenses</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400" w:type="dxa"/>
            <w:vAlign w:val="bottom"/>
            <w:gridSpan w:val="2"/>
            <w:shd w:val="clear" w:color="auto" w:fill="D2EEF5"/>
          </w:tcPr>
          <w:p>
            <w:pPr>
              <w:spacing w:after="0" w:line="103" w:lineRule="exact"/>
              <w:rPr>
                <w:sz w:val="20"/>
                <w:szCs w:val="20"/>
                <w:color w:val="auto"/>
              </w:rPr>
            </w:pPr>
            <w:r>
              <w:rPr>
                <w:rFonts w:ascii="Arial" w:cs="Arial" w:eastAsia="Arial" w:hAnsi="Arial"/>
                <w:sz w:val="11"/>
                <w:szCs w:val="11"/>
                <w:color w:val="auto"/>
              </w:rPr>
              <w:t>Conversion of restricted share units, net of shares withheld for</w:t>
            </w:r>
          </w:p>
        </w:tc>
        <w:tc>
          <w:tcPr>
            <w:tcW w:w="90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4,912,747</w:t>
            </w:r>
          </w:p>
        </w:tc>
        <w:tc>
          <w:tcPr>
            <w:tcW w:w="160" w:type="dxa"/>
            <w:vAlign w:val="bottom"/>
            <w:shd w:val="clear" w:color="auto" w:fill="D2EEF5"/>
          </w:tcPr>
          <w:p>
            <w:pPr>
              <w:spacing w:after="0"/>
              <w:rPr>
                <w:sz w:val="8"/>
                <w:szCs w:val="8"/>
                <w:color w:val="auto"/>
              </w:rPr>
            </w:pPr>
          </w:p>
        </w:tc>
        <w:tc>
          <w:tcPr>
            <w:tcW w:w="100" w:type="dxa"/>
            <w:vAlign w:val="bottom"/>
            <w:shd w:val="clear" w:color="auto" w:fill="D2EEF5"/>
          </w:tcPr>
          <w:p>
            <w:pPr>
              <w:spacing w:after="0"/>
              <w:rPr>
                <w:sz w:val="8"/>
                <w:szCs w:val="8"/>
                <w:color w:val="auto"/>
              </w:rPr>
            </w:pPr>
          </w:p>
        </w:tc>
        <w:tc>
          <w:tcPr>
            <w:tcW w:w="90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7,720</w:t>
            </w:r>
          </w:p>
        </w:tc>
        <w:tc>
          <w:tcPr>
            <w:tcW w:w="160" w:type="dxa"/>
            <w:vAlign w:val="bottom"/>
            <w:shd w:val="clear" w:color="auto" w:fill="D2EEF5"/>
          </w:tcPr>
          <w:p>
            <w:pPr>
              <w:spacing w:after="0"/>
              <w:rPr>
                <w:sz w:val="8"/>
                <w:szCs w:val="8"/>
                <w:color w:val="auto"/>
              </w:rPr>
            </w:pPr>
          </w:p>
        </w:tc>
        <w:tc>
          <w:tcPr>
            <w:tcW w:w="140" w:type="dxa"/>
            <w:vAlign w:val="bottom"/>
            <w:shd w:val="clear" w:color="auto" w:fill="D2EEF5"/>
          </w:tcPr>
          <w:p>
            <w:pPr>
              <w:spacing w:after="0"/>
              <w:rPr>
                <w:sz w:val="8"/>
                <w:szCs w:val="8"/>
                <w:color w:val="auto"/>
              </w:rPr>
            </w:pPr>
          </w:p>
        </w:tc>
        <w:tc>
          <w:tcPr>
            <w:tcW w:w="94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(7,690)</w:t>
            </w:r>
          </w:p>
        </w:tc>
        <w:tc>
          <w:tcPr>
            <w:tcW w:w="8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200" w:type="dxa"/>
            <w:vAlign w:val="bottom"/>
            <w:shd w:val="clear" w:color="auto" w:fill="D2EEF5"/>
          </w:tcPr>
          <w:p>
            <w:pPr>
              <w:spacing w:after="0"/>
              <w:rPr>
                <w:sz w:val="8"/>
                <w:szCs w:val="8"/>
                <w:color w:val="auto"/>
              </w:rPr>
            </w:pPr>
          </w:p>
        </w:tc>
        <w:tc>
          <w:tcPr>
            <w:tcW w:w="1340" w:type="dxa"/>
            <w:vAlign w:val="bottom"/>
            <w:gridSpan w:val="2"/>
            <w:vMerge w:val="restart"/>
            <w:shd w:val="clear" w:color="auto" w:fill="D2EEF5"/>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8"/>
                <w:szCs w:val="8"/>
                <w:color w:val="auto"/>
              </w:rPr>
            </w:pPr>
          </w:p>
        </w:tc>
        <w:tc>
          <w:tcPr>
            <w:tcW w:w="280" w:type="dxa"/>
            <w:vAlign w:val="bottom"/>
            <w:shd w:val="clear" w:color="auto" w:fill="D2EEF5"/>
          </w:tcPr>
          <w:p>
            <w:pPr>
              <w:spacing w:after="0"/>
              <w:rPr>
                <w:sz w:val="8"/>
                <w:szCs w:val="8"/>
                <w:color w:val="auto"/>
              </w:rPr>
            </w:pPr>
          </w:p>
        </w:tc>
        <w:tc>
          <w:tcPr>
            <w:tcW w:w="860" w:type="dxa"/>
            <w:vAlign w:val="bottom"/>
            <w:gridSpan w:val="2"/>
            <w:vMerge w:val="restart"/>
            <w:shd w:val="clear" w:color="auto" w:fill="D2EEF5"/>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D2EEF5"/>
          </w:tcPr>
          <w:p>
            <w:pPr>
              <w:spacing w:after="0"/>
              <w:rPr>
                <w:sz w:val="8"/>
                <w:szCs w:val="8"/>
                <w:color w:val="auto"/>
              </w:rPr>
            </w:pPr>
          </w:p>
        </w:tc>
        <w:tc>
          <w:tcPr>
            <w:tcW w:w="68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D2EEF5"/>
          </w:tcPr>
          <w:p>
            <w:pPr>
              <w:ind w:left="120"/>
              <w:spacing w:after="0"/>
              <w:rPr>
                <w:sz w:val="20"/>
                <w:szCs w:val="20"/>
                <w:color w:val="auto"/>
              </w:rPr>
            </w:pPr>
            <w:r>
              <w:rPr>
                <w:rFonts w:ascii="Arial" w:cs="Arial" w:eastAsia="Arial" w:hAnsi="Arial"/>
                <w:sz w:val="12"/>
                <w:szCs w:val="12"/>
                <w:color w:val="auto"/>
              </w:rPr>
              <w:t>taxes</w:t>
            </w:r>
          </w:p>
        </w:tc>
        <w:tc>
          <w:tcPr>
            <w:tcW w:w="900" w:type="dxa"/>
            <w:vAlign w:val="bottom"/>
            <w:vMerge w:val="continue"/>
            <w:shd w:val="clear" w:color="auto" w:fill="D2EEF5"/>
          </w:tcPr>
          <w:p>
            <w:pPr>
              <w:spacing w:after="0"/>
              <w:rPr>
                <w:sz w:val="12"/>
                <w:szCs w:val="12"/>
                <w:color w:val="auto"/>
              </w:rPr>
            </w:pPr>
          </w:p>
        </w:tc>
        <w:tc>
          <w:tcPr>
            <w:tcW w:w="160" w:type="dxa"/>
            <w:vAlign w:val="bottom"/>
            <w:shd w:val="clear" w:color="auto" w:fill="D2EEF5"/>
          </w:tcPr>
          <w:p>
            <w:pPr>
              <w:spacing w:after="0"/>
              <w:rPr>
                <w:sz w:val="12"/>
                <w:szCs w:val="12"/>
                <w:color w:val="auto"/>
              </w:rPr>
            </w:pPr>
          </w:p>
        </w:tc>
        <w:tc>
          <w:tcPr>
            <w:tcW w:w="100" w:type="dxa"/>
            <w:vAlign w:val="bottom"/>
            <w:shd w:val="clear" w:color="auto" w:fill="D2EEF5"/>
          </w:tcPr>
          <w:p>
            <w:pPr>
              <w:spacing w:after="0"/>
              <w:rPr>
                <w:sz w:val="12"/>
                <w:szCs w:val="12"/>
                <w:color w:val="auto"/>
              </w:rPr>
            </w:pPr>
          </w:p>
        </w:tc>
        <w:tc>
          <w:tcPr>
            <w:tcW w:w="900" w:type="dxa"/>
            <w:vAlign w:val="bottom"/>
            <w:vMerge w:val="continue"/>
            <w:shd w:val="clear" w:color="auto" w:fill="D2EEF5"/>
          </w:tcPr>
          <w:p>
            <w:pPr>
              <w:spacing w:after="0"/>
              <w:rPr>
                <w:sz w:val="12"/>
                <w:szCs w:val="12"/>
                <w:color w:val="auto"/>
              </w:rPr>
            </w:pPr>
          </w:p>
        </w:tc>
        <w:tc>
          <w:tcPr>
            <w:tcW w:w="160" w:type="dxa"/>
            <w:vAlign w:val="bottom"/>
            <w:shd w:val="clear" w:color="auto" w:fill="D2EEF5"/>
          </w:tcPr>
          <w:p>
            <w:pPr>
              <w:spacing w:after="0"/>
              <w:rPr>
                <w:sz w:val="12"/>
                <w:szCs w:val="12"/>
                <w:color w:val="auto"/>
              </w:rPr>
            </w:pPr>
          </w:p>
        </w:tc>
        <w:tc>
          <w:tcPr>
            <w:tcW w:w="140" w:type="dxa"/>
            <w:vAlign w:val="bottom"/>
            <w:shd w:val="clear" w:color="auto" w:fill="D2EEF5"/>
          </w:tcPr>
          <w:p>
            <w:pPr>
              <w:spacing w:after="0"/>
              <w:rPr>
                <w:sz w:val="12"/>
                <w:szCs w:val="12"/>
                <w:color w:val="auto"/>
              </w:rPr>
            </w:pPr>
          </w:p>
        </w:tc>
        <w:tc>
          <w:tcPr>
            <w:tcW w:w="940" w:type="dxa"/>
            <w:vAlign w:val="bottom"/>
            <w:vMerge w:val="continue"/>
            <w:shd w:val="clear" w:color="auto" w:fill="D2EEF5"/>
          </w:tcPr>
          <w:p>
            <w:pPr>
              <w:spacing w:after="0"/>
              <w:rPr>
                <w:sz w:val="12"/>
                <w:szCs w:val="12"/>
                <w:color w:val="auto"/>
              </w:rPr>
            </w:pPr>
          </w:p>
        </w:tc>
        <w:tc>
          <w:tcPr>
            <w:tcW w:w="80" w:type="dxa"/>
            <w:vAlign w:val="bottom"/>
            <w:shd w:val="clear" w:color="auto" w:fill="D2EEF5"/>
          </w:tcPr>
          <w:p>
            <w:pPr>
              <w:spacing w:after="0"/>
              <w:rPr>
                <w:sz w:val="12"/>
                <w:szCs w:val="12"/>
                <w:color w:val="auto"/>
              </w:rPr>
            </w:pPr>
          </w:p>
        </w:tc>
        <w:tc>
          <w:tcPr>
            <w:tcW w:w="80" w:type="dxa"/>
            <w:vAlign w:val="bottom"/>
            <w:shd w:val="clear" w:color="auto" w:fill="D2EEF5"/>
          </w:tcPr>
          <w:p>
            <w:pPr>
              <w:spacing w:after="0"/>
              <w:rPr>
                <w:sz w:val="12"/>
                <w:szCs w:val="12"/>
                <w:color w:val="auto"/>
              </w:rPr>
            </w:pPr>
          </w:p>
        </w:tc>
        <w:tc>
          <w:tcPr>
            <w:tcW w:w="200" w:type="dxa"/>
            <w:vAlign w:val="bottom"/>
            <w:shd w:val="clear" w:color="auto" w:fill="D2EEF5"/>
          </w:tcPr>
          <w:p>
            <w:pPr>
              <w:spacing w:after="0"/>
              <w:rPr>
                <w:sz w:val="12"/>
                <w:szCs w:val="12"/>
                <w:color w:val="auto"/>
              </w:rPr>
            </w:pPr>
          </w:p>
        </w:tc>
        <w:tc>
          <w:tcPr>
            <w:tcW w:w="1340" w:type="dxa"/>
            <w:vAlign w:val="bottom"/>
            <w:gridSpan w:val="2"/>
            <w:vMerge w:val="continue"/>
            <w:shd w:val="clear" w:color="auto" w:fill="D2EEF5"/>
          </w:tcPr>
          <w:p>
            <w:pPr>
              <w:spacing w:after="0"/>
              <w:rPr>
                <w:sz w:val="12"/>
                <w:szCs w:val="12"/>
                <w:color w:val="auto"/>
              </w:rPr>
            </w:pPr>
          </w:p>
        </w:tc>
        <w:tc>
          <w:tcPr>
            <w:tcW w:w="80" w:type="dxa"/>
            <w:vAlign w:val="bottom"/>
            <w:shd w:val="clear" w:color="auto" w:fill="D2EEF5"/>
          </w:tcPr>
          <w:p>
            <w:pPr>
              <w:spacing w:after="0"/>
              <w:rPr>
                <w:sz w:val="12"/>
                <w:szCs w:val="12"/>
                <w:color w:val="auto"/>
              </w:rPr>
            </w:pPr>
          </w:p>
        </w:tc>
        <w:tc>
          <w:tcPr>
            <w:tcW w:w="280" w:type="dxa"/>
            <w:vAlign w:val="bottom"/>
            <w:shd w:val="clear" w:color="auto" w:fill="D2EEF5"/>
          </w:tcPr>
          <w:p>
            <w:pPr>
              <w:spacing w:after="0"/>
              <w:rPr>
                <w:sz w:val="12"/>
                <w:szCs w:val="12"/>
                <w:color w:val="auto"/>
              </w:rPr>
            </w:pPr>
          </w:p>
        </w:tc>
        <w:tc>
          <w:tcPr>
            <w:tcW w:w="860" w:type="dxa"/>
            <w:vAlign w:val="bottom"/>
            <w:gridSpan w:val="2"/>
            <w:vMerge w:val="continue"/>
            <w:shd w:val="clear" w:color="auto" w:fill="D2EEF5"/>
          </w:tcPr>
          <w:p>
            <w:pPr>
              <w:spacing w:after="0"/>
              <w:rPr>
                <w:sz w:val="12"/>
                <w:szCs w:val="12"/>
                <w:color w:val="auto"/>
              </w:rPr>
            </w:pPr>
          </w:p>
        </w:tc>
        <w:tc>
          <w:tcPr>
            <w:tcW w:w="340" w:type="dxa"/>
            <w:vAlign w:val="bottom"/>
            <w:shd w:val="clear" w:color="auto" w:fill="D2EEF5"/>
          </w:tcPr>
          <w:p>
            <w:pPr>
              <w:spacing w:after="0"/>
              <w:rPr>
                <w:sz w:val="12"/>
                <w:szCs w:val="12"/>
                <w:color w:val="auto"/>
              </w:rPr>
            </w:pPr>
          </w:p>
        </w:tc>
        <w:tc>
          <w:tcPr>
            <w:tcW w:w="680" w:type="dxa"/>
            <w:vAlign w:val="bottom"/>
            <w:vMerge w:val="continue"/>
            <w:shd w:val="clear" w:color="auto" w:fill="D2EEF5"/>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2"/>
                <w:szCs w:val="12"/>
                <w:color w:val="auto"/>
              </w:rPr>
              <w:t>Share purchase under Employee Share Purchase Plan</w:t>
            </w: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173,672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147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(45)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26"/>
        </w:trPr>
        <w:tc>
          <w:tcPr>
            <w:tcW w:w="3400" w:type="dxa"/>
            <w:vAlign w:val="bottom"/>
            <w:gridSpan w:val="2"/>
            <w:shd w:val="clear" w:color="auto" w:fill="D2EEF5"/>
          </w:tcPr>
          <w:p>
            <w:pPr>
              <w:spacing w:after="0" w:line="126" w:lineRule="exact"/>
              <w:rPr>
                <w:sz w:val="20"/>
                <w:szCs w:val="20"/>
                <w:color w:val="auto"/>
              </w:rPr>
            </w:pPr>
            <w:r>
              <w:rPr>
                <w:rFonts w:ascii="Arial" w:cs="Arial" w:eastAsia="Arial" w:hAnsi="Arial"/>
                <w:sz w:val="12"/>
                <w:szCs w:val="12"/>
                <w:color w:val="auto"/>
              </w:rPr>
              <w:t>Exercise of stock options</w:t>
            </w: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120,000</w:t>
            </w:r>
          </w:p>
        </w:tc>
        <w:tc>
          <w:tcPr>
            <w:tcW w:w="160" w:type="dxa"/>
            <w:vAlign w:val="bottom"/>
            <w:shd w:val="clear" w:color="auto" w:fill="D2EEF5"/>
          </w:tcPr>
          <w:p>
            <w:pPr>
              <w:spacing w:after="0"/>
              <w:rPr>
                <w:sz w:val="10"/>
                <w:szCs w:val="10"/>
                <w:color w:val="auto"/>
              </w:rPr>
            </w:pPr>
          </w:p>
        </w:tc>
        <w:tc>
          <w:tcPr>
            <w:tcW w:w="100" w:type="dxa"/>
            <w:vAlign w:val="bottom"/>
            <w:shd w:val="clear" w:color="auto" w:fill="D2EEF5"/>
          </w:tcPr>
          <w:p>
            <w:pPr>
              <w:spacing w:after="0"/>
              <w:rPr>
                <w:sz w:val="10"/>
                <w:szCs w:val="10"/>
                <w:color w:val="auto"/>
              </w:rPr>
            </w:pP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144</w:t>
            </w:r>
          </w:p>
        </w:tc>
        <w:tc>
          <w:tcPr>
            <w:tcW w:w="1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94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(67)</w:t>
            </w:r>
          </w:p>
        </w:tc>
        <w:tc>
          <w:tcPr>
            <w:tcW w:w="80" w:type="dxa"/>
            <w:vAlign w:val="bottom"/>
            <w:shd w:val="clear" w:color="auto" w:fill="D2EEF5"/>
          </w:tcPr>
          <w:p>
            <w:pPr>
              <w:spacing w:after="0"/>
              <w:rPr>
                <w:sz w:val="10"/>
                <w:szCs w:val="10"/>
                <w:color w:val="auto"/>
              </w:rPr>
            </w:pPr>
          </w:p>
        </w:tc>
        <w:tc>
          <w:tcPr>
            <w:tcW w:w="80" w:type="dxa"/>
            <w:vAlign w:val="bottom"/>
            <w:shd w:val="clear" w:color="auto" w:fill="D2EEF5"/>
          </w:tcPr>
          <w:p>
            <w:pPr>
              <w:spacing w:after="0"/>
              <w:rPr>
                <w:sz w:val="10"/>
                <w:szCs w:val="10"/>
                <w:color w:val="auto"/>
              </w:rPr>
            </w:pPr>
          </w:p>
        </w:tc>
        <w:tc>
          <w:tcPr>
            <w:tcW w:w="200" w:type="dxa"/>
            <w:vAlign w:val="bottom"/>
            <w:shd w:val="clear" w:color="auto" w:fill="D2EEF5"/>
          </w:tcPr>
          <w:p>
            <w:pPr>
              <w:spacing w:after="0"/>
              <w:rPr>
                <w:sz w:val="10"/>
                <w:szCs w:val="10"/>
                <w:color w:val="auto"/>
              </w:rPr>
            </w:pPr>
          </w:p>
        </w:tc>
        <w:tc>
          <w:tcPr>
            <w:tcW w:w="1340" w:type="dxa"/>
            <w:vAlign w:val="bottom"/>
            <w:gridSpan w:val="2"/>
            <w:shd w:val="clear" w:color="auto" w:fill="D2EEF5"/>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10"/>
                <w:szCs w:val="10"/>
                <w:color w:val="auto"/>
              </w:rPr>
            </w:pPr>
          </w:p>
        </w:tc>
        <w:tc>
          <w:tcPr>
            <w:tcW w:w="280" w:type="dxa"/>
            <w:vAlign w:val="bottom"/>
            <w:shd w:val="clear" w:color="auto" w:fill="D2EEF5"/>
          </w:tcPr>
          <w:p>
            <w:pPr>
              <w:spacing w:after="0"/>
              <w:rPr>
                <w:sz w:val="10"/>
                <w:szCs w:val="10"/>
                <w:color w:val="auto"/>
              </w:rPr>
            </w:pPr>
          </w:p>
        </w:tc>
        <w:tc>
          <w:tcPr>
            <w:tcW w:w="860" w:type="dxa"/>
            <w:vAlign w:val="bottom"/>
            <w:gridSpan w:val="2"/>
            <w:shd w:val="clear" w:color="auto" w:fill="D2EEF5"/>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shd w:val="clear" w:color="auto" w:fill="D2EEF5"/>
          </w:tcPr>
          <w:p>
            <w:pPr>
              <w:spacing w:after="0"/>
              <w:rPr>
                <w:sz w:val="10"/>
                <w:szCs w:val="10"/>
                <w:color w:val="auto"/>
              </w:rPr>
            </w:pPr>
          </w:p>
        </w:tc>
        <w:tc>
          <w:tcPr>
            <w:tcW w:w="68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2"/>
                <w:szCs w:val="12"/>
                <w:color w:val="auto"/>
              </w:rPr>
              <w:t>Share-based compensation and expenses settled with equity</w:t>
            </w: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12,360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200"/>
              <w:spacing w:after="0" w:line="126"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12,360</w:t>
            </w:r>
          </w:p>
        </w:tc>
        <w:tc>
          <w:tcPr>
            <w:tcW w:w="0" w:type="dxa"/>
            <w:vAlign w:val="bottom"/>
          </w:tcPr>
          <w:p>
            <w:pPr>
              <w:spacing w:after="0"/>
              <w:rPr>
                <w:sz w:val="1"/>
                <w:szCs w:val="1"/>
                <w:color w:val="auto"/>
              </w:rPr>
            </w:pPr>
          </w:p>
        </w:tc>
      </w:tr>
      <w:tr>
        <w:trPr>
          <w:trHeight w:val="126"/>
        </w:trPr>
        <w:tc>
          <w:tcPr>
            <w:tcW w:w="3400" w:type="dxa"/>
            <w:vAlign w:val="bottom"/>
            <w:gridSpan w:val="2"/>
            <w:shd w:val="clear" w:color="auto" w:fill="D2EEF5"/>
          </w:tcPr>
          <w:p>
            <w:pPr>
              <w:spacing w:after="0" w:line="126" w:lineRule="exact"/>
              <w:rPr>
                <w:sz w:val="20"/>
                <w:szCs w:val="20"/>
                <w:color w:val="auto"/>
              </w:rPr>
            </w:pPr>
            <w:r>
              <w:rPr>
                <w:rFonts w:ascii="Arial" w:cs="Arial" w:eastAsia="Arial" w:hAnsi="Arial"/>
                <w:sz w:val="12"/>
                <w:szCs w:val="12"/>
                <w:color w:val="auto"/>
              </w:rPr>
              <w:t>Loss for the year</w:t>
            </w: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D2EEF5"/>
          </w:tcPr>
          <w:p>
            <w:pPr>
              <w:spacing w:after="0"/>
              <w:rPr>
                <w:sz w:val="10"/>
                <w:szCs w:val="10"/>
                <w:color w:val="auto"/>
              </w:rPr>
            </w:pPr>
          </w:p>
        </w:tc>
        <w:tc>
          <w:tcPr>
            <w:tcW w:w="100" w:type="dxa"/>
            <w:vAlign w:val="bottom"/>
            <w:shd w:val="clear" w:color="auto" w:fill="D2EEF5"/>
          </w:tcPr>
          <w:p>
            <w:pPr>
              <w:spacing w:after="0"/>
              <w:rPr>
                <w:sz w:val="10"/>
                <w:szCs w:val="10"/>
                <w:color w:val="auto"/>
              </w:rPr>
            </w:pPr>
          </w:p>
        </w:tc>
        <w:tc>
          <w:tcPr>
            <w:tcW w:w="90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94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10"/>
                <w:szCs w:val="10"/>
                <w:color w:val="auto"/>
              </w:rPr>
            </w:pPr>
          </w:p>
        </w:tc>
        <w:tc>
          <w:tcPr>
            <w:tcW w:w="80" w:type="dxa"/>
            <w:vAlign w:val="bottom"/>
            <w:shd w:val="clear" w:color="auto" w:fill="D2EEF5"/>
          </w:tcPr>
          <w:p>
            <w:pPr>
              <w:spacing w:after="0"/>
              <w:rPr>
                <w:sz w:val="10"/>
                <w:szCs w:val="10"/>
                <w:color w:val="auto"/>
              </w:rPr>
            </w:pPr>
          </w:p>
        </w:tc>
        <w:tc>
          <w:tcPr>
            <w:tcW w:w="200" w:type="dxa"/>
            <w:vAlign w:val="bottom"/>
            <w:shd w:val="clear" w:color="auto" w:fill="D2EEF5"/>
          </w:tcPr>
          <w:p>
            <w:pPr>
              <w:spacing w:after="0"/>
              <w:rPr>
                <w:sz w:val="10"/>
                <w:szCs w:val="10"/>
                <w:color w:val="auto"/>
              </w:rPr>
            </w:pPr>
          </w:p>
        </w:tc>
        <w:tc>
          <w:tcPr>
            <w:tcW w:w="1340" w:type="dxa"/>
            <w:vAlign w:val="bottom"/>
            <w:gridSpan w:val="2"/>
            <w:shd w:val="clear" w:color="auto" w:fill="D2EEF5"/>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D2EEF5"/>
          </w:tcPr>
          <w:p>
            <w:pPr>
              <w:spacing w:after="0"/>
              <w:rPr>
                <w:sz w:val="10"/>
                <w:szCs w:val="10"/>
                <w:color w:val="auto"/>
              </w:rPr>
            </w:pPr>
          </w:p>
        </w:tc>
        <w:tc>
          <w:tcPr>
            <w:tcW w:w="280" w:type="dxa"/>
            <w:vAlign w:val="bottom"/>
            <w:shd w:val="clear" w:color="auto" w:fill="D2EEF5"/>
          </w:tcPr>
          <w:p>
            <w:pPr>
              <w:spacing w:after="0"/>
              <w:rPr>
                <w:sz w:val="10"/>
                <w:szCs w:val="10"/>
                <w:color w:val="auto"/>
              </w:rPr>
            </w:pPr>
          </w:p>
        </w:tc>
        <w:tc>
          <w:tcPr>
            <w:tcW w:w="860" w:type="dxa"/>
            <w:vAlign w:val="bottom"/>
            <w:gridSpan w:val="2"/>
            <w:shd w:val="clear" w:color="auto" w:fill="D2EEF5"/>
          </w:tcPr>
          <w:p>
            <w:pPr>
              <w:jc w:val="right"/>
              <w:ind w:right="140"/>
              <w:spacing w:after="0" w:line="126" w:lineRule="exact"/>
              <w:rPr>
                <w:sz w:val="20"/>
                <w:szCs w:val="20"/>
                <w:color w:val="auto"/>
              </w:rPr>
            </w:pPr>
            <w:r>
              <w:rPr>
                <w:rFonts w:ascii="Arial" w:cs="Arial" w:eastAsia="Arial" w:hAnsi="Arial"/>
                <w:sz w:val="12"/>
                <w:szCs w:val="12"/>
                <w:color w:val="auto"/>
              </w:rPr>
              <w:t>(73,781)</w:t>
            </w:r>
          </w:p>
        </w:tc>
        <w:tc>
          <w:tcPr>
            <w:tcW w:w="340" w:type="dxa"/>
            <w:vAlign w:val="bottom"/>
            <w:shd w:val="clear" w:color="auto" w:fill="D2EEF5"/>
          </w:tcPr>
          <w:p>
            <w:pPr>
              <w:spacing w:after="0"/>
              <w:rPr>
                <w:sz w:val="10"/>
                <w:szCs w:val="10"/>
                <w:color w:val="auto"/>
              </w:rPr>
            </w:pPr>
          </w:p>
        </w:tc>
        <w:tc>
          <w:tcPr>
            <w:tcW w:w="680" w:type="dxa"/>
            <w:vAlign w:val="bottom"/>
            <w:shd w:val="clear" w:color="auto" w:fill="D2EEF5"/>
          </w:tcPr>
          <w:p>
            <w:pPr>
              <w:jc w:val="right"/>
              <w:spacing w:after="0" w:line="126" w:lineRule="exact"/>
              <w:rPr>
                <w:sz w:val="20"/>
                <w:szCs w:val="20"/>
                <w:color w:val="auto"/>
              </w:rPr>
            </w:pPr>
            <w:r>
              <w:rPr>
                <w:rFonts w:ascii="Arial" w:cs="Arial" w:eastAsia="Arial" w:hAnsi="Arial"/>
                <w:sz w:val="12"/>
                <w:szCs w:val="12"/>
                <w:color w:val="auto"/>
              </w:rPr>
              <w:t>(73,781)</w:t>
            </w:r>
          </w:p>
        </w:tc>
        <w:tc>
          <w:tcPr>
            <w:tcW w:w="0" w:type="dxa"/>
            <w:vAlign w:val="bottom"/>
          </w:tcPr>
          <w:p>
            <w:pPr>
              <w:spacing w:after="0"/>
              <w:rPr>
                <w:sz w:val="1"/>
                <w:szCs w:val="1"/>
                <w:color w:val="auto"/>
              </w:rPr>
            </w:pPr>
          </w:p>
        </w:tc>
      </w:tr>
      <w:tr>
        <w:trPr>
          <w:trHeight w:val="117"/>
        </w:trPr>
        <w:tc>
          <w:tcPr>
            <w:tcW w:w="34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December 31, 2023</w:t>
            </w:r>
          </w:p>
        </w:tc>
        <w:tc>
          <w:tcPr>
            <w:tcW w:w="9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306,558,710</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438,239</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122,797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(1,216)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(548,902)</w:t>
            </w:r>
          </w:p>
        </w:tc>
        <w:tc>
          <w:tcPr>
            <w:tcW w:w="16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ind w:right="199"/>
              <w:spacing w:after="0" w:line="117" w:lineRule="exact"/>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10,918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For the year ended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For the year ended</w:t>
            </w:r>
          </w:p>
        </w:tc>
        <w:tc>
          <w:tcPr>
            <w:tcW w:w="0" w:type="dxa"/>
            <w:vAlign w:val="bottom"/>
          </w:tcPr>
          <w:p>
            <w:pPr>
              <w:spacing w:after="0"/>
              <w:rPr>
                <w:sz w:val="1"/>
                <w:szCs w:val="1"/>
                <w:color w:val="auto"/>
              </w:rPr>
            </w:pPr>
          </w:p>
        </w:tc>
      </w:tr>
      <w:tr>
        <w:trPr>
          <w:trHeight w:val="126"/>
        </w:trPr>
        <w:tc>
          <w:tcPr>
            <w:tcW w:w="6100" w:type="dxa"/>
            <w:vAlign w:val="bottom"/>
          </w:tcPr>
          <w:p>
            <w:pPr>
              <w:spacing w:after="0"/>
              <w:rPr>
                <w:sz w:val="10"/>
                <w:szCs w:val="10"/>
                <w:color w:val="auto"/>
              </w:rPr>
            </w:pPr>
          </w:p>
        </w:tc>
        <w:tc>
          <w:tcPr>
            <w:tcW w:w="9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Note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2"/>
          </w:tcPr>
          <w:p>
            <w:pPr>
              <w:jc w:val="right"/>
              <w:ind w:right="300"/>
              <w:spacing w:after="0" w:line="126" w:lineRule="exact"/>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right"/>
              <w:ind w:right="5"/>
              <w:spacing w:after="0" w:line="12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6100" w:type="dxa"/>
            <w:vAlign w:val="bottom"/>
            <w:tcBorders>
              <w:bottom w:val="single" w:sz="8" w:color="D2EEF5"/>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D2EEF5"/>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bottom w:val="single" w:sz="8" w:color="D2EEF5"/>
            </w:tcBorders>
          </w:tcPr>
          <w:p>
            <w:pPr>
              <w:spacing w:after="0"/>
              <w:rPr>
                <w:sz w:val="12"/>
                <w:szCs w:val="12"/>
                <w:color w:val="auto"/>
              </w:rPr>
            </w:pPr>
          </w:p>
        </w:tc>
        <w:tc>
          <w:tcPr>
            <w:tcW w:w="20" w:type="dxa"/>
            <w:vAlign w:val="bottom"/>
            <w:tcBorders>
              <w:bottom w:val="single" w:sz="8" w:color="D2EEF5"/>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74"/>
        </w:trPr>
        <w:tc>
          <w:tcPr>
            <w:tcW w:w="61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Cash provided by (used in)</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Operating activities</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color w:val="auto"/>
              </w:rPr>
              <w:t>Loss for the year</w:t>
            </w:r>
          </w:p>
        </w:tc>
        <w:tc>
          <w:tcPr>
            <w:tcW w:w="940" w:type="dxa"/>
            <w:vAlign w:val="bottom"/>
          </w:tcPr>
          <w:p>
            <w:pPr>
              <w:spacing w:after="0"/>
              <w:rPr>
                <w:sz w:val="15"/>
                <w:szCs w:val="15"/>
                <w:color w:val="auto"/>
              </w:rPr>
            </w:pPr>
          </w:p>
        </w:tc>
        <w:tc>
          <w:tcPr>
            <w:tcW w:w="4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5"/>
                <w:szCs w:val="15"/>
                <w:color w:val="auto"/>
              </w:rPr>
              <w:t>(81,943)</w:t>
            </w:r>
          </w:p>
        </w:tc>
        <w:tc>
          <w:tcPr>
            <w:tcW w:w="320" w:type="dxa"/>
            <w:vAlign w:val="bottom"/>
            <w:gridSpan w:val="2"/>
          </w:tcPr>
          <w:p>
            <w:pPr>
              <w:jc w:val="right"/>
              <w:ind w:right="191"/>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(73,781)</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Items not affecting cash:</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Pr>
          <w:p>
            <w:pPr>
              <w:ind w:left="180"/>
              <w:spacing w:after="0"/>
              <w:rPr>
                <w:sz w:val="20"/>
                <w:szCs w:val="20"/>
                <w:color w:val="auto"/>
              </w:rPr>
            </w:pPr>
            <w:r>
              <w:rPr>
                <w:rFonts w:ascii="Arial" w:cs="Arial" w:eastAsia="Arial" w:hAnsi="Arial"/>
                <w:sz w:val="15"/>
                <w:szCs w:val="15"/>
                <w:color w:val="auto"/>
              </w:rPr>
              <w:t>Amortization</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362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ind w:left="180"/>
              <w:spacing w:after="0"/>
              <w:rPr>
                <w:sz w:val="20"/>
                <w:szCs w:val="20"/>
                <w:color w:val="auto"/>
              </w:rPr>
            </w:pPr>
            <w:r>
              <w:rPr>
                <w:rFonts w:ascii="Arial" w:cs="Arial" w:eastAsia="Arial" w:hAnsi="Arial"/>
                <w:sz w:val="15"/>
                <w:szCs w:val="15"/>
                <w:color w:val="auto"/>
              </w:rPr>
              <w:t>Lease Expense</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8</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1,907</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183"/>
        </w:trPr>
        <w:tc>
          <w:tcPr>
            <w:tcW w:w="6100" w:type="dxa"/>
            <w:vAlign w:val="bottom"/>
          </w:tcPr>
          <w:p>
            <w:pPr>
              <w:ind w:left="180"/>
              <w:spacing w:after="0"/>
              <w:rPr>
                <w:sz w:val="20"/>
                <w:szCs w:val="20"/>
                <w:color w:val="auto"/>
              </w:rPr>
            </w:pPr>
            <w:r>
              <w:rPr>
                <w:rFonts w:ascii="Arial" w:cs="Arial" w:eastAsia="Arial" w:hAnsi="Arial"/>
                <w:sz w:val="15"/>
                <w:szCs w:val="15"/>
                <w:color w:val="auto"/>
              </w:rPr>
              <w:t>Accrued interest on credit facilities</w:t>
            </w:r>
          </w:p>
        </w:tc>
        <w:tc>
          <w:tcPr>
            <w:tcW w:w="940" w:type="dxa"/>
            <w:vAlign w:val="bottom"/>
          </w:tcPr>
          <w:p>
            <w:pPr>
              <w:jc w:val="center"/>
              <w:spacing w:after="0"/>
              <w:rPr>
                <w:sz w:val="20"/>
                <w:szCs w:val="20"/>
                <w:color w:val="auto"/>
              </w:rPr>
            </w:pPr>
            <w:r>
              <w:rPr>
                <w:rFonts w:ascii="Arial" w:cs="Arial" w:eastAsia="Arial" w:hAnsi="Arial"/>
                <w:sz w:val="15"/>
                <w:szCs w:val="15"/>
                <w:color w:val="auto"/>
                <w:w w:val="89"/>
              </w:rPr>
              <w:t>8, 20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416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ind w:left="180"/>
              <w:spacing w:after="0"/>
              <w:rPr>
                <w:sz w:val="20"/>
                <w:szCs w:val="20"/>
                <w:color w:val="auto"/>
              </w:rPr>
            </w:pPr>
            <w:r>
              <w:rPr>
                <w:rFonts w:ascii="Arial" w:cs="Arial" w:eastAsia="Arial" w:hAnsi="Arial"/>
                <w:sz w:val="15"/>
                <w:szCs w:val="15"/>
                <w:color w:val="auto"/>
              </w:rPr>
              <w:t>Share-based compensation and expenses settled with equity</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17</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25,313</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12,360</w:t>
            </w:r>
          </w:p>
        </w:tc>
        <w:tc>
          <w:tcPr>
            <w:tcW w:w="0" w:type="dxa"/>
            <w:vAlign w:val="bottom"/>
          </w:tcPr>
          <w:p>
            <w:pPr>
              <w:spacing w:after="0"/>
              <w:rPr>
                <w:sz w:val="1"/>
                <w:szCs w:val="1"/>
                <w:color w:val="auto"/>
              </w:rPr>
            </w:pPr>
          </w:p>
        </w:tc>
      </w:tr>
      <w:tr>
        <w:trPr>
          <w:trHeight w:val="183"/>
        </w:trPr>
        <w:tc>
          <w:tcPr>
            <w:tcW w:w="6100" w:type="dxa"/>
            <w:vAlign w:val="bottom"/>
          </w:tcPr>
          <w:p>
            <w:pPr>
              <w:ind w:left="180"/>
              <w:spacing w:after="0"/>
              <w:rPr>
                <w:sz w:val="20"/>
                <w:szCs w:val="20"/>
                <w:color w:val="auto"/>
              </w:rPr>
            </w:pPr>
            <w:r>
              <w:rPr>
                <w:rFonts w:ascii="Arial" w:cs="Arial" w:eastAsia="Arial" w:hAnsi="Arial"/>
                <w:sz w:val="15"/>
                <w:szCs w:val="15"/>
                <w:color w:val="auto"/>
              </w:rPr>
              <w:t>Equity-accounted investment loss</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ind w:left="180"/>
              <w:spacing w:after="0"/>
              <w:rPr>
                <w:sz w:val="20"/>
                <w:szCs w:val="20"/>
                <w:color w:val="auto"/>
              </w:rPr>
            </w:pPr>
            <w:r>
              <w:rPr>
                <w:rFonts w:ascii="Arial" w:cs="Arial" w:eastAsia="Arial" w:hAnsi="Arial"/>
                <w:sz w:val="15"/>
                <w:szCs w:val="15"/>
                <w:color w:val="auto"/>
              </w:rPr>
              <w:t>Change in fair value of warrants liability</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15</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shd w:val="clear" w:color="auto" w:fill="D2EEF5"/>
          </w:tcPr>
          <w:p>
            <w:pPr>
              <w:jc w:val="right"/>
              <w:ind w:right="240"/>
              <w:spacing w:after="0"/>
              <w:rPr>
                <w:sz w:val="20"/>
                <w:szCs w:val="20"/>
                <w:color w:val="auto"/>
              </w:rPr>
            </w:pPr>
            <w:r>
              <w:rPr>
                <w:rFonts w:ascii="Arial" w:cs="Arial" w:eastAsia="Arial" w:hAnsi="Arial"/>
                <w:sz w:val="15"/>
                <w:szCs w:val="15"/>
                <w:color w:val="auto"/>
              </w:rPr>
              <w:t>(1,057)</w:t>
            </w: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986</w:t>
            </w:r>
          </w:p>
        </w:tc>
        <w:tc>
          <w:tcPr>
            <w:tcW w:w="0" w:type="dxa"/>
            <w:vAlign w:val="bottom"/>
          </w:tcPr>
          <w:p>
            <w:pPr>
              <w:spacing w:after="0"/>
              <w:rPr>
                <w:sz w:val="1"/>
                <w:szCs w:val="1"/>
                <w:color w:val="auto"/>
              </w:rPr>
            </w:pPr>
          </w:p>
        </w:tc>
      </w:tr>
      <w:tr>
        <w:trPr>
          <w:trHeight w:val="183"/>
        </w:trPr>
        <w:tc>
          <w:tcPr>
            <w:tcW w:w="6100" w:type="dxa"/>
            <w:vAlign w:val="bottom"/>
          </w:tcPr>
          <w:p>
            <w:pPr>
              <w:ind w:left="180"/>
              <w:spacing w:after="0"/>
              <w:rPr>
                <w:sz w:val="20"/>
                <w:szCs w:val="20"/>
                <w:color w:val="auto"/>
              </w:rPr>
            </w:pPr>
            <w:r>
              <w:rPr>
                <w:rFonts w:ascii="Arial" w:cs="Arial" w:eastAsia="Arial" w:hAnsi="Arial"/>
                <w:sz w:val="15"/>
                <w:szCs w:val="15"/>
                <w:color w:val="auto"/>
              </w:rPr>
              <w:t>Loss on termination of contract</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ind w:left="180"/>
              <w:spacing w:after="0"/>
              <w:rPr>
                <w:sz w:val="20"/>
                <w:szCs w:val="20"/>
                <w:color w:val="auto"/>
              </w:rPr>
            </w:pPr>
            <w:r>
              <w:rPr>
                <w:rFonts w:ascii="Arial" w:cs="Arial" w:eastAsia="Arial" w:hAnsi="Arial"/>
                <w:sz w:val="15"/>
                <w:szCs w:val="15"/>
                <w:color w:val="auto"/>
              </w:rPr>
              <w:t>Unrealized foreign exchange</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shd w:val="clear" w:color="auto" w:fill="D2EEF5"/>
          </w:tcPr>
          <w:p>
            <w:pPr>
              <w:jc w:val="right"/>
              <w:ind w:right="240"/>
              <w:spacing w:after="0"/>
              <w:rPr>
                <w:sz w:val="20"/>
                <w:szCs w:val="20"/>
                <w:color w:val="auto"/>
              </w:rPr>
            </w:pPr>
            <w:r>
              <w:rPr>
                <w:rFonts w:ascii="Arial" w:cs="Arial" w:eastAsia="Arial" w:hAnsi="Arial"/>
                <w:sz w:val="15"/>
                <w:szCs w:val="15"/>
                <w:color w:val="auto"/>
              </w:rPr>
              <w:t>(1,222)</w:t>
            </w: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3"/>
        </w:trPr>
        <w:tc>
          <w:tcPr>
            <w:tcW w:w="6100" w:type="dxa"/>
            <w:vAlign w:val="bottom"/>
          </w:tcPr>
          <w:p>
            <w:pPr>
              <w:ind w:left="180"/>
              <w:spacing w:after="0"/>
              <w:rPr>
                <w:sz w:val="20"/>
                <w:szCs w:val="20"/>
                <w:color w:val="auto"/>
              </w:rPr>
            </w:pPr>
            <w:r>
              <w:rPr>
                <w:rFonts w:ascii="Arial" w:cs="Arial" w:eastAsia="Arial" w:hAnsi="Arial"/>
                <w:sz w:val="15"/>
                <w:szCs w:val="15"/>
                <w:color w:val="auto"/>
              </w:rPr>
              <w:t>Interest paid on Short-Term Debt</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5"/>
                <w:szCs w:val="15"/>
                <w:color w:val="auto"/>
              </w:rPr>
              <w:t>(73)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Changes in working capital:</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Pr>
          <w:p>
            <w:pPr>
              <w:ind w:left="100"/>
              <w:spacing w:after="0"/>
              <w:rPr>
                <w:sz w:val="20"/>
                <w:szCs w:val="20"/>
                <w:color w:val="auto"/>
              </w:rPr>
            </w:pPr>
            <w:r>
              <w:rPr>
                <w:rFonts w:ascii="Arial" w:cs="Arial" w:eastAsia="Arial" w:hAnsi="Arial"/>
                <w:sz w:val="15"/>
                <w:szCs w:val="15"/>
                <w:color w:val="auto"/>
              </w:rPr>
              <w:t>Receivables and prepayments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748</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D2EEF5"/>
            </w:tcBorders>
            <w:shd w:val="clear" w:color="auto" w:fill="D2EEF5"/>
          </w:tcPr>
          <w:p>
            <w:pPr>
              <w:ind w:left="100"/>
              <w:spacing w:after="0"/>
              <w:rPr>
                <w:sz w:val="20"/>
                <w:szCs w:val="20"/>
                <w:color w:val="auto"/>
              </w:rPr>
            </w:pPr>
            <w:r>
              <w:rPr>
                <w:rFonts w:ascii="Arial" w:cs="Arial" w:eastAsia="Arial" w:hAnsi="Arial"/>
                <w:sz w:val="15"/>
                <w:szCs w:val="15"/>
                <w:color w:val="auto"/>
              </w:rPr>
              <w:t>Accounts payable and accrued liabilities</w:t>
            </w:r>
          </w:p>
        </w:tc>
        <w:tc>
          <w:tcPr>
            <w:tcW w:w="940" w:type="dxa"/>
            <w:vAlign w:val="bottom"/>
            <w:tcBorders>
              <w:bottom w:val="single" w:sz="8" w:color="D2EEF5"/>
            </w:tcBorders>
            <w:shd w:val="clear" w:color="auto" w:fill="D2EEF5"/>
          </w:tcPr>
          <w:p>
            <w:pPr>
              <w:spacing w:after="0"/>
              <w:rPr>
                <w:sz w:val="17"/>
                <w:szCs w:val="17"/>
                <w:color w:val="auto"/>
              </w:rPr>
            </w:pPr>
          </w:p>
        </w:tc>
        <w:tc>
          <w:tcPr>
            <w:tcW w:w="240" w:type="dxa"/>
            <w:vAlign w:val="bottom"/>
            <w:tcBorders>
              <w:bottom w:val="single" w:sz="8" w:color="D2EEF5"/>
            </w:tcBorders>
            <w:shd w:val="clear" w:color="auto" w:fill="D2EEF5"/>
          </w:tcPr>
          <w:p>
            <w:pPr>
              <w:spacing w:after="0"/>
              <w:rPr>
                <w:sz w:val="17"/>
                <w:szCs w:val="17"/>
                <w:color w:val="auto"/>
              </w:rPr>
            </w:pPr>
          </w:p>
        </w:tc>
        <w:tc>
          <w:tcPr>
            <w:tcW w:w="160" w:type="dxa"/>
            <w:vAlign w:val="bottom"/>
            <w:tcBorders>
              <w:bottom w:val="single" w:sz="8" w:color="auto"/>
            </w:tcBorders>
            <w:shd w:val="clear" w:color="auto" w:fill="D2EEF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12,277</w:t>
            </w:r>
          </w:p>
        </w:tc>
        <w:tc>
          <w:tcPr>
            <w:tcW w:w="240" w:type="dxa"/>
            <w:vAlign w:val="bottom"/>
            <w:tcBorders>
              <w:bottom w:val="single" w:sz="8" w:color="D2EEF5"/>
            </w:tcBorders>
            <w:shd w:val="clear" w:color="auto" w:fill="D2EEF5"/>
          </w:tcPr>
          <w:p>
            <w:pPr>
              <w:spacing w:after="0"/>
              <w:rPr>
                <w:sz w:val="17"/>
                <w:szCs w:val="17"/>
                <w:color w:val="auto"/>
              </w:rPr>
            </w:pPr>
          </w:p>
        </w:tc>
        <w:tc>
          <w:tcPr>
            <w:tcW w:w="20" w:type="dxa"/>
            <w:vAlign w:val="bottom"/>
            <w:tcBorders>
              <w:bottom w:val="single" w:sz="8" w:color="D2EEF5"/>
            </w:tcBorders>
            <w:shd w:val="clear" w:color="auto" w:fill="D2EEF5"/>
          </w:tcPr>
          <w:p>
            <w:pPr>
              <w:spacing w:after="0"/>
              <w:rPr>
                <w:sz w:val="17"/>
                <w:szCs w:val="17"/>
                <w:color w:val="auto"/>
              </w:rPr>
            </w:pPr>
          </w:p>
        </w:tc>
        <w:tc>
          <w:tcPr>
            <w:tcW w:w="300" w:type="dxa"/>
            <w:vAlign w:val="bottom"/>
            <w:tcBorders>
              <w:bottom w:val="single" w:sz="8" w:color="auto"/>
            </w:tcBorders>
            <w:shd w:val="clear" w:color="auto" w:fill="D2EEF5"/>
          </w:tcPr>
          <w:p>
            <w:pPr>
              <w:spacing w:after="0"/>
              <w:rPr>
                <w:sz w:val="17"/>
                <w:szCs w:val="17"/>
                <w:color w:val="auto"/>
              </w:rPr>
            </w:pPr>
          </w:p>
        </w:tc>
        <w:tc>
          <w:tcPr>
            <w:tcW w:w="1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(1,561)</w:t>
            </w:r>
          </w:p>
        </w:tc>
        <w:tc>
          <w:tcPr>
            <w:tcW w:w="0" w:type="dxa"/>
            <w:vAlign w:val="bottom"/>
          </w:tcPr>
          <w:p>
            <w:pPr>
              <w:spacing w:after="0"/>
              <w:rPr>
                <w:sz w:val="1"/>
                <w:szCs w:val="1"/>
                <w:color w:val="auto"/>
              </w:rPr>
            </w:pPr>
          </w:p>
        </w:tc>
      </w:tr>
      <w:tr>
        <w:trPr>
          <w:trHeight w:val="154"/>
        </w:trPr>
        <w:tc>
          <w:tcPr>
            <w:tcW w:w="6100" w:type="dxa"/>
            <w:vAlign w:val="bottom"/>
          </w:tcPr>
          <w:p>
            <w:pPr>
              <w:spacing w:after="0" w:line="154" w:lineRule="exact"/>
              <w:rPr>
                <w:sz w:val="20"/>
                <w:szCs w:val="20"/>
                <w:color w:val="auto"/>
              </w:rPr>
            </w:pPr>
            <w:r>
              <w:rPr>
                <w:rFonts w:ascii="Arial" w:cs="Arial" w:eastAsia="Arial" w:hAnsi="Arial"/>
                <w:sz w:val="15"/>
                <w:szCs w:val="15"/>
                <w:b w:val="1"/>
                <w:bCs w:val="1"/>
                <w:color w:val="auto"/>
              </w:rPr>
              <w:t>Net cash used in operating activities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jc w:val="right"/>
              <w:spacing w:after="0" w:line="154" w:lineRule="exact"/>
              <w:rPr>
                <w:sz w:val="20"/>
                <w:szCs w:val="20"/>
                <w:color w:val="auto"/>
              </w:rPr>
            </w:pPr>
            <w:r>
              <w:rPr>
                <w:rFonts w:ascii="Arial" w:cs="Arial" w:eastAsia="Arial" w:hAnsi="Arial"/>
                <w:sz w:val="15"/>
                <w:szCs w:val="15"/>
                <w:b w:val="1"/>
                <w:bCs w:val="1"/>
                <w:color w:val="auto"/>
              </w:rPr>
              <w:t>(43,468)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line="154" w:lineRule="exact"/>
              <w:rPr>
                <w:sz w:val="20"/>
                <w:szCs w:val="20"/>
                <w:color w:val="auto"/>
              </w:rPr>
            </w:pPr>
            <w:r>
              <w:rPr>
                <w:rFonts w:ascii="Arial" w:cs="Arial" w:eastAsia="Arial" w:hAnsi="Arial"/>
                <w:sz w:val="15"/>
                <w:szCs w:val="15"/>
                <w:b w:val="1"/>
                <w:bCs w:val="1"/>
                <w:color w:val="auto"/>
              </w:rPr>
              <w:t>(59,573)</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Acquisition of equipment and software</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7</w:t>
            </w:r>
          </w:p>
        </w:tc>
        <w:tc>
          <w:tcPr>
            <w:tcW w:w="24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shd w:val="clear" w:color="auto" w:fill="D2EEF5"/>
          </w:tcPr>
          <w:p>
            <w:pPr>
              <w:jc w:val="right"/>
              <w:ind w:right="240"/>
              <w:spacing w:after="0"/>
              <w:rPr>
                <w:sz w:val="20"/>
                <w:szCs w:val="20"/>
                <w:color w:val="auto"/>
              </w:rPr>
            </w:pPr>
            <w:r>
              <w:rPr>
                <w:rFonts w:ascii="Arial" w:cs="Arial" w:eastAsia="Arial" w:hAnsi="Arial"/>
                <w:sz w:val="15"/>
                <w:szCs w:val="15"/>
                <w:color w:val="auto"/>
              </w:rPr>
              <w:t>(515)</w:t>
            </w:r>
          </w:p>
        </w:tc>
        <w:tc>
          <w:tcPr>
            <w:tcW w:w="20" w:type="dxa"/>
            <w:vAlign w:val="bottom"/>
            <w:shd w:val="clear" w:color="auto" w:fill="D2EEF5"/>
          </w:tcPr>
          <w:p>
            <w:pPr>
              <w:spacing w:after="0"/>
              <w:rPr>
                <w:sz w:val="17"/>
                <w:szCs w:val="17"/>
                <w:color w:val="auto"/>
              </w:rPr>
            </w:pPr>
          </w:p>
        </w:tc>
        <w:tc>
          <w:tcPr>
            <w:tcW w:w="300" w:type="dxa"/>
            <w:vAlign w:val="bottom"/>
            <w:shd w:val="clear" w:color="auto" w:fill="D2EEF5"/>
          </w:tcPr>
          <w:p>
            <w:pPr>
              <w:spacing w:after="0"/>
              <w:rPr>
                <w:sz w:val="17"/>
                <w:szCs w:val="17"/>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154"/>
        </w:trPr>
        <w:tc>
          <w:tcPr>
            <w:tcW w:w="6100" w:type="dxa"/>
            <w:vAlign w:val="bottom"/>
            <w:tcBorders>
              <w:top w:val="single" w:sz="8" w:color="D2EEF5"/>
            </w:tcBorders>
          </w:tcPr>
          <w:p>
            <w:pPr>
              <w:spacing w:after="0" w:line="154" w:lineRule="exact"/>
              <w:rPr>
                <w:sz w:val="20"/>
                <w:szCs w:val="20"/>
                <w:color w:val="auto"/>
              </w:rPr>
            </w:pPr>
            <w:r>
              <w:rPr>
                <w:rFonts w:ascii="Arial" w:cs="Arial" w:eastAsia="Arial" w:hAnsi="Arial"/>
                <w:sz w:val="15"/>
                <w:szCs w:val="15"/>
                <w:b w:val="1"/>
                <w:bCs w:val="1"/>
                <w:color w:val="auto"/>
              </w:rPr>
              <w:t>Net cash used in investing activities</w:t>
            </w:r>
          </w:p>
        </w:tc>
        <w:tc>
          <w:tcPr>
            <w:tcW w:w="940" w:type="dxa"/>
            <w:vAlign w:val="bottom"/>
            <w:tcBorders>
              <w:top w:val="single" w:sz="8" w:color="D2EEF5"/>
            </w:tcBorders>
          </w:tcPr>
          <w:p>
            <w:pPr>
              <w:spacing w:after="0"/>
              <w:rPr>
                <w:sz w:val="13"/>
                <w:szCs w:val="13"/>
                <w:color w:val="auto"/>
              </w:rPr>
            </w:pPr>
          </w:p>
        </w:tc>
        <w:tc>
          <w:tcPr>
            <w:tcW w:w="240" w:type="dxa"/>
            <w:vAlign w:val="bottom"/>
            <w:tcBorders>
              <w:top w:val="single" w:sz="8" w:color="D2EEF5"/>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(515)</w:t>
            </w:r>
          </w:p>
        </w:tc>
        <w:tc>
          <w:tcPr>
            <w:tcW w:w="240" w:type="dxa"/>
            <w:vAlign w:val="bottom"/>
            <w:tcBorders>
              <w:top w:val="single" w:sz="8" w:color="D2EEF5"/>
            </w:tcBorders>
          </w:tcPr>
          <w:p>
            <w:pPr>
              <w:spacing w:after="0"/>
              <w:rPr>
                <w:sz w:val="13"/>
                <w:szCs w:val="13"/>
                <w:color w:val="auto"/>
              </w:rPr>
            </w:pPr>
          </w:p>
        </w:tc>
        <w:tc>
          <w:tcPr>
            <w:tcW w:w="20" w:type="dxa"/>
            <w:vAlign w:val="bottom"/>
            <w:tcBorders>
              <w:top w:val="single" w:sz="8" w:color="D2EEF5"/>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(578)</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Proceeds from registered direct offering</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13</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23,900</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15,923</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color w:val="auto"/>
              </w:rPr>
              <w:t>Expenses paid for registered direct offering</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5"/>
                <w:szCs w:val="15"/>
                <w:color w:val="auto"/>
              </w:rPr>
              <w:t>(357)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(1,182)</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Proceeds from Shares issued from ATM</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14</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4,866</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color w:val="auto"/>
              </w:rPr>
              <w:t>Proceeds from drawdown of Credit Facilities</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20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4,275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Proceeds from Drawdown of Allseas Short-Term Debt</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8</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2,000</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color w:val="auto"/>
              </w:rPr>
              <w:t>Repayment of Allseas Short-Term Debt</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(2,000)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Proceeds from drawdown of Allseas Working Capital Loan Agreement</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71"/>
              </w:rPr>
              <w:t>8</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7,500</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color w:val="auto"/>
              </w:rPr>
              <w:t>Proceeds from Low Carbon Royalties Investment</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Proceeds from employee stock plans</w:t>
            </w:r>
          </w:p>
        </w:tc>
        <w:tc>
          <w:tcPr>
            <w:tcW w:w="94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3"/>
              </w:rPr>
              <w:t>17</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39</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color w:val="auto"/>
              </w:rPr>
              <w:t>Proceeds from exercise of stock options</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463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color w:val="auto"/>
              </w:rPr>
              <w:t>Proceeds from exercise of warrants by Allseas</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shd w:val="clear" w:color="auto" w:fill="D2EEF5"/>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color w:val="auto"/>
              </w:rPr>
              <w:t>Proceeds from issuance of shares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74"/>
        </w:trPr>
        <w:tc>
          <w:tcPr>
            <w:tcW w:w="61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940" w:type="dxa"/>
            <w:vAlign w:val="bottom"/>
            <w:tcBorders>
              <w:top w:val="single" w:sz="8" w:color="D2EEF5"/>
            </w:tcBorders>
            <w:shd w:val="clear" w:color="auto" w:fill="D2EEF5"/>
          </w:tcPr>
          <w:p>
            <w:pPr>
              <w:spacing w:after="0"/>
              <w:rPr>
                <w:sz w:val="15"/>
                <w:szCs w:val="15"/>
                <w:color w:val="auto"/>
              </w:rPr>
            </w:pPr>
          </w:p>
        </w:tc>
        <w:tc>
          <w:tcPr>
            <w:tcW w:w="2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40,686</w:t>
            </w:r>
          </w:p>
        </w:tc>
        <w:tc>
          <w:tcPr>
            <w:tcW w:w="2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spacing w:after="0"/>
              <w:rPr>
                <w:sz w:val="15"/>
                <w:szCs w:val="15"/>
                <w:color w:val="auto"/>
              </w:rPr>
            </w:pP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20,066</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Decrease in cash</w:t>
            </w:r>
          </w:p>
        </w:tc>
        <w:tc>
          <w:tcPr>
            <w:tcW w:w="940" w:type="dxa"/>
            <w:vAlign w:val="bottom"/>
            <w:shd w:val="clear" w:color="auto" w:fill="D2EEF5"/>
          </w:tcPr>
          <w:p>
            <w:pPr>
              <w:spacing w:after="0"/>
              <w:rPr>
                <w:sz w:val="15"/>
                <w:szCs w:val="15"/>
                <w:color w:val="auto"/>
              </w:rPr>
            </w:pPr>
          </w:p>
        </w:tc>
        <w:tc>
          <w:tcPr>
            <w:tcW w:w="400" w:type="dxa"/>
            <w:vAlign w:val="bottom"/>
            <w:gridSpan w:val="2"/>
            <w:shd w:val="clear" w:color="auto" w:fill="D2EEF5"/>
          </w:tcPr>
          <w:p>
            <w:pPr>
              <w:jc w:val="right"/>
              <w:ind w:right="4"/>
              <w:spacing w:after="0"/>
              <w:rPr>
                <w:sz w:val="20"/>
                <w:szCs w:val="20"/>
                <w:color w:val="auto"/>
              </w:rPr>
            </w:pPr>
            <w:r>
              <w:rPr>
                <w:rFonts w:ascii="Arial" w:cs="Arial" w:eastAsia="Arial" w:hAnsi="Arial"/>
                <w:sz w:val="15"/>
                <w:szCs w:val="15"/>
                <w:b w:val="1"/>
                <w:bCs w:val="1"/>
                <w:color w:val="auto"/>
              </w:rPr>
              <w:t>$</w:t>
            </w:r>
          </w:p>
        </w:tc>
        <w:tc>
          <w:tcPr>
            <w:tcW w:w="20" w:type="dxa"/>
            <w:vAlign w:val="bottom"/>
            <w:vMerge w:val="continue"/>
          </w:tcPr>
          <w:p>
            <w:pPr>
              <w:spacing w:after="0"/>
              <w:rPr>
                <w:sz w:val="15"/>
                <w:szCs w:val="15"/>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(3,297)</w:t>
            </w:r>
          </w:p>
        </w:tc>
        <w:tc>
          <w:tcPr>
            <w:tcW w:w="240" w:type="dxa"/>
            <w:vAlign w:val="bottom"/>
            <w:shd w:val="clear" w:color="auto" w:fill="D2EEF5"/>
          </w:tcPr>
          <w:p>
            <w:pPr>
              <w:spacing w:after="0"/>
              <w:rPr>
                <w:sz w:val="15"/>
                <w:szCs w:val="15"/>
                <w:color w:val="auto"/>
              </w:rPr>
            </w:pPr>
          </w:p>
        </w:tc>
        <w:tc>
          <w:tcPr>
            <w:tcW w:w="320" w:type="dxa"/>
            <w:vAlign w:val="bottom"/>
            <w:gridSpan w:val="2"/>
            <w:shd w:val="clear" w:color="auto" w:fill="D2EEF5"/>
          </w:tcPr>
          <w:p>
            <w:pPr>
              <w:jc w:val="right"/>
              <w:ind w:right="191"/>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(40,085)</w:t>
            </w:r>
          </w:p>
        </w:tc>
        <w:tc>
          <w:tcPr>
            <w:tcW w:w="0" w:type="dxa"/>
            <w:vAlign w:val="bottom"/>
          </w:tcPr>
          <w:p>
            <w:pPr>
              <w:spacing w:after="0"/>
              <w:rPr>
                <w:sz w:val="1"/>
                <w:szCs w:val="1"/>
                <w:color w:val="auto"/>
              </w:rPr>
            </w:pPr>
          </w:p>
        </w:tc>
      </w:tr>
      <w:tr>
        <w:trPr>
          <w:trHeight w:val="183"/>
        </w:trPr>
        <w:tc>
          <w:tcPr>
            <w:tcW w:w="6100" w:type="dxa"/>
            <w:vAlign w:val="bottom"/>
          </w:tcPr>
          <w:p>
            <w:pPr>
              <w:spacing w:after="0"/>
              <w:rPr>
                <w:sz w:val="20"/>
                <w:szCs w:val="20"/>
                <w:color w:val="auto"/>
              </w:rPr>
            </w:pPr>
            <w:r>
              <w:rPr>
                <w:rFonts w:ascii="Arial" w:cs="Arial" w:eastAsia="Arial" w:hAnsi="Arial"/>
                <w:sz w:val="15"/>
                <w:szCs w:val="15"/>
                <w:b w:val="1"/>
                <w:bCs w:val="1"/>
                <w:color w:val="auto"/>
              </w:rPr>
              <w:t>Impact of exchange rate changes on cash</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51</w:t>
            </w:r>
          </w:p>
        </w:tc>
        <w:tc>
          <w:tcPr>
            <w:tcW w:w="0" w:type="dxa"/>
            <w:vAlign w:val="bottom"/>
          </w:tcPr>
          <w:p>
            <w:pPr>
              <w:spacing w:after="0"/>
              <w:rPr>
                <w:sz w:val="1"/>
                <w:szCs w:val="1"/>
                <w:color w:val="auto"/>
              </w:rPr>
            </w:pPr>
          </w:p>
        </w:tc>
      </w:tr>
      <w:tr>
        <w:trPr>
          <w:trHeight w:val="183"/>
        </w:trPr>
        <w:tc>
          <w:tcPr>
            <w:tcW w:w="61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Cash - beginning of year</w:t>
            </w:r>
          </w:p>
        </w:tc>
        <w:tc>
          <w:tcPr>
            <w:tcW w:w="94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6,842</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spacing w:after="0"/>
              <w:rPr>
                <w:sz w:val="15"/>
                <w:szCs w:val="15"/>
                <w:color w:val="auto"/>
              </w:rPr>
            </w:pPr>
          </w:p>
        </w:tc>
        <w:tc>
          <w:tcPr>
            <w:tcW w:w="1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46,876</w:t>
            </w:r>
          </w:p>
        </w:tc>
        <w:tc>
          <w:tcPr>
            <w:tcW w:w="0" w:type="dxa"/>
            <w:vAlign w:val="bottom"/>
          </w:tcPr>
          <w:p>
            <w:pPr>
              <w:spacing w:after="0"/>
              <w:rPr>
                <w:sz w:val="1"/>
                <w:szCs w:val="1"/>
                <w:color w:val="auto"/>
              </w:rPr>
            </w:pPr>
          </w:p>
        </w:tc>
      </w:tr>
      <w:tr>
        <w:trPr>
          <w:trHeight w:val="174"/>
        </w:trPr>
        <w:tc>
          <w:tcPr>
            <w:tcW w:w="6100" w:type="dxa"/>
            <w:vAlign w:val="bottom"/>
          </w:tcPr>
          <w:p>
            <w:pPr>
              <w:spacing w:after="0"/>
              <w:rPr>
                <w:sz w:val="20"/>
                <w:szCs w:val="20"/>
                <w:color w:val="auto"/>
              </w:rPr>
            </w:pPr>
            <w:r>
              <w:rPr>
                <w:rFonts w:ascii="Arial" w:cs="Arial" w:eastAsia="Arial" w:hAnsi="Arial"/>
                <w:sz w:val="15"/>
                <w:szCs w:val="15"/>
                <w:b w:val="1"/>
                <w:bCs w:val="1"/>
                <w:color w:val="auto"/>
              </w:rPr>
              <w:t>Cash - end of year</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3,480</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3" w:lineRule="exact"/>
        <w:rPr>
          <w:sz w:val="20"/>
          <w:szCs w:val="20"/>
          <w:color w:val="auto"/>
        </w:rPr>
      </w:pPr>
    </w:p>
    <w:p>
      <w:pPr>
        <w:ind w:left="360" w:hanging="280"/>
        <w:spacing w:after="0"/>
        <w:tabs>
          <w:tab w:leader="none" w:pos="36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Operations</w:t>
      </w:r>
    </w:p>
    <w:p>
      <w:pPr>
        <w:spacing w:after="0" w:line="195" w:lineRule="exact"/>
        <w:rPr>
          <w:rFonts w:ascii="Arial" w:cs="Arial" w:eastAsia="Arial" w:hAnsi="Arial"/>
          <w:sz w:val="15"/>
          <w:szCs w:val="15"/>
          <w:b w:val="1"/>
          <w:bCs w:val="1"/>
          <w:color w:val="auto"/>
        </w:rPr>
      </w:pPr>
    </w:p>
    <w:p>
      <w:pPr>
        <w:jc w:val="both"/>
        <w:ind w:left="360" w:right="80"/>
        <w:spacing w:after="0" w:line="234" w:lineRule="auto"/>
        <w:rPr>
          <w:rFonts w:ascii="Arial" w:cs="Arial" w:eastAsia="Arial" w:hAnsi="Arial"/>
          <w:sz w:val="15"/>
          <w:szCs w:val="15"/>
          <w:b w:val="1"/>
          <w:bCs w:val="1"/>
          <w:color w:val="auto"/>
        </w:rPr>
      </w:pPr>
      <w:r>
        <w:rPr>
          <w:rFonts w:ascii="Arial" w:cs="Arial" w:eastAsia="Arial" w:hAnsi="Arial"/>
          <w:sz w:val="15"/>
          <w:szCs w:val="15"/>
          <w:color w:val="auto"/>
        </w:rPr>
        <w:t>TMC the metals company Inc. (“TMC” or the “Company”) has been operating as a corporation under the laws of the province of British Columbia, Canada since September 9, 2021. The Company’s corporate office, registered address and records office is located at 1111 West Hastings Street, 15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 Vancouver, British Columbia, Canada, V6E 2J3. The Company’s common shares and warrants to purchase common shares are listed for trading on the Nasdaq Global Select Market (“Nasdaq”) under tickers “TMC” and “TMCWW”, respectively.</w:t>
      </w:r>
    </w:p>
    <w:p>
      <w:pPr>
        <w:spacing w:after="0" w:line="163" w:lineRule="exact"/>
        <w:rPr>
          <w:rFonts w:ascii="Arial" w:cs="Arial" w:eastAsia="Arial" w:hAnsi="Arial"/>
          <w:sz w:val="15"/>
          <w:szCs w:val="15"/>
          <w:b w:val="1"/>
          <w:bCs w:val="1"/>
          <w:color w:val="auto"/>
        </w:rPr>
      </w:pPr>
    </w:p>
    <w:p>
      <w:pPr>
        <w:jc w:val="both"/>
        <w:ind w:left="360" w:right="80"/>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four metals (nickel, copper, cobalt, manganese) which can be used as (i) feedstock for battery cathode precursors (nickel and cobalt sulfates, or intermediary nickel-copper-cobalt matte, or nickel-copper-cobalt alloy) for electric vehicles (“EV”) and energy storage markets, (ii) copper cathode for EV wiring, energy transmission and other applications and (iii) manganese silicate for manganese alloy production required for steel production.</w:t>
      </w:r>
    </w:p>
    <w:p>
      <w:pPr>
        <w:spacing w:after="0" w:line="131" w:lineRule="exact"/>
        <w:rPr>
          <w:rFonts w:ascii="Arial" w:cs="Arial" w:eastAsia="Arial" w:hAnsi="Arial"/>
          <w:sz w:val="15"/>
          <w:szCs w:val="15"/>
          <w:b w:val="1"/>
          <w:bCs w:val="1"/>
          <w:color w:val="auto"/>
        </w:rPr>
      </w:pPr>
    </w:p>
    <w:p>
      <w:pPr>
        <w:jc w:val="both"/>
        <w:ind w:left="360" w:right="80"/>
        <w:spacing w:after="0" w:line="279" w:lineRule="auto"/>
        <w:rPr>
          <w:rFonts w:ascii="Arial" w:cs="Arial" w:eastAsia="Arial" w:hAnsi="Arial"/>
          <w:sz w:val="15"/>
          <w:szCs w:val="15"/>
          <w:b w:val="1"/>
          <w:bCs w:val="1"/>
          <w:color w:val="auto"/>
        </w:rPr>
      </w:pPr>
      <w:r>
        <w:rPr>
          <w:rFonts w:ascii="Arial" w:cs="Arial" w:eastAsia="Arial" w:hAnsi="Arial"/>
          <w:sz w:val="14"/>
          <w:szCs w:val="14"/>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square kilometers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square kilometers in the CCZ (“TOML Area”). In 2013, the Company through its subsidiary DeepGreen Engineering Pte. Ltd. (“DGE”) entered into an option agreement (the “Marawa Option Agreement”) with Marawa Research and Exploration Limited (“Marawa”) which granted DGE exclusive rights to manage and carry out all exploration and exploitation in the Marawa Area in return for a royalty payable to Marawa. On November 14, 2024, DGE issued a formal termination notice to Marawa pursuant to DGE’s right to terminate for convenience under the Agreement. The termination became effective on January 14, 2025.</w:t>
      </w:r>
    </w:p>
    <w:p>
      <w:pPr>
        <w:spacing w:after="0" w:line="136" w:lineRule="exact"/>
        <w:rPr>
          <w:rFonts w:ascii="Arial" w:cs="Arial" w:eastAsia="Arial" w:hAnsi="Arial"/>
          <w:sz w:val="15"/>
          <w:szCs w:val="15"/>
          <w:b w:val="1"/>
          <w:bCs w:val="1"/>
          <w:color w:val="auto"/>
        </w:rPr>
      </w:pPr>
    </w:p>
    <w:p>
      <w:pPr>
        <w:jc w:val="both"/>
        <w:ind w:left="360" w:right="80" w:firstLine="1"/>
        <w:spacing w:after="0" w:line="315" w:lineRule="auto"/>
        <w:rPr>
          <w:rFonts w:ascii="Arial" w:cs="Arial" w:eastAsia="Arial" w:hAnsi="Arial"/>
          <w:sz w:val="15"/>
          <w:szCs w:val="15"/>
          <w:b w:val="1"/>
          <w:bCs w:val="1"/>
          <w:color w:val="auto"/>
        </w:rPr>
      </w:pPr>
      <w:r>
        <w:rPr>
          <w:rFonts w:ascii="Arial" w:cs="Arial" w:eastAsia="Arial" w:hAnsi="Arial"/>
          <w:sz w:val="13"/>
          <w:szCs w:val="13"/>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14" w:lineRule="exact"/>
        <w:rPr>
          <w:rFonts w:ascii="Arial" w:cs="Arial" w:eastAsia="Arial" w:hAnsi="Arial"/>
          <w:sz w:val="15"/>
          <w:szCs w:val="15"/>
          <w:b w:val="1"/>
          <w:bCs w:val="1"/>
          <w:color w:val="auto"/>
        </w:rPr>
      </w:pPr>
    </w:p>
    <w:p>
      <w:pPr>
        <w:ind w:left="360" w:right="8800" w:hanging="280"/>
        <w:spacing w:after="0" w:line="589" w:lineRule="auto"/>
        <w:tabs>
          <w:tab w:leader="none" w:pos="36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 Statement of Compliance</w:t>
      </w:r>
    </w:p>
    <w:p>
      <w:pPr>
        <w:ind w:left="360" w:right="80"/>
        <w:spacing w:after="0" w:line="299" w:lineRule="auto"/>
        <w:rPr>
          <w:rFonts w:ascii="Arial" w:cs="Arial" w:eastAsia="Arial" w:hAnsi="Arial"/>
          <w:sz w:val="13"/>
          <w:szCs w:val="13"/>
          <w:b w:val="1"/>
          <w:bCs w:val="1"/>
          <w:color w:val="auto"/>
        </w:rPr>
      </w:pPr>
      <w:r>
        <w:rPr>
          <w:rFonts w:ascii="Arial" w:cs="Arial" w:eastAsia="Arial" w:hAnsi="Arial"/>
          <w:sz w:val="15"/>
          <w:szCs w:val="15"/>
          <w:color w:val="auto"/>
        </w:rPr>
        <w:t>These consolidated financial statements have been prepared in accordance with Generally Accepted Accounting Principles in the United States (“U.S. GAAP”) and include the accounts of TMC and its wholly-owned subsidiaries.</w:t>
      </w:r>
    </w:p>
    <w:p>
      <w:pPr>
        <w:spacing w:after="0" w:line="119" w:lineRule="exact"/>
        <w:rPr>
          <w:rFonts w:ascii="Arial" w:cs="Arial" w:eastAsia="Arial" w:hAnsi="Arial"/>
          <w:sz w:val="13"/>
          <w:szCs w:val="13"/>
          <w:b w:val="1"/>
          <w:bCs w:val="1"/>
          <w:color w:val="auto"/>
        </w:rPr>
      </w:pPr>
    </w:p>
    <w:p>
      <w:pPr>
        <w:ind w:left="360" w:right="100"/>
        <w:spacing w:after="0" w:line="299" w:lineRule="auto"/>
        <w:rPr>
          <w:rFonts w:ascii="Arial" w:cs="Arial" w:eastAsia="Arial" w:hAnsi="Arial"/>
          <w:sz w:val="13"/>
          <w:szCs w:val="13"/>
          <w:b w:val="1"/>
          <w:bCs w:val="1"/>
          <w:color w:val="auto"/>
        </w:rPr>
      </w:pPr>
      <w:r>
        <w:rPr>
          <w:rFonts w:ascii="Arial" w:cs="Arial" w:eastAsia="Arial" w:hAnsi="Arial"/>
          <w:sz w:val="15"/>
          <w:szCs w:val="15"/>
          <w:color w:val="auto"/>
        </w:rPr>
        <w:t>The comparative figures reported in the Consolidated Balance Sheet for software development costs and equipment have been reclassified to conform to the current year’s presentation.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Basis of Measurement</w:t>
      </w:r>
    </w:p>
    <w:p>
      <w:pPr>
        <w:spacing w:after="0" w:line="196" w:lineRule="exact"/>
        <w:rPr>
          <w:sz w:val="20"/>
          <w:szCs w:val="20"/>
          <w:color w:val="auto"/>
        </w:rPr>
      </w:pPr>
    </w:p>
    <w:p>
      <w:pPr>
        <w:ind w:left="360" w:right="80"/>
        <w:spacing w:after="0" w:line="299" w:lineRule="auto"/>
        <w:rPr>
          <w:sz w:val="20"/>
          <w:szCs w:val="20"/>
          <w:color w:val="auto"/>
        </w:rPr>
      </w:pPr>
      <w:r>
        <w:rPr>
          <w:rFonts w:ascii="Arial" w:cs="Arial" w:eastAsia="Arial" w:hAnsi="Arial"/>
          <w:sz w:val="15"/>
          <w:szCs w:val="15"/>
          <w:color w:val="auto"/>
        </w:rPr>
        <w:t>These consolidated financial statements have been prepared under the historical cost convention, except for warrants liability and royalty liability that have been measured at fair value and are presented in United States (“US”) dollars.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Consolidation</w:t>
      </w:r>
    </w:p>
    <w:p>
      <w:pPr>
        <w:spacing w:after="0" w:line="196" w:lineRule="exact"/>
        <w:rPr>
          <w:sz w:val="20"/>
          <w:szCs w:val="20"/>
          <w:color w:val="auto"/>
        </w:rPr>
      </w:pPr>
    </w:p>
    <w:p>
      <w:pPr>
        <w:ind w:left="360" w:right="100"/>
        <w:spacing w:after="0" w:line="299" w:lineRule="auto"/>
        <w:rPr>
          <w:sz w:val="20"/>
          <w:szCs w:val="20"/>
          <w:color w:val="auto"/>
        </w:rPr>
      </w:pPr>
      <w:r>
        <w:rPr>
          <w:rFonts w:ascii="Arial" w:cs="Arial" w:eastAsia="Arial" w:hAnsi="Arial"/>
          <w:sz w:val="15"/>
          <w:szCs w:val="15"/>
          <w:color w:val="auto"/>
        </w:rPr>
        <w:t>These consolidated financial statements include the financial statements of the Company and its subsidiaries. The principal subsidiaries of the Company, their activities, and their geographic locations as at December 31, 2024, were as follows:</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2"/>
              </w:rPr>
              <w:t>Proportion of</w:t>
            </w:r>
          </w:p>
        </w:tc>
        <w:tc>
          <w:tcPr>
            <w:tcW w:w="0" w:type="dxa"/>
            <w:vAlign w:val="bottom"/>
          </w:tcPr>
          <w:p>
            <w:pPr>
              <w:spacing w:after="0"/>
              <w:rPr>
                <w:sz w:val="1"/>
                <w:szCs w:val="1"/>
                <w:color w:val="auto"/>
              </w:rPr>
            </w:pPr>
          </w:p>
        </w:tc>
      </w:tr>
      <w:tr>
        <w:trPr>
          <w:trHeight w:val="126"/>
        </w:trPr>
        <w:tc>
          <w:tcPr>
            <w:tcW w:w="4920" w:type="dxa"/>
            <w:vAlign w:val="bottom"/>
            <w:gridSpan w:val="3"/>
            <w:vMerge w:val="restart"/>
          </w:tcPr>
          <w:p>
            <w:pPr>
              <w:ind w:left="2040"/>
              <w:spacing w:after="0"/>
              <w:rPr>
                <w:sz w:val="20"/>
                <w:szCs w:val="20"/>
                <w:color w:val="auto"/>
              </w:rPr>
            </w:pPr>
            <w:r>
              <w:rPr>
                <w:rFonts w:ascii="Arial" w:cs="Arial" w:eastAsia="Arial" w:hAnsi="Arial"/>
                <w:sz w:val="12"/>
                <w:szCs w:val="12"/>
                <w:b w:val="1"/>
                <w:bCs w:val="1"/>
                <w:color w:val="auto"/>
              </w:rPr>
              <w:t>Subsidiary</w:t>
            </w:r>
            <w:r>
              <w:rPr>
                <w:rFonts w:ascii="Arial" w:cs="Arial" w:eastAsia="Arial" w:hAnsi="Arial"/>
                <w:sz w:val="18"/>
                <w:szCs w:val="18"/>
                <w:b w:val="1"/>
                <w:bCs w:val="1"/>
                <w:color w:val="auto"/>
                <w:vertAlign w:val="superscript"/>
              </w:rPr>
              <w:t>(1)</w:t>
            </w: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4"/>
              </w:rPr>
              <w:t>Principal Activity</w:t>
            </w:r>
          </w:p>
        </w:tc>
        <w:tc>
          <w:tcPr>
            <w:tcW w:w="18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1"/>
              </w:rPr>
              <w:t>Location</w:t>
            </w:r>
          </w:p>
        </w:tc>
        <w:tc>
          <w:tcPr>
            <w:tcW w:w="13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3"/>
              </w:rPr>
              <w:t>Interest Held</w:t>
            </w:r>
          </w:p>
        </w:tc>
        <w:tc>
          <w:tcPr>
            <w:tcW w:w="0" w:type="dxa"/>
            <w:vAlign w:val="bottom"/>
          </w:tcPr>
          <w:p>
            <w:pPr>
              <w:spacing w:after="0"/>
              <w:rPr>
                <w:sz w:val="1"/>
                <w:szCs w:val="1"/>
                <w:color w:val="auto"/>
              </w:rPr>
            </w:pPr>
          </w:p>
        </w:tc>
      </w:tr>
      <w:tr>
        <w:trPr>
          <w:trHeight w:val="148"/>
        </w:trPr>
        <w:tc>
          <w:tcPr>
            <w:tcW w:w="492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2"/>
              </w:rPr>
              <w:t>by the Company</w:t>
            </w:r>
          </w:p>
        </w:tc>
        <w:tc>
          <w:tcPr>
            <w:tcW w:w="0" w:type="dxa"/>
            <w:vAlign w:val="bottom"/>
          </w:tcPr>
          <w:p>
            <w:pPr>
              <w:spacing w:after="0"/>
              <w:rPr>
                <w:sz w:val="1"/>
                <w:szCs w:val="1"/>
                <w:color w:val="auto"/>
              </w:rPr>
            </w:pPr>
          </w:p>
        </w:tc>
      </w:tr>
      <w:tr>
        <w:trPr>
          <w:trHeight w:val="174"/>
        </w:trPr>
        <w:tc>
          <w:tcPr>
            <w:tcW w:w="4760" w:type="dxa"/>
            <w:vAlign w:val="bottom"/>
            <w:tcBorders>
              <w:top w:val="single" w:sz="8" w:color="auto"/>
            </w:tcBorders>
            <w:gridSpan w:val="2"/>
            <w:shd w:val="clear" w:color="auto" w:fill="D2EEF5"/>
          </w:tcPr>
          <w:p>
            <w:pPr>
              <w:spacing w:after="0"/>
              <w:rPr>
                <w:sz w:val="20"/>
                <w:szCs w:val="20"/>
                <w:color w:val="auto"/>
              </w:rPr>
            </w:pPr>
            <w:r>
              <w:rPr>
                <w:rFonts w:ascii="Arial" w:cs="Arial" w:eastAsia="Arial" w:hAnsi="Arial"/>
                <w:sz w:val="15"/>
                <w:szCs w:val="15"/>
                <w:color w:val="auto"/>
              </w:rPr>
              <w:t>DeepGreen Engineering Pte. Ltd.</w:t>
            </w:r>
          </w:p>
        </w:tc>
        <w:tc>
          <w:tcPr>
            <w:tcW w:w="160" w:type="dxa"/>
            <w:vAlign w:val="bottom"/>
            <w:tcBorders>
              <w:top w:val="single" w:sz="8" w:color="D2EEF5"/>
            </w:tcBorders>
            <w:shd w:val="clear" w:color="auto" w:fill="D2EEF5"/>
          </w:tcPr>
          <w:p>
            <w:pPr>
              <w:spacing w:after="0"/>
              <w:rPr>
                <w:sz w:val="15"/>
                <w:szCs w:val="15"/>
                <w:color w:val="auto"/>
              </w:rPr>
            </w:pPr>
          </w:p>
        </w:tc>
        <w:tc>
          <w:tcPr>
            <w:tcW w:w="152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6"/>
              </w:rPr>
              <w:t>Mineral exploration</w:t>
            </w:r>
          </w:p>
        </w:tc>
        <w:tc>
          <w:tcPr>
            <w:tcW w:w="180" w:type="dxa"/>
            <w:vAlign w:val="bottom"/>
            <w:tcBorders>
              <w:top w:val="single" w:sz="8" w:color="D2EEF5"/>
            </w:tcBorders>
            <w:shd w:val="clear" w:color="auto" w:fill="D2EEF5"/>
          </w:tcPr>
          <w:p>
            <w:pPr>
              <w:spacing w:after="0"/>
              <w:rPr>
                <w:sz w:val="15"/>
                <w:szCs w:val="15"/>
                <w:color w:val="auto"/>
              </w:rPr>
            </w:pPr>
          </w:p>
        </w:tc>
        <w:tc>
          <w:tcPr>
            <w:tcW w:w="166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0"/>
              </w:rPr>
              <w:t>Singapore</w:t>
            </w:r>
          </w:p>
        </w:tc>
        <w:tc>
          <w:tcPr>
            <w:tcW w:w="180" w:type="dxa"/>
            <w:vAlign w:val="bottom"/>
            <w:tcBorders>
              <w:top w:val="single" w:sz="8" w:color="D2EEF5"/>
            </w:tcBorders>
            <w:shd w:val="clear" w:color="auto" w:fill="D2EEF5"/>
          </w:tcPr>
          <w:p>
            <w:pPr>
              <w:spacing w:after="0"/>
              <w:rPr>
                <w:sz w:val="15"/>
                <w:szCs w:val="15"/>
                <w:color w:val="auto"/>
              </w:rPr>
            </w:pPr>
          </w:p>
        </w:tc>
        <w:tc>
          <w:tcPr>
            <w:tcW w:w="136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tcPr>
          <w:p>
            <w:pPr>
              <w:spacing w:after="0"/>
              <w:rPr>
                <w:sz w:val="20"/>
                <w:szCs w:val="20"/>
                <w:color w:val="auto"/>
              </w:rPr>
            </w:pPr>
            <w:r>
              <w:rPr>
                <w:rFonts w:ascii="Arial" w:cs="Arial" w:eastAsia="Arial" w:hAnsi="Arial"/>
                <w:sz w:val="15"/>
                <w:szCs w:val="15"/>
                <w:color w:val="auto"/>
              </w:rPr>
              <w:t>DeepGreen Metals ULC</w:t>
            </w:r>
          </w:p>
        </w:tc>
        <w:tc>
          <w:tcPr>
            <w:tcW w:w="1700" w:type="dxa"/>
            <w:vAlign w:val="bottom"/>
            <w:gridSpan w:val="2"/>
          </w:tcPr>
          <w:p>
            <w:pPr>
              <w:jc w:val="center"/>
              <w:ind w:right="160"/>
              <w:spacing w:after="0"/>
              <w:rPr>
                <w:sz w:val="20"/>
                <w:szCs w:val="20"/>
                <w:color w:val="auto"/>
              </w:rPr>
            </w:pPr>
            <w:r>
              <w:rPr>
                <w:rFonts w:ascii="Arial" w:cs="Arial" w:eastAsia="Arial" w:hAnsi="Arial"/>
                <w:sz w:val="15"/>
                <w:szCs w:val="15"/>
                <w:color w:val="auto"/>
                <w:w w:val="96"/>
              </w:rPr>
              <w:t>Mineral exploration</w:t>
            </w: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Canada</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shd w:val="clear" w:color="auto" w:fill="D2EEF5"/>
          </w:tcPr>
          <w:p>
            <w:pPr>
              <w:spacing w:after="0"/>
              <w:rPr>
                <w:sz w:val="20"/>
                <w:szCs w:val="20"/>
                <w:color w:val="auto"/>
              </w:rPr>
            </w:pPr>
            <w:r>
              <w:rPr>
                <w:rFonts w:ascii="Arial" w:cs="Arial" w:eastAsia="Arial" w:hAnsi="Arial"/>
                <w:sz w:val="15"/>
                <w:szCs w:val="15"/>
                <w:color w:val="auto"/>
              </w:rPr>
              <w:t>The Metals Company USA, LLC</w:t>
            </w:r>
          </w:p>
        </w:tc>
        <w:tc>
          <w:tcPr>
            <w:tcW w:w="170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93"/>
              </w:rPr>
              <w:t>Holding Company</w:t>
            </w:r>
          </w:p>
        </w:tc>
        <w:tc>
          <w:tcPr>
            <w:tcW w:w="184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97"/>
              </w:rPr>
              <w:t>USA</w:t>
            </w:r>
          </w:p>
        </w:tc>
        <w:tc>
          <w:tcPr>
            <w:tcW w:w="136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tcPr>
          <w:p>
            <w:pPr>
              <w:spacing w:after="0"/>
              <w:rPr>
                <w:sz w:val="20"/>
                <w:szCs w:val="20"/>
                <w:color w:val="auto"/>
              </w:rPr>
            </w:pPr>
            <w:r>
              <w:rPr>
                <w:rFonts w:ascii="Arial" w:cs="Arial" w:eastAsia="Arial" w:hAnsi="Arial"/>
                <w:sz w:val="15"/>
                <w:szCs w:val="15"/>
                <w:color w:val="auto"/>
              </w:rPr>
              <w:t>DeepGreen TOML Holding 1 Ltd.</w:t>
            </w:r>
          </w:p>
        </w:tc>
        <w:tc>
          <w:tcPr>
            <w:tcW w:w="1700" w:type="dxa"/>
            <w:vAlign w:val="bottom"/>
            <w:gridSpan w:val="2"/>
          </w:tcPr>
          <w:p>
            <w:pPr>
              <w:jc w:val="center"/>
              <w:ind w:right="180"/>
              <w:spacing w:after="0"/>
              <w:rPr>
                <w:sz w:val="20"/>
                <w:szCs w:val="20"/>
                <w:color w:val="auto"/>
              </w:rPr>
            </w:pPr>
            <w:r>
              <w:rPr>
                <w:rFonts w:ascii="Arial" w:cs="Arial" w:eastAsia="Arial" w:hAnsi="Arial"/>
                <w:sz w:val="15"/>
                <w:szCs w:val="15"/>
                <w:color w:val="auto"/>
                <w:w w:val="93"/>
              </w:rPr>
              <w:t>Holding Company</w:t>
            </w: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color w:val="auto"/>
                <w:w w:val="95"/>
              </w:rPr>
              <w:t>British Virgin Islands</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shd w:val="clear" w:color="auto" w:fill="D2EEF5"/>
          </w:tcPr>
          <w:p>
            <w:pPr>
              <w:spacing w:after="0"/>
              <w:rPr>
                <w:sz w:val="20"/>
                <w:szCs w:val="20"/>
                <w:color w:val="auto"/>
              </w:rPr>
            </w:pPr>
            <w:r>
              <w:rPr>
                <w:rFonts w:ascii="Arial" w:cs="Arial" w:eastAsia="Arial" w:hAnsi="Arial"/>
                <w:sz w:val="15"/>
                <w:szCs w:val="15"/>
                <w:color w:val="auto"/>
              </w:rPr>
              <w:t>DeepGreen TOML Holding 2 Ltd.</w:t>
            </w:r>
          </w:p>
        </w:tc>
        <w:tc>
          <w:tcPr>
            <w:tcW w:w="170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93"/>
              </w:rPr>
              <w:t>Holding Company</w:t>
            </w:r>
          </w:p>
        </w:tc>
        <w:tc>
          <w:tcPr>
            <w:tcW w:w="184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95"/>
              </w:rPr>
              <w:t>British Virgin Islands</w:t>
            </w:r>
          </w:p>
        </w:tc>
        <w:tc>
          <w:tcPr>
            <w:tcW w:w="136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tcPr>
          <w:p>
            <w:pPr>
              <w:spacing w:after="0"/>
              <w:rPr>
                <w:sz w:val="20"/>
                <w:szCs w:val="20"/>
                <w:color w:val="auto"/>
              </w:rPr>
            </w:pPr>
            <w:r>
              <w:rPr>
                <w:rFonts w:ascii="Arial" w:cs="Arial" w:eastAsia="Arial" w:hAnsi="Arial"/>
                <w:sz w:val="15"/>
                <w:szCs w:val="15"/>
                <w:color w:val="auto"/>
              </w:rPr>
              <w:t>DeepGreen TOML Singapore Ltd.</w:t>
            </w:r>
          </w:p>
        </w:tc>
        <w:tc>
          <w:tcPr>
            <w:tcW w:w="1700" w:type="dxa"/>
            <w:vAlign w:val="bottom"/>
            <w:gridSpan w:val="2"/>
          </w:tcPr>
          <w:p>
            <w:pPr>
              <w:jc w:val="center"/>
              <w:ind w:right="160"/>
              <w:spacing w:after="0"/>
              <w:rPr>
                <w:sz w:val="20"/>
                <w:szCs w:val="20"/>
                <w:color w:val="auto"/>
              </w:rPr>
            </w:pPr>
            <w:r>
              <w:rPr>
                <w:rFonts w:ascii="Arial" w:cs="Arial" w:eastAsia="Arial" w:hAnsi="Arial"/>
                <w:sz w:val="15"/>
                <w:szCs w:val="15"/>
                <w:color w:val="auto"/>
                <w:w w:val="96"/>
              </w:rPr>
              <w:t>Mineral exploration</w:t>
            </w: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color w:val="auto"/>
                <w:w w:val="90"/>
              </w:rPr>
              <w:t>Singapore</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shd w:val="clear" w:color="auto" w:fill="D2EEF5"/>
          </w:tcPr>
          <w:p>
            <w:pPr>
              <w:spacing w:after="0"/>
              <w:rPr>
                <w:sz w:val="20"/>
                <w:szCs w:val="20"/>
                <w:color w:val="auto"/>
              </w:rPr>
            </w:pPr>
            <w:r>
              <w:rPr>
                <w:rFonts w:ascii="Arial" w:cs="Arial" w:eastAsia="Arial" w:hAnsi="Arial"/>
                <w:sz w:val="15"/>
                <w:szCs w:val="15"/>
                <w:color w:val="auto"/>
              </w:rPr>
              <w:t>Koloa Moana Resources Ltd.</w:t>
            </w:r>
          </w:p>
        </w:tc>
        <w:tc>
          <w:tcPr>
            <w:tcW w:w="170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93"/>
              </w:rPr>
              <w:t>Holding Company</w:t>
            </w:r>
          </w:p>
        </w:tc>
        <w:tc>
          <w:tcPr>
            <w:tcW w:w="184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87"/>
              </w:rPr>
              <w:t>Canada</w:t>
            </w:r>
          </w:p>
        </w:tc>
        <w:tc>
          <w:tcPr>
            <w:tcW w:w="136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tcPr>
          <w:p>
            <w:pPr>
              <w:spacing w:after="0"/>
              <w:rPr>
                <w:sz w:val="20"/>
                <w:szCs w:val="20"/>
                <w:color w:val="auto"/>
              </w:rPr>
            </w:pPr>
            <w:r>
              <w:rPr>
                <w:rFonts w:ascii="Arial" w:cs="Arial" w:eastAsia="Arial" w:hAnsi="Arial"/>
                <w:sz w:val="15"/>
                <w:szCs w:val="15"/>
                <w:color w:val="auto"/>
              </w:rPr>
              <w:t>Nauru Ocean Resources Inc.</w:t>
            </w:r>
          </w:p>
        </w:tc>
        <w:tc>
          <w:tcPr>
            <w:tcW w:w="1700" w:type="dxa"/>
            <w:vAlign w:val="bottom"/>
            <w:gridSpan w:val="2"/>
          </w:tcPr>
          <w:p>
            <w:pPr>
              <w:jc w:val="center"/>
              <w:ind w:right="160"/>
              <w:spacing w:after="0"/>
              <w:rPr>
                <w:sz w:val="20"/>
                <w:szCs w:val="20"/>
                <w:color w:val="auto"/>
              </w:rPr>
            </w:pPr>
            <w:r>
              <w:rPr>
                <w:rFonts w:ascii="Arial" w:cs="Arial" w:eastAsia="Arial" w:hAnsi="Arial"/>
                <w:sz w:val="15"/>
                <w:szCs w:val="15"/>
                <w:color w:val="auto"/>
                <w:w w:val="96"/>
              </w:rPr>
              <w:t>Mineral exploration</w:t>
            </w: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Republic of Nauru</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shd w:val="clear" w:color="auto" w:fill="D2EEF5"/>
          </w:tcPr>
          <w:p>
            <w:pPr>
              <w:spacing w:after="0"/>
              <w:rPr>
                <w:sz w:val="20"/>
                <w:szCs w:val="20"/>
                <w:color w:val="auto"/>
              </w:rPr>
            </w:pPr>
            <w:r>
              <w:rPr>
                <w:rFonts w:ascii="Arial" w:cs="Arial" w:eastAsia="Arial" w:hAnsi="Arial"/>
                <w:sz w:val="15"/>
                <w:szCs w:val="15"/>
                <w:color w:val="auto"/>
              </w:rPr>
              <w:t>Offshore Minerals Pty. Ltd.</w:t>
            </w:r>
          </w:p>
        </w:tc>
        <w:tc>
          <w:tcPr>
            <w:tcW w:w="1700" w:type="dxa"/>
            <w:vAlign w:val="bottom"/>
            <w:gridSpan w:val="2"/>
            <w:shd w:val="clear" w:color="auto" w:fill="D2EEF5"/>
          </w:tcPr>
          <w:p>
            <w:pPr>
              <w:jc w:val="center"/>
              <w:ind w:right="160"/>
              <w:spacing w:after="0"/>
              <w:rPr>
                <w:sz w:val="20"/>
                <w:szCs w:val="20"/>
                <w:color w:val="auto"/>
              </w:rPr>
            </w:pPr>
            <w:r>
              <w:rPr>
                <w:rFonts w:ascii="Arial" w:cs="Arial" w:eastAsia="Arial" w:hAnsi="Arial"/>
                <w:sz w:val="15"/>
                <w:szCs w:val="15"/>
                <w:color w:val="auto"/>
                <w:w w:val="96"/>
              </w:rPr>
              <w:t>Mineral exploration</w:t>
            </w:r>
          </w:p>
        </w:tc>
        <w:tc>
          <w:tcPr>
            <w:tcW w:w="1840" w:type="dxa"/>
            <w:vAlign w:val="bottom"/>
            <w:gridSpan w:val="2"/>
            <w:shd w:val="clear" w:color="auto" w:fill="D2EEF5"/>
          </w:tcPr>
          <w:p>
            <w:pPr>
              <w:jc w:val="center"/>
              <w:ind w:right="160"/>
              <w:spacing w:after="0"/>
              <w:rPr>
                <w:sz w:val="20"/>
                <w:szCs w:val="20"/>
                <w:color w:val="auto"/>
              </w:rPr>
            </w:pPr>
            <w:r>
              <w:rPr>
                <w:rFonts w:ascii="Arial" w:cs="Arial" w:eastAsia="Arial" w:hAnsi="Arial"/>
                <w:sz w:val="15"/>
                <w:szCs w:val="15"/>
                <w:color w:val="auto"/>
                <w:w w:val="95"/>
              </w:rPr>
              <w:t>Australia</w:t>
            </w:r>
          </w:p>
        </w:tc>
        <w:tc>
          <w:tcPr>
            <w:tcW w:w="136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tcPr>
          <w:p>
            <w:pPr>
              <w:spacing w:after="0"/>
              <w:rPr>
                <w:sz w:val="20"/>
                <w:szCs w:val="20"/>
                <w:color w:val="auto"/>
              </w:rPr>
            </w:pPr>
            <w:r>
              <w:rPr>
                <w:rFonts w:ascii="Arial" w:cs="Arial" w:eastAsia="Arial" w:hAnsi="Arial"/>
                <w:sz w:val="15"/>
                <w:szCs w:val="15"/>
                <w:color w:val="auto"/>
              </w:rPr>
              <w:t>The Metals Company Australia Pty Ltd</w:t>
            </w:r>
          </w:p>
        </w:tc>
        <w:tc>
          <w:tcPr>
            <w:tcW w:w="1700" w:type="dxa"/>
            <w:vAlign w:val="bottom"/>
            <w:gridSpan w:val="2"/>
          </w:tcPr>
          <w:p>
            <w:pPr>
              <w:jc w:val="center"/>
              <w:ind w:right="180"/>
              <w:spacing w:after="0"/>
              <w:rPr>
                <w:sz w:val="20"/>
                <w:szCs w:val="20"/>
                <w:color w:val="auto"/>
              </w:rPr>
            </w:pPr>
            <w:r>
              <w:rPr>
                <w:rFonts w:ascii="Arial" w:cs="Arial" w:eastAsia="Arial" w:hAnsi="Arial"/>
                <w:sz w:val="15"/>
                <w:szCs w:val="15"/>
                <w:color w:val="auto"/>
                <w:w w:val="93"/>
              </w:rPr>
              <w:t>Holding Company</w:t>
            </w:r>
          </w:p>
        </w:tc>
        <w:tc>
          <w:tcPr>
            <w:tcW w:w="1840" w:type="dxa"/>
            <w:vAlign w:val="bottom"/>
            <w:gridSpan w:val="2"/>
          </w:tcPr>
          <w:p>
            <w:pPr>
              <w:jc w:val="center"/>
              <w:ind w:right="160"/>
              <w:spacing w:after="0"/>
              <w:rPr>
                <w:sz w:val="20"/>
                <w:szCs w:val="20"/>
                <w:color w:val="auto"/>
              </w:rPr>
            </w:pPr>
            <w:r>
              <w:rPr>
                <w:rFonts w:ascii="Arial" w:cs="Arial" w:eastAsia="Arial" w:hAnsi="Arial"/>
                <w:sz w:val="15"/>
                <w:szCs w:val="15"/>
                <w:color w:val="auto"/>
                <w:w w:val="95"/>
              </w:rPr>
              <w:t>Australia</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shd w:val="clear" w:color="auto" w:fill="D2EEF5"/>
          </w:tcPr>
          <w:p>
            <w:pPr>
              <w:spacing w:after="0"/>
              <w:rPr>
                <w:sz w:val="20"/>
                <w:szCs w:val="20"/>
                <w:color w:val="auto"/>
              </w:rPr>
            </w:pPr>
            <w:r>
              <w:rPr>
                <w:rFonts w:ascii="Arial" w:cs="Arial" w:eastAsia="Arial" w:hAnsi="Arial"/>
                <w:sz w:val="15"/>
                <w:szCs w:val="15"/>
                <w:color w:val="auto"/>
              </w:rPr>
              <w:t>TMC The Metals Company UK Limited</w:t>
            </w:r>
          </w:p>
        </w:tc>
        <w:tc>
          <w:tcPr>
            <w:tcW w:w="170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93"/>
              </w:rPr>
              <w:t>Holding Company</w:t>
            </w:r>
          </w:p>
        </w:tc>
        <w:tc>
          <w:tcPr>
            <w:tcW w:w="184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95"/>
              </w:rPr>
              <w:t>United Kingdom</w:t>
            </w:r>
          </w:p>
        </w:tc>
        <w:tc>
          <w:tcPr>
            <w:tcW w:w="136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920" w:type="dxa"/>
            <w:vAlign w:val="bottom"/>
            <w:gridSpan w:val="3"/>
          </w:tcPr>
          <w:p>
            <w:pPr>
              <w:spacing w:after="0"/>
              <w:rPr>
                <w:sz w:val="20"/>
                <w:szCs w:val="20"/>
                <w:color w:val="auto"/>
              </w:rPr>
            </w:pPr>
            <w:r>
              <w:rPr>
                <w:rFonts w:ascii="Arial" w:cs="Arial" w:eastAsia="Arial" w:hAnsi="Arial"/>
                <w:sz w:val="15"/>
                <w:szCs w:val="15"/>
                <w:color w:val="auto"/>
              </w:rPr>
              <w:t>Tonga Offshore Mining Limited</w:t>
            </w:r>
          </w:p>
        </w:tc>
        <w:tc>
          <w:tcPr>
            <w:tcW w:w="1700" w:type="dxa"/>
            <w:vAlign w:val="bottom"/>
            <w:gridSpan w:val="2"/>
          </w:tcPr>
          <w:p>
            <w:pPr>
              <w:jc w:val="center"/>
              <w:ind w:right="160"/>
              <w:spacing w:after="0"/>
              <w:rPr>
                <w:sz w:val="20"/>
                <w:szCs w:val="20"/>
                <w:color w:val="auto"/>
              </w:rPr>
            </w:pPr>
            <w:r>
              <w:rPr>
                <w:rFonts w:ascii="Arial" w:cs="Arial" w:eastAsia="Arial" w:hAnsi="Arial"/>
                <w:sz w:val="15"/>
                <w:szCs w:val="15"/>
                <w:color w:val="auto"/>
                <w:w w:val="96"/>
              </w:rPr>
              <w:t>Mineral exploration</w:t>
            </w: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Kingdom of Tonga</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06"/>
        </w:trPr>
        <w:tc>
          <w:tcPr>
            <w:tcW w:w="4920" w:type="dxa"/>
            <w:vAlign w:val="bottom"/>
            <w:gridSpan w:val="3"/>
            <w:shd w:val="clear" w:color="auto" w:fill="D2EEF5"/>
          </w:tcPr>
          <w:p>
            <w:pPr>
              <w:spacing w:after="0" w:line="206" w:lineRule="exact"/>
              <w:rPr>
                <w:sz w:val="20"/>
                <w:szCs w:val="20"/>
                <w:color w:val="auto"/>
              </w:rPr>
            </w:pPr>
            <w:r>
              <w:rPr>
                <w:rFonts w:ascii="Arial" w:cs="Arial" w:eastAsia="Arial" w:hAnsi="Arial"/>
                <w:sz w:val="15"/>
                <w:szCs w:val="15"/>
                <w:color w:val="auto"/>
              </w:rPr>
              <w:t xml:space="preserve">Seafloor Mineral Ventures </w:t>
            </w:r>
            <w:r>
              <w:rPr>
                <w:rFonts w:ascii="Arial" w:cs="Arial" w:eastAsia="Arial" w:hAnsi="Arial"/>
                <w:sz w:val="22"/>
                <w:szCs w:val="22"/>
                <w:color w:val="auto"/>
                <w:vertAlign w:val="superscript"/>
              </w:rPr>
              <w:t>(2)</w:t>
            </w:r>
          </w:p>
        </w:tc>
        <w:tc>
          <w:tcPr>
            <w:tcW w:w="1700" w:type="dxa"/>
            <w:vAlign w:val="bottom"/>
            <w:gridSpan w:val="2"/>
            <w:shd w:val="clear" w:color="auto" w:fill="D2EEF5"/>
          </w:tcPr>
          <w:p>
            <w:pPr>
              <w:jc w:val="center"/>
              <w:ind w:right="160"/>
              <w:spacing w:after="0"/>
              <w:rPr>
                <w:sz w:val="20"/>
                <w:szCs w:val="20"/>
                <w:color w:val="auto"/>
              </w:rPr>
            </w:pPr>
            <w:r>
              <w:rPr>
                <w:rFonts w:ascii="Arial" w:cs="Arial" w:eastAsia="Arial" w:hAnsi="Arial"/>
                <w:sz w:val="15"/>
                <w:szCs w:val="15"/>
                <w:color w:val="auto"/>
                <w:w w:val="96"/>
              </w:rPr>
              <w:t>Mineral exploration</w:t>
            </w:r>
          </w:p>
        </w:tc>
        <w:tc>
          <w:tcPr>
            <w:tcW w:w="1840" w:type="dxa"/>
            <w:vAlign w:val="bottom"/>
            <w:gridSpan w:val="2"/>
            <w:shd w:val="clear" w:color="auto" w:fill="D2EEF5"/>
          </w:tcPr>
          <w:p>
            <w:pPr>
              <w:jc w:val="center"/>
              <w:ind w:right="180"/>
              <w:spacing w:after="0"/>
              <w:rPr>
                <w:sz w:val="20"/>
                <w:szCs w:val="20"/>
                <w:color w:val="auto"/>
              </w:rPr>
            </w:pPr>
            <w:r>
              <w:rPr>
                <w:rFonts w:ascii="Arial" w:cs="Arial" w:eastAsia="Arial" w:hAnsi="Arial"/>
                <w:sz w:val="15"/>
                <w:szCs w:val="15"/>
                <w:color w:val="auto"/>
                <w:w w:val="89"/>
              </w:rPr>
              <w:t>Indonesia</w:t>
            </w:r>
          </w:p>
        </w:tc>
        <w:tc>
          <w:tcPr>
            <w:tcW w:w="136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91"/>
        </w:trPr>
        <w:tc>
          <w:tcPr>
            <w:tcW w:w="264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60" w:right="400" w:hanging="283"/>
        <w:spacing w:after="0" w:line="200" w:lineRule="auto"/>
        <w:tabs>
          <w:tab w:leader="none" w:pos="660" w:val="left"/>
        </w:tabs>
        <w:numPr>
          <w:ilvl w:val="0"/>
          <w:numId w:val="47"/>
        </w:numPr>
        <w:rPr>
          <w:rFonts w:ascii="Arial" w:cs="Arial" w:eastAsia="Arial" w:hAnsi="Arial"/>
          <w:sz w:val="23"/>
          <w:szCs w:val="23"/>
          <w:color w:val="auto"/>
          <w:vertAlign w:val="superscript"/>
        </w:rPr>
      </w:pPr>
      <w:r>
        <w:rPr>
          <w:rFonts w:ascii="Arial" w:cs="Arial" w:eastAsia="Arial" w:hAnsi="Arial"/>
          <w:sz w:val="15"/>
          <w:szCs w:val="15"/>
          <w:color w:val="auto"/>
        </w:rPr>
        <w:t>The Company’s wholly owned subsidiaries Nauru Education and Training Foundation Inc. and Nauru Health and Foundation Inc. were voluntarily dissolved on June 30, 2024.</w:t>
      </w:r>
    </w:p>
    <w:p>
      <w:pPr>
        <w:spacing w:after="0" w:line="1" w:lineRule="exact"/>
        <w:rPr>
          <w:rFonts w:ascii="Arial" w:cs="Arial" w:eastAsia="Arial" w:hAnsi="Arial"/>
          <w:sz w:val="23"/>
          <w:szCs w:val="23"/>
          <w:color w:val="auto"/>
          <w:vertAlign w:val="superscript"/>
        </w:rPr>
      </w:pPr>
    </w:p>
    <w:p>
      <w:pPr>
        <w:ind w:left="660" w:hanging="283"/>
        <w:spacing w:after="0" w:line="185" w:lineRule="auto"/>
        <w:tabs>
          <w:tab w:leader="none" w:pos="660" w:val="left"/>
        </w:tabs>
        <w:numPr>
          <w:ilvl w:val="0"/>
          <w:numId w:val="47"/>
        </w:numPr>
        <w:rPr>
          <w:rFonts w:ascii="Arial" w:cs="Arial" w:eastAsia="Arial" w:hAnsi="Arial"/>
          <w:sz w:val="23"/>
          <w:szCs w:val="23"/>
          <w:color w:val="auto"/>
          <w:vertAlign w:val="superscript"/>
        </w:rPr>
      </w:pPr>
      <w:r>
        <w:rPr>
          <w:rFonts w:ascii="Arial" w:cs="Arial" w:eastAsia="Arial" w:hAnsi="Arial"/>
          <w:sz w:val="15"/>
          <w:szCs w:val="15"/>
          <w:color w:val="auto"/>
        </w:rPr>
        <w:t>PT Seafloor Mineral Ventures was incorporated on May 17, 2024.</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All intra-group balances have been eliminated on consolidation.</w:t>
      </w:r>
    </w:p>
    <w:p>
      <w:pPr>
        <w:spacing w:after="0" w:line="191" w:lineRule="exact"/>
        <w:rPr>
          <w:sz w:val="20"/>
          <w:szCs w:val="20"/>
          <w:color w:val="auto"/>
        </w:rPr>
      </w:pPr>
    </w:p>
    <w:p>
      <w:pPr>
        <w:ind w:left="360" w:right="8420" w:hanging="280"/>
        <w:spacing w:after="0" w:line="547" w:lineRule="auto"/>
        <w:tabs>
          <w:tab w:leader="none" w:pos="3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 i. Foreign Currencies</w:t>
      </w:r>
    </w:p>
    <w:p>
      <w:pPr>
        <w:spacing w:after="0" w:line="1"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The functional currency is the currency of the primary economic environment in which the entity operates. The functional currency of the Company and all its subsidiaries is the U.S. Dollar.</w:t>
      </w:r>
    </w:p>
    <w:p>
      <w:pPr>
        <w:spacing w:after="0" w:line="119" w:lineRule="exact"/>
        <w:rPr>
          <w:sz w:val="20"/>
          <w:szCs w:val="20"/>
          <w:color w:val="auto"/>
        </w:rPr>
      </w:pPr>
    </w:p>
    <w:p>
      <w:pPr>
        <w:jc w:val="both"/>
        <w:ind w:left="360" w:right="80"/>
        <w:spacing w:after="0" w:line="294" w:lineRule="auto"/>
        <w:rPr>
          <w:sz w:val="20"/>
          <w:szCs w:val="20"/>
          <w:color w:val="auto"/>
        </w:rPr>
      </w:pPr>
      <w:r>
        <w:rPr>
          <w:rFonts w:ascii="Arial" w:cs="Arial" w:eastAsia="Arial" w:hAnsi="Arial"/>
          <w:sz w:val="14"/>
          <w:szCs w:val="14"/>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Non-monetary items that are measured at historical cost in a foreign currency are not retranslated. All gains and losses on translation of these foreign currency transactions are included in the statements of loss and comprehensive loss.</w:t>
      </w:r>
    </w:p>
    <w:p>
      <w:pPr>
        <w:spacing w:after="0" w:line="124"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5"/>
          <w:szCs w:val="15"/>
          <w:b w:val="1"/>
          <w:bCs w:val="1"/>
          <w:color w:val="auto"/>
        </w:rPr>
        <w:t>ii.</w:t>
      </w:r>
      <w:r>
        <w:rPr>
          <w:sz w:val="20"/>
          <w:szCs w:val="20"/>
          <w:color w:val="auto"/>
        </w:rPr>
        <w:tab/>
      </w:r>
      <w:r>
        <w:rPr>
          <w:rFonts w:ascii="Arial" w:cs="Arial" w:eastAsia="Arial" w:hAnsi="Arial"/>
          <w:sz w:val="13"/>
          <w:szCs w:val="13"/>
          <w:b w:val="1"/>
          <w:bCs w:val="1"/>
          <w:color w:val="auto"/>
        </w:rPr>
        <w:t>Use of Estimates</w:t>
      </w:r>
    </w:p>
    <w:p>
      <w:pPr>
        <w:spacing w:after="0" w:line="196"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in the consolidated financial statements and the notes thereto. Significant estimates and assumptions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reflected in these consolidated financial statements include, but are not limited to, the evaluation of going concern, the valuation of share-based payments, including valuation of incentive stock options (Note 17), as well as the valuation of warrants liability (Note 15), and the valuation of the royalty liability (Note 9). Actual results could differ materially from those estimates.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iii.  Loss Per Share</w:t>
      </w:r>
    </w:p>
    <w:p>
      <w:pPr>
        <w:spacing w:after="0" w:line="196" w:lineRule="exact"/>
        <w:rPr>
          <w:sz w:val="20"/>
          <w:szCs w:val="20"/>
          <w:color w:val="auto"/>
        </w:rPr>
      </w:pPr>
    </w:p>
    <w:p>
      <w:pPr>
        <w:jc w:val="both"/>
        <w:ind w:left="360" w:right="80"/>
        <w:spacing w:after="0" w:line="294" w:lineRule="auto"/>
        <w:rPr>
          <w:sz w:val="20"/>
          <w:szCs w:val="20"/>
          <w:color w:val="auto"/>
        </w:rPr>
      </w:pPr>
      <w:r>
        <w:rPr>
          <w:rFonts w:ascii="Arial" w:cs="Arial" w:eastAsia="Arial" w:hAnsi="Arial"/>
          <w:sz w:val="14"/>
          <w:szCs w:val="14"/>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23"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5"/>
          <w:szCs w:val="15"/>
          <w:b w:val="1"/>
          <w:bCs w:val="1"/>
          <w:color w:val="auto"/>
        </w:rPr>
        <w:t>iv.</w:t>
      </w:r>
      <w:r>
        <w:rPr>
          <w:sz w:val="20"/>
          <w:szCs w:val="20"/>
          <w:color w:val="auto"/>
        </w:rPr>
        <w:tab/>
      </w:r>
      <w:r>
        <w:rPr>
          <w:rFonts w:ascii="Arial" w:cs="Arial" w:eastAsia="Arial" w:hAnsi="Arial"/>
          <w:sz w:val="14"/>
          <w:szCs w:val="14"/>
          <w:b w:val="1"/>
          <w:bCs w:val="1"/>
          <w:color w:val="auto"/>
        </w:rPr>
        <w:t>Financial Instruments</w:t>
      </w:r>
    </w:p>
    <w:p>
      <w:pPr>
        <w:spacing w:after="0" w:line="196"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37"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The Company’s financial instruments consist of cash and cash equivalents, receivables, short-term debt, accounts payable and accrued liabilities which are recorded at cost as well as royalty liability and warrants to acquire common shares of the Company which are measured at fair value.</w:t>
      </w:r>
    </w:p>
    <w:p>
      <w:pPr>
        <w:spacing w:after="0" w:line="117" w:lineRule="exact"/>
        <w:rPr>
          <w:sz w:val="20"/>
          <w:szCs w:val="20"/>
          <w:color w:val="auto"/>
        </w:rPr>
      </w:pPr>
    </w:p>
    <w:p>
      <w:pPr>
        <w:ind w:left="620" w:hanging="266"/>
        <w:spacing w:after="0"/>
        <w:tabs>
          <w:tab w:leader="none" w:pos="62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Instruments</w:t>
      </w:r>
    </w:p>
    <w:p>
      <w:pPr>
        <w:spacing w:after="0" w:line="196"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37"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37" w:lineRule="exact"/>
        <w:rPr>
          <w:sz w:val="20"/>
          <w:szCs w:val="20"/>
          <w:color w:val="auto"/>
        </w:rPr>
      </w:pPr>
    </w:p>
    <w:p>
      <w:pPr>
        <w:ind w:left="660" w:hanging="283"/>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Level 1</w:t>
      </w:r>
      <w:r>
        <w:rPr>
          <w:rFonts w:ascii="Arial" w:cs="Arial" w:eastAsia="Arial" w:hAnsi="Arial"/>
          <w:sz w:val="15"/>
          <w:szCs w:val="15"/>
          <w:color w:val="auto"/>
        </w:rPr>
        <w:t xml:space="preserve"> - Valuations based on quoted prices in active markets for identical assets or liabilities that an entity has the ability to access.</w:t>
      </w:r>
    </w:p>
    <w:p>
      <w:pPr>
        <w:spacing w:after="0" w:line="193" w:lineRule="exact"/>
        <w:rPr>
          <w:rFonts w:ascii="Arial" w:cs="Arial" w:eastAsia="Arial" w:hAnsi="Arial"/>
          <w:sz w:val="15"/>
          <w:szCs w:val="15"/>
          <w:color w:val="auto"/>
        </w:rPr>
      </w:pPr>
    </w:p>
    <w:p>
      <w:pPr>
        <w:ind w:left="660" w:right="80" w:hanging="283"/>
        <w:spacing w:after="0" w:line="299"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Level 2</w:t>
      </w:r>
      <w:r>
        <w:rPr>
          <w:rFonts w:ascii="Arial" w:cs="Arial" w:eastAsia="Arial" w:hAnsi="Arial"/>
          <w:sz w:val="15"/>
          <w:szCs w:val="15"/>
          <w:color w:val="auto"/>
        </w:rPr>
        <w:t xml:space="preserve"> - Valuations based on quoted prices for similar assets or liabilities, quoted prices for identical assets or liabilities in markets that are not active,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inputs that are observable or can be corroborated by observable data for substantially the full term of the assets or liabilities.</w:t>
      </w:r>
    </w:p>
    <w:p>
      <w:pPr>
        <w:spacing w:after="0" w:line="119" w:lineRule="exact"/>
        <w:rPr>
          <w:rFonts w:ascii="Arial" w:cs="Arial" w:eastAsia="Arial" w:hAnsi="Arial"/>
          <w:sz w:val="15"/>
          <w:szCs w:val="15"/>
          <w:color w:val="auto"/>
        </w:rPr>
      </w:pPr>
    </w:p>
    <w:p>
      <w:pPr>
        <w:ind w:left="660" w:hanging="283"/>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Level 3</w:t>
      </w:r>
      <w:r>
        <w:rPr>
          <w:rFonts w:ascii="Arial" w:cs="Arial" w:eastAsia="Arial" w:hAnsi="Arial"/>
          <w:sz w:val="15"/>
          <w:szCs w:val="15"/>
          <w:color w:val="auto"/>
        </w:rPr>
        <w:t xml:space="preserve"> - Valuations based on inputs that are supported by little or no market activity and that are significant to the fair value of the assets or liabilities.</w:t>
      </w:r>
    </w:p>
    <w:p>
      <w:pPr>
        <w:spacing w:after="0" w:line="194" w:lineRule="exact"/>
        <w:rPr>
          <w:sz w:val="20"/>
          <w:szCs w:val="20"/>
          <w:color w:val="auto"/>
        </w:rPr>
      </w:pPr>
    </w:p>
    <w:p>
      <w:pPr>
        <w:ind w:left="360" w:right="80"/>
        <w:spacing w:after="0" w:line="337" w:lineRule="auto"/>
        <w:rPr>
          <w:sz w:val="20"/>
          <w:szCs w:val="20"/>
          <w:color w:val="auto"/>
        </w:rPr>
      </w:pPr>
      <w:r>
        <w:rPr>
          <w:rFonts w:ascii="Arial" w:cs="Arial" w:eastAsia="Arial" w:hAnsi="Arial"/>
          <w:sz w:val="14"/>
          <w:szCs w:val="14"/>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There were no transfers between fair value measurement levels during the years ended December 31, 2024 and 2023.</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100"/>
        <w:spacing w:after="0" w:line="382" w:lineRule="auto"/>
        <w:rPr>
          <w:sz w:val="20"/>
          <w:szCs w:val="20"/>
          <w:color w:val="auto"/>
        </w:rPr>
      </w:pPr>
      <w:r>
        <w:rPr>
          <w:rFonts w:ascii="Arial" w:cs="Arial" w:eastAsia="Arial" w:hAnsi="Arial"/>
          <w:sz w:val="13"/>
          <w:szCs w:val="13"/>
          <w:color w:val="auto"/>
        </w:rPr>
        <w:t>As at December 31, 2024, and 2023, the carrying values of cash, receivables, short-term debt, accounts payable and accrued liabilities approximate their fair values due to the short-term nature of these instruments. The financial instruments also include royalty liability and warrants which are recorded at fair value as disclosed in Note 9.</w:t>
      </w:r>
    </w:p>
    <w:p>
      <w:pPr>
        <w:spacing w:after="0" w:line="71"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5"/>
          <w:szCs w:val="15"/>
          <w:b w:val="1"/>
          <w:bCs w:val="1"/>
          <w:color w:val="auto"/>
        </w:rPr>
        <w:t>vi.</w:t>
      </w:r>
      <w:r>
        <w:rPr>
          <w:sz w:val="20"/>
          <w:szCs w:val="20"/>
          <w:color w:val="auto"/>
        </w:rPr>
        <w:tab/>
      </w:r>
      <w:r>
        <w:rPr>
          <w:rFonts w:ascii="Arial" w:cs="Arial" w:eastAsia="Arial" w:hAnsi="Arial"/>
          <w:sz w:val="13"/>
          <w:szCs w:val="13"/>
          <w:b w:val="1"/>
          <w:bCs w:val="1"/>
          <w:color w:val="auto"/>
        </w:rPr>
        <w:t>Cash and Cash Equivalents</w:t>
      </w:r>
    </w:p>
    <w:p>
      <w:pPr>
        <w:spacing w:after="0" w:line="196"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Cash includes cash on hand and term deposits with a remaining term to maturity at acquisition of three months or less. As at December 31, 2024 and 2023, the Company had no cash equivalents.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vii. Equipment and Software</w:t>
      </w:r>
    </w:p>
    <w:p>
      <w:pPr>
        <w:spacing w:after="0" w:line="196" w:lineRule="exact"/>
        <w:rPr>
          <w:sz w:val="20"/>
          <w:szCs w:val="20"/>
          <w:color w:val="auto"/>
        </w:rPr>
      </w:pPr>
    </w:p>
    <w:p>
      <w:pPr>
        <w:jc w:val="both"/>
        <w:ind w:left="360" w:right="80"/>
        <w:spacing w:after="0" w:line="323" w:lineRule="auto"/>
        <w:rPr>
          <w:sz w:val="20"/>
          <w:szCs w:val="20"/>
          <w:color w:val="auto"/>
        </w:rPr>
      </w:pPr>
      <w:r>
        <w:rPr>
          <w:rFonts w:ascii="Arial" w:cs="Arial" w:eastAsia="Arial" w:hAnsi="Arial"/>
          <w:sz w:val="13"/>
          <w:szCs w:val="13"/>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6680" w:type="dxa"/>
            <w:vAlign w:val="bottom"/>
            <w:gridSpan w:val="2"/>
          </w:tcPr>
          <w:p>
            <w:pPr>
              <w:spacing w:after="0"/>
              <w:rPr>
                <w:sz w:val="20"/>
                <w:szCs w:val="20"/>
                <w:color w:val="auto"/>
              </w:rPr>
            </w:pPr>
            <w:r>
              <w:rPr>
                <w:rFonts w:ascii="Arial" w:cs="Arial" w:eastAsia="Arial" w:hAnsi="Arial"/>
                <w:sz w:val="15"/>
                <w:szCs w:val="15"/>
                <w:color w:val="auto"/>
              </w:rPr>
              <w:t>The major categories of equipment are amortized on a declining balance basis as follows:</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660" w:type="dxa"/>
            <w:vAlign w:val="bottom"/>
            <w:shd w:val="clear" w:color="auto" w:fill="D2EEF5"/>
          </w:tcPr>
          <w:p>
            <w:pPr>
              <w:spacing w:after="0"/>
              <w:rPr>
                <w:sz w:val="20"/>
                <w:szCs w:val="20"/>
                <w:color w:val="auto"/>
              </w:rPr>
            </w:pPr>
            <w:r>
              <w:rPr>
                <w:rFonts w:ascii="Arial" w:cs="Arial" w:eastAsia="Arial" w:hAnsi="Arial"/>
                <w:sz w:val="15"/>
                <w:szCs w:val="15"/>
                <w:color w:val="auto"/>
              </w:rPr>
              <w:t>Exploration and other equipment</w:t>
            </w:r>
          </w:p>
        </w:tc>
        <w:tc>
          <w:tcPr>
            <w:tcW w:w="16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30 %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5"/>
                <w:szCs w:val="15"/>
                <w:color w:val="auto"/>
              </w:rPr>
              <w:t>Office equipment</w:t>
            </w:r>
          </w:p>
        </w:tc>
        <w:tc>
          <w:tcPr>
            <w:tcW w:w="1600" w:type="dxa"/>
            <w:vAlign w:val="bottom"/>
          </w:tcPr>
          <w:p>
            <w:pPr>
              <w:jc w:val="right"/>
              <w:spacing w:after="0"/>
              <w:rPr>
                <w:sz w:val="20"/>
                <w:szCs w:val="20"/>
                <w:color w:val="auto"/>
              </w:rPr>
            </w:pPr>
            <w:r>
              <w:rPr>
                <w:rFonts w:ascii="Arial" w:cs="Arial" w:eastAsia="Arial" w:hAnsi="Arial"/>
                <w:sz w:val="15"/>
                <w:szCs w:val="15"/>
                <w:color w:val="auto"/>
              </w:rPr>
              <w:t>30 %</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19"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Gains and losses on disposals of equipment are determined by comparing the proceeds with the carrying amount of the asset and are included in the statement of loss and comprehensive loss.</w:t>
      </w:r>
    </w:p>
    <w:p>
      <w:pPr>
        <w:spacing w:after="0" w:line="119"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Software is currently under development and is stated at cost. The software will be used to monitor nodule collection on the sea floor. The Company will amortize the cost of the software over its useful life after it is put in use, on commencement of nodule collection and treatment at a commercial scale.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viii. Exploration Contracts</w:t>
      </w:r>
    </w:p>
    <w:p>
      <w:pPr>
        <w:spacing w:after="0" w:line="196" w:lineRule="exact"/>
        <w:rPr>
          <w:sz w:val="20"/>
          <w:szCs w:val="20"/>
          <w:color w:val="auto"/>
        </w:rPr>
      </w:pPr>
    </w:p>
    <w:p>
      <w:pPr>
        <w:jc w:val="both"/>
        <w:ind w:left="360" w:right="80" w:firstLine="1"/>
        <w:spacing w:after="0" w:line="269" w:lineRule="auto"/>
        <w:rPr>
          <w:sz w:val="20"/>
          <w:szCs w:val="20"/>
          <w:color w:val="auto"/>
        </w:rPr>
      </w:pPr>
      <w:r>
        <w:rPr>
          <w:rFonts w:ascii="Arial" w:cs="Arial" w:eastAsia="Arial" w:hAnsi="Arial"/>
          <w:sz w:val="15"/>
          <w:szCs w:val="15"/>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 The Company evaluates impairment indicators on its exploration contracts at each reporting period and adjusts its carrying value if an impairment is identified.</w:t>
      </w:r>
    </w:p>
    <w:p>
      <w:pPr>
        <w:spacing w:after="0" w:line="139"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5"/>
          <w:szCs w:val="15"/>
          <w:b w:val="1"/>
          <w:bCs w:val="1"/>
          <w:color w:val="auto"/>
        </w:rPr>
        <w:t>ix.</w:t>
      </w:r>
      <w:r>
        <w:rPr>
          <w:sz w:val="20"/>
          <w:szCs w:val="20"/>
          <w:color w:val="auto"/>
        </w:rPr>
        <w:tab/>
      </w:r>
      <w:r>
        <w:rPr>
          <w:rFonts w:ascii="Arial" w:cs="Arial" w:eastAsia="Arial" w:hAnsi="Arial"/>
          <w:sz w:val="13"/>
          <w:szCs w:val="13"/>
          <w:b w:val="1"/>
          <w:bCs w:val="1"/>
          <w:color w:val="auto"/>
        </w:rPr>
        <w:t>Exploration and Evaluation Expenses</w:t>
      </w:r>
    </w:p>
    <w:p>
      <w:pPr>
        <w:spacing w:after="0" w:line="150" w:lineRule="exact"/>
        <w:rPr>
          <w:sz w:val="20"/>
          <w:szCs w:val="20"/>
          <w:color w:val="auto"/>
        </w:rPr>
      </w:pPr>
    </w:p>
    <w:p>
      <w:pPr>
        <w:jc w:val="both"/>
        <w:ind w:left="360" w:right="80" w:firstLine="1"/>
        <w:spacing w:after="0" w:line="382" w:lineRule="auto"/>
        <w:rPr>
          <w:sz w:val="20"/>
          <w:szCs w:val="20"/>
          <w:color w:val="auto"/>
        </w:rPr>
      </w:pPr>
      <w:r>
        <w:rPr>
          <w:rFonts w:ascii="Arial" w:cs="Arial" w:eastAsia="Arial" w:hAnsi="Arial"/>
          <w:sz w:val="13"/>
          <w:szCs w:val="13"/>
          <w:color w:val="auto"/>
        </w:rPr>
        <w:t>While in the exploration phase, 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18">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8pt"/>
            </w:pict>
          </mc:Fallback>
        </mc:AlternateContent>
      </w:r>
    </w:p>
    <w:p>
      <w:pPr>
        <w:sectPr>
          <w:pgSz w:w="13680" w:h="17280" w:orient="portrait"/>
          <w:cols w:equalWidth="0" w:num="1">
            <w:col w:w="10800"/>
          </w:cols>
          <w:pgMar w:left="1440" w:top="1440" w:right="1440"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620" w:hanging="265"/>
        <w:spacing w:after="0"/>
        <w:tabs>
          <w:tab w:leader="none" w:pos="62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w:t>
      </w:r>
    </w:p>
    <w:p>
      <w:pPr>
        <w:spacing w:after="0" w:line="162" w:lineRule="exact"/>
        <w:rPr>
          <w:sz w:val="20"/>
          <w:szCs w:val="20"/>
          <w:color w:val="auto"/>
        </w:rPr>
      </w:pPr>
    </w:p>
    <w:p>
      <w:pPr>
        <w:jc w:val="both"/>
        <w:ind w:left="360" w:right="100"/>
        <w:spacing w:after="0" w:line="269" w:lineRule="auto"/>
        <w:rPr>
          <w:sz w:val="20"/>
          <w:szCs w:val="20"/>
          <w:color w:val="auto"/>
        </w:rPr>
      </w:pPr>
      <w:r>
        <w:rPr>
          <w:rFonts w:ascii="Arial" w:cs="Arial" w:eastAsia="Arial" w:hAnsi="Arial"/>
          <w:sz w:val="15"/>
          <w:szCs w:val="15"/>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96"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For stock options and restricted share units issued with performance conditions (Note 17),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07"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For stock options and restricted share units issued with market conditions (Note 17),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07"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xi.  Warrants Liability</w:t>
      </w:r>
    </w:p>
    <w:p>
      <w:pPr>
        <w:spacing w:after="0" w:line="162"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(“ASC 480”), and ASC 815, Derivatives and Hedging (“ASC 815”). The classification of derivative instruments, including whether such instruments should be recorded as liabilities or as equity, is re-assessed at the end of each reporting period.</w:t>
      </w:r>
    </w:p>
    <w:p>
      <w:pPr>
        <w:spacing w:after="0" w:line="107" w:lineRule="exact"/>
        <w:rPr>
          <w:sz w:val="20"/>
          <w:szCs w:val="20"/>
          <w:color w:val="auto"/>
        </w:rPr>
      </w:pPr>
    </w:p>
    <w:p>
      <w:pPr>
        <w:jc w:val="both"/>
        <w:ind w:left="360" w:right="80"/>
        <w:spacing w:after="0" w:line="279" w:lineRule="auto"/>
        <w:rPr>
          <w:sz w:val="20"/>
          <w:szCs w:val="20"/>
          <w:color w:val="auto"/>
        </w:rPr>
      </w:pPr>
      <w:r>
        <w:rPr>
          <w:rFonts w:ascii="Arial" w:cs="Arial" w:eastAsia="Arial" w:hAnsi="Arial"/>
          <w:sz w:val="14"/>
          <w:szCs w:val="14"/>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the 15,000,000 common share warrants issued by the Company as part of the units offered in its initial public offering (“Public Warrants”) were determined to meet the criteria for equity classification, while the 9,500,000 private placement common share warrants issued by the Company in a private placement simultaneously with the closing of the initial public offering (“Private Warrants”) did not meet the criteria for equity classification and were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Fair value changes in the Private Warrants are recognized in the Company’s statement of loss and comprehensive loss.</w:t>
      </w:r>
    </w:p>
    <w:p>
      <w:pPr>
        <w:spacing w:after="0" w:line="137"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The Company issued Class A Warrants and Class B Warrants in 2024. The Class A Warrants and Class B Warrants met the criteria for equity classification and were recorded under additional paid in capital (Note 15).</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16">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099pt"/>
            </w:pict>
          </mc:Fallback>
        </mc:AlternateContent>
      </w:r>
    </w:p>
    <w:p>
      <w:pPr>
        <w:sectPr>
          <w:pgSz w:w="13680" w:h="17280" w:orient="portrait"/>
          <w:cols w:equalWidth="0" w:num="1">
            <w:col w:w="10800"/>
          </w:cols>
          <w:pgMar w:left="1440" w:top="1440" w:right="1440"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xii. Income Taxes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tax expense represents the sum of current tax expense and deferred tax expense.</w:t>
      </w:r>
    </w:p>
    <w:p>
      <w:pPr>
        <w:spacing w:after="0" w:line="194" w:lineRule="exact"/>
        <w:rPr>
          <w:sz w:val="20"/>
          <w:szCs w:val="20"/>
          <w:color w:val="auto"/>
        </w:rPr>
      </w:pPr>
    </w:p>
    <w:p>
      <w:pPr>
        <w:jc w:val="both"/>
        <w:ind w:left="360" w:right="80"/>
        <w:spacing w:after="0" w:line="323" w:lineRule="auto"/>
        <w:rPr>
          <w:sz w:val="20"/>
          <w:szCs w:val="20"/>
          <w:color w:val="auto"/>
        </w:rPr>
      </w:pPr>
      <w:r>
        <w:rPr>
          <w:rFonts w:ascii="Arial" w:cs="Arial" w:eastAsia="Arial" w:hAnsi="Arial"/>
          <w:sz w:val="13"/>
          <w:szCs w:val="13"/>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spacing w:after="0" w:line="110" w:lineRule="exact"/>
        <w:rPr>
          <w:sz w:val="20"/>
          <w:szCs w:val="20"/>
          <w:color w:val="auto"/>
        </w:rPr>
      </w:pPr>
    </w:p>
    <w:p>
      <w:pPr>
        <w:jc w:val="both"/>
        <w:ind w:left="360" w:right="80"/>
        <w:spacing w:after="0" w:line="263" w:lineRule="auto"/>
        <w:rPr>
          <w:sz w:val="20"/>
          <w:szCs w:val="20"/>
          <w:color w:val="auto"/>
        </w:rPr>
      </w:pPr>
      <w:r>
        <w:rPr>
          <w:rFonts w:ascii="Arial" w:cs="Arial" w:eastAsia="Arial" w:hAnsi="Arial"/>
          <w:sz w:val="15"/>
          <w:szCs w:val="15"/>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xiii. Leases</w:t>
      </w:r>
    </w:p>
    <w:p>
      <w:pPr>
        <w:spacing w:after="0" w:line="196" w:lineRule="exact"/>
        <w:rPr>
          <w:sz w:val="20"/>
          <w:szCs w:val="20"/>
          <w:color w:val="auto"/>
        </w:rPr>
      </w:pPr>
    </w:p>
    <w:p>
      <w:pPr>
        <w:jc w:val="both"/>
        <w:ind w:left="360" w:right="80"/>
        <w:spacing w:after="0" w:line="288" w:lineRule="auto"/>
        <w:rPr>
          <w:sz w:val="20"/>
          <w:szCs w:val="20"/>
          <w:color w:val="auto"/>
        </w:rPr>
      </w:pPr>
      <w:r>
        <w:rPr>
          <w:rFonts w:ascii="Arial" w:cs="Arial" w:eastAsia="Arial" w:hAnsi="Arial"/>
          <w:sz w:val="14"/>
          <w:szCs w:val="14"/>
          <w:color w:val="auto"/>
        </w:rPr>
        <w:t xml:space="preserve">The Company records leases in accordance with ASC 842, </w:t>
      </w:r>
      <w:r>
        <w:rPr>
          <w:rFonts w:ascii="Arial" w:cs="Arial" w:eastAsia="Arial" w:hAnsi="Arial"/>
          <w:sz w:val="14"/>
          <w:szCs w:val="14"/>
          <w:i w:val="1"/>
          <w:iCs w:val="1"/>
          <w:color w:val="auto"/>
        </w:rPr>
        <w:t>Leases</w:t>
      </w:r>
      <w:r>
        <w:rPr>
          <w:rFonts w:ascii="Arial" w:cs="Arial" w:eastAsia="Arial" w:hAnsi="Arial"/>
          <w:sz w:val="14"/>
          <w:szCs w:val="14"/>
          <w:color w:val="auto"/>
        </w:rPr>
        <w:t>, and determines if an arrangement contains a lease at inception. Specifically, a contract is or contains a lease when (1) the contract contains an explicitly or implicitly identified asset and (2) we obtain substantially all of the economic benefits from the use of that underlying asset and direct how and for what purpose the asset is used during the term of the contract in exchange for consideration. If an arrangement contains a lease, the Company performs a lease classification test to determine if the lease is an operating lease or a finance lease. Right-of-use (“ROU”) assets represent the right to use an underlying asset for the lease term and lease liabilities represent the Company’s obligation to make lease payments arising from the lease.</w:t>
      </w:r>
    </w:p>
    <w:p>
      <w:pPr>
        <w:spacing w:after="0" w:line="132" w:lineRule="exact"/>
        <w:rPr>
          <w:sz w:val="20"/>
          <w:szCs w:val="20"/>
          <w:color w:val="auto"/>
        </w:rPr>
      </w:pPr>
    </w:p>
    <w:p>
      <w:pPr>
        <w:jc w:val="both"/>
        <w:ind w:left="360" w:right="80"/>
        <w:spacing w:after="0" w:line="265" w:lineRule="auto"/>
        <w:rPr>
          <w:sz w:val="20"/>
          <w:szCs w:val="20"/>
          <w:color w:val="auto"/>
        </w:rPr>
      </w:pPr>
      <w:r>
        <w:rPr>
          <w:rFonts w:ascii="Arial" w:cs="Arial" w:eastAsia="Arial" w:hAnsi="Arial"/>
          <w:sz w:val="15"/>
          <w:szCs w:val="15"/>
          <w:color w:val="auto"/>
        </w:rPr>
        <w:t>Lease liabilities are recognized on the commencement date of the lease based on the present value of the future lease payments over the lease term. The discount rate used to calculate the present value of lease payments is the rate implicit in the lease. Lease liabilities due within the subsequent 12 months of the reporting date are classified as current lease liabilities and are included in accounts payable and accrued liabilities on the Company’s condensed consolidated balance sheet. Lease liabilities payable after the subsequent 12 months of the reporting date are classified as non-current lease liabilities and are presented as non-current lease liability in the condensed consolidated balance sheet.</w:t>
      </w:r>
    </w:p>
    <w:p>
      <w:pPr>
        <w:spacing w:after="0" w:line="146" w:lineRule="exact"/>
        <w:rPr>
          <w:sz w:val="20"/>
          <w:szCs w:val="20"/>
          <w:color w:val="auto"/>
        </w:rPr>
      </w:pPr>
    </w:p>
    <w:p>
      <w:pPr>
        <w:jc w:val="both"/>
        <w:ind w:left="360" w:right="80"/>
        <w:spacing w:after="0" w:line="294" w:lineRule="auto"/>
        <w:rPr>
          <w:sz w:val="20"/>
          <w:szCs w:val="20"/>
          <w:color w:val="auto"/>
        </w:rPr>
      </w:pPr>
      <w:r>
        <w:rPr>
          <w:rFonts w:ascii="Arial" w:cs="Arial" w:eastAsia="Arial" w:hAnsi="Arial"/>
          <w:sz w:val="14"/>
          <w:szCs w:val="14"/>
          <w:color w:val="auto"/>
        </w:rPr>
        <w:t>ROU assets are valued at the initial measurement of the lease liability, plus any indirect costs or rent prepayments, and reduced by any lease incentives and any deferred lease payments. ROU assets are recorded as Right-of-use assets, net of any amortization on the condensed consolidated balance sheet. Operating ROU assets are amortized on a straight-line basis over the lease term, whereas Finance ROU assets are amortized on a front-loaded basis. Depending on the nature of the ROU asset, the amortization expense is either included in exploration and evaluation expenses or in general and administrative expenses.</w:t>
      </w:r>
    </w:p>
    <w:p>
      <w:pPr>
        <w:spacing w:after="0" w:line="126"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The Company subsequently measures the ROU assets for an operating lease at the amount of the remeasured lease liability (i.e. the present value of the remaining lease payments), adjusted for the remaining balance of any lease incentives received, any cumulative prepaid or accrued rent if the lease payments are uneven throughout the lease term and any unamortized initial direct costs. The ROU assets for a finance lease are subsequently measured by amortizing them on a straight-line basis over the shorter of the lease term or useful life and also adjustment for any impairments.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xiv. Investments</w:t>
      </w:r>
    </w:p>
    <w:p>
      <w:pPr>
        <w:spacing w:after="0" w:line="196" w:lineRule="exact"/>
        <w:rPr>
          <w:sz w:val="20"/>
          <w:szCs w:val="20"/>
          <w:color w:val="auto"/>
        </w:rPr>
      </w:pPr>
    </w:p>
    <w:p>
      <w:pPr>
        <w:jc w:val="both"/>
        <w:ind w:left="360" w:right="80"/>
        <w:spacing w:after="0" w:line="294" w:lineRule="auto"/>
        <w:rPr>
          <w:sz w:val="20"/>
          <w:szCs w:val="20"/>
          <w:color w:val="auto"/>
        </w:rPr>
      </w:pPr>
      <w:r>
        <w:rPr>
          <w:rFonts w:ascii="Arial" w:cs="Arial" w:eastAsia="Arial" w:hAnsi="Arial"/>
          <w:sz w:val="14"/>
          <w:szCs w:val="14"/>
          <w:color w:val="auto"/>
        </w:rPr>
        <w:t xml:space="preserve">The Company consolidates investments over which it has control in accordance with ASC 810, Consolidation (“ASC 810”). Where the Company does not have control over the investment, but has significant influence, the Company records the investment in accordance with ASC 323, </w:t>
      </w:r>
      <w:r>
        <w:rPr>
          <w:rFonts w:ascii="Arial" w:cs="Arial" w:eastAsia="Arial" w:hAnsi="Arial"/>
          <w:sz w:val="14"/>
          <w:szCs w:val="14"/>
          <w:i w:val="1"/>
          <w:iCs w:val="1"/>
          <w:color w:val="auto"/>
        </w:rPr>
        <w:t>Investments-Equity Method and Joint Ventures</w:t>
      </w:r>
      <w:r>
        <w:rPr>
          <w:rFonts w:ascii="Arial" w:cs="Arial" w:eastAsia="Arial" w:hAnsi="Arial"/>
          <w:sz w:val="14"/>
          <w:szCs w:val="14"/>
          <w:color w:val="auto"/>
        </w:rPr>
        <w:t>, whereby, after recording the initial investment, the Company recognizes its proportional share of results of operations of the affiliate in its consolidated financial statements. The value of the equity method investments is impaired if it is determined that there is an other-than-temporary decline in value.</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xv. Short term debt</w:t>
      </w:r>
    </w:p>
    <w:p>
      <w:pPr>
        <w:spacing w:after="0" w:line="196"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The Company records borrowings under its short-term debt and line of credit at the amount drawn, net of any directly attributable financing costs. Interest expense is recognized as incurred based on the interest rate specified in the debt and line of credit agreements (Notes 8 and 20). Short-term debt and outstanding balances under the line of credit, are stated under Short-term debt and classified as a current liability. The accrued interest payable amount on the short-term debt and line of credit is disclosed under Accounts payable and accrued liabilities and classified as current liability.</w:t>
      </w:r>
    </w:p>
    <w:p>
      <w:pPr>
        <w:spacing w:after="0" w:line="139" w:lineRule="exact"/>
        <w:rPr>
          <w:sz w:val="20"/>
          <w:szCs w:val="20"/>
          <w:color w:val="auto"/>
        </w:rPr>
      </w:pPr>
    </w:p>
    <w:p>
      <w:pPr>
        <w:ind w:left="360" w:hanging="280"/>
        <w:spacing w:after="0"/>
        <w:tabs>
          <w:tab w:leader="none" w:pos="36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Estimates and Judgements</w:t>
      </w:r>
    </w:p>
    <w:p>
      <w:pPr>
        <w:spacing w:after="0" w:line="195" w:lineRule="exact"/>
        <w:rPr>
          <w:rFonts w:ascii="Arial" w:cs="Arial" w:eastAsia="Arial" w:hAnsi="Arial"/>
          <w:sz w:val="15"/>
          <w:szCs w:val="15"/>
          <w:b w:val="1"/>
          <w:bCs w:val="1"/>
          <w:color w:val="auto"/>
        </w:rPr>
      </w:pPr>
    </w:p>
    <w:p>
      <w:pPr>
        <w:jc w:val="both"/>
        <w:ind w:left="360" w:right="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41" w:lineRule="exact"/>
        <w:rPr>
          <w:rFonts w:ascii="Arial" w:cs="Arial" w:eastAsia="Arial" w:hAnsi="Arial"/>
          <w:sz w:val="15"/>
          <w:szCs w:val="15"/>
          <w:b w:val="1"/>
          <w:bCs w:val="1"/>
          <w:color w:val="auto"/>
        </w:rPr>
      </w:pPr>
    </w:p>
    <w:p>
      <w:pPr>
        <w:ind w:left="360" w:right="5200"/>
        <w:spacing w:after="0" w:line="509" w:lineRule="auto"/>
        <w:rPr>
          <w:rFonts w:ascii="Arial" w:cs="Arial" w:eastAsia="Arial" w:hAnsi="Arial"/>
          <w:sz w:val="15"/>
          <w:szCs w:val="15"/>
          <w:b w:val="1"/>
          <w:bCs w:val="1"/>
          <w:color w:val="auto"/>
        </w:rPr>
      </w:pPr>
      <w:r>
        <w:rPr>
          <w:rFonts w:ascii="Arial" w:cs="Arial" w:eastAsia="Arial" w:hAnsi="Arial"/>
          <w:sz w:val="15"/>
          <w:szCs w:val="15"/>
          <w:color w:val="auto"/>
        </w:rPr>
        <w:t xml:space="preserve">Significant management judgments and estimates were applied to the following areas: </w:t>
      </w:r>
      <w:r>
        <w:rPr>
          <w:rFonts w:ascii="Arial" w:cs="Arial" w:eastAsia="Arial" w:hAnsi="Arial"/>
          <w:sz w:val="15"/>
          <w:szCs w:val="15"/>
          <w:b w:val="1"/>
          <w:bCs w:val="1"/>
          <w:color w:val="auto"/>
        </w:rPr>
        <w:t>i. Evaluation of Going Concern</w:t>
      </w:r>
    </w:p>
    <w:p>
      <w:pPr>
        <w:jc w:val="both"/>
        <w:ind w:left="360" w:right="80"/>
        <w:spacing w:after="0" w:line="276" w:lineRule="auto"/>
        <w:rPr>
          <w:sz w:val="20"/>
          <w:szCs w:val="20"/>
          <w:color w:val="auto"/>
        </w:rPr>
      </w:pPr>
      <w:r>
        <w:rPr>
          <w:rFonts w:ascii="Arial" w:cs="Arial" w:eastAsia="Arial" w:hAnsi="Arial"/>
          <w:sz w:val="15"/>
          <w:szCs w:val="15"/>
          <w:color w:val="auto"/>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p>
      <w:pPr>
        <w:spacing w:after="0" w:line="134"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5"/>
          <w:szCs w:val="15"/>
          <w:b w:val="1"/>
          <w:bCs w:val="1"/>
          <w:color w:val="auto"/>
        </w:rPr>
        <w:t>ii.</w:t>
      </w:r>
      <w:r>
        <w:rPr>
          <w:sz w:val="20"/>
          <w:szCs w:val="20"/>
          <w:color w:val="auto"/>
        </w:rPr>
        <w:tab/>
      </w:r>
      <w:r>
        <w:rPr>
          <w:rFonts w:ascii="Arial" w:cs="Arial" w:eastAsia="Arial" w:hAnsi="Arial"/>
          <w:sz w:val="13"/>
          <w:szCs w:val="13"/>
          <w:b w:val="1"/>
          <w:bCs w:val="1"/>
          <w:color w:val="auto"/>
        </w:rPr>
        <w:t>Valuation of Share-Based Payments</w:t>
      </w:r>
    </w:p>
    <w:p>
      <w:pPr>
        <w:spacing w:after="0" w:line="196"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The fair market value of share-based awards granted to employees, non-employees and directors is based on the closing market price of the Company’s shares, on the date these were granted (Note 17).</w:t>
      </w:r>
    </w:p>
    <w:p>
      <w:pPr>
        <w:spacing w:after="0" w:line="119"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iii.  Valuation of Warrants</w:t>
      </w:r>
    </w:p>
    <w:p>
      <w:pPr>
        <w:spacing w:after="0" w:line="196" w:lineRule="exact"/>
        <w:rPr>
          <w:sz w:val="20"/>
          <w:szCs w:val="20"/>
          <w:color w:val="auto"/>
        </w:rPr>
      </w:pPr>
    </w:p>
    <w:p>
      <w:pPr>
        <w:ind w:left="360" w:right="120"/>
        <w:spacing w:after="0" w:line="269" w:lineRule="auto"/>
        <w:rPr>
          <w:sz w:val="20"/>
          <w:szCs w:val="20"/>
          <w:color w:val="auto"/>
        </w:rPr>
      </w:pPr>
      <w:r>
        <w:rPr>
          <w:rFonts w:ascii="Arial" w:cs="Arial" w:eastAsia="Arial" w:hAnsi="Arial"/>
          <w:sz w:val="15"/>
          <w:szCs w:val="15"/>
          <w:color w:val="auto"/>
        </w:rPr>
        <w:t>The Company re-measures the fair value of the Private Warrants at the end of each reporting period (Note 15). The fair value of the Private Warrants was estimated using a Black-Scholes option pricing model whereby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88" w:lineRule="auto"/>
        <w:rPr>
          <w:sz w:val="20"/>
          <w:szCs w:val="20"/>
          <w:color w:val="auto"/>
        </w:rPr>
      </w:pPr>
      <w:r>
        <w:rPr>
          <w:rFonts w:ascii="Arial" w:cs="Arial" w:eastAsia="Arial" w:hAnsi="Arial"/>
          <w:sz w:val="14"/>
          <w:szCs w:val="14"/>
          <w:color w:val="auto"/>
        </w:rPr>
        <w:t>During the year the Company issued Class A warrants and Class B warrants (Note 15). The warrants were valued using a Monte Carlo simulation by running 250,000 trials. The model assumed that the Company’s share price follows geometric Brownian motion which is a standard assumption used in Monte Carlo univariate pricing models. The valuation was calculated under a risk-neutral framework using a zero-coupon risk-free interest rate derived from the Treasury Constant Maturities yield curve for a term until the expiry of the Warrants. The Company’s share price was simulated up to the expiration date using a blended volatility, calculated by assigning equal weights to both implied volatility of the Company’s Public Warrants and the historical volatility of the Company’s share price.</w:t>
      </w:r>
    </w:p>
    <w:p>
      <w:pPr>
        <w:spacing w:after="0" w:line="129"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5"/>
          <w:szCs w:val="15"/>
          <w:b w:val="1"/>
          <w:bCs w:val="1"/>
          <w:color w:val="auto"/>
        </w:rPr>
        <w:t>iv.</w:t>
      </w:r>
      <w:r>
        <w:rPr>
          <w:sz w:val="20"/>
          <w:szCs w:val="20"/>
          <w:color w:val="auto"/>
        </w:rPr>
        <w:tab/>
      </w:r>
      <w:r>
        <w:rPr>
          <w:rFonts w:ascii="Arial" w:cs="Arial" w:eastAsia="Arial" w:hAnsi="Arial"/>
          <w:sz w:val="14"/>
          <w:szCs w:val="14"/>
          <w:b w:val="1"/>
          <w:bCs w:val="1"/>
          <w:color w:val="auto"/>
        </w:rPr>
        <w:t>Valuation of Royalty Liability</w:t>
      </w:r>
    </w:p>
    <w:p>
      <w:pPr>
        <w:spacing w:after="0" w:line="196"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The Company re-measures the fair value of its royalty liability at each reporting date (Note 9). As NORI is in an advanced exploration stage and pre-production, the fair value of the royalty liability is measured by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of its royalty liability at the reporting date.</w:t>
      </w:r>
    </w:p>
    <w:p>
      <w:pPr>
        <w:spacing w:after="0" w:line="139" w:lineRule="exact"/>
        <w:rPr>
          <w:sz w:val="20"/>
          <w:szCs w:val="20"/>
          <w:color w:val="auto"/>
        </w:rPr>
      </w:pPr>
    </w:p>
    <w:p>
      <w:pPr>
        <w:ind w:left="360" w:hanging="280"/>
        <w:spacing w:after="0"/>
        <w:tabs>
          <w:tab w:leader="none" w:pos="36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Issued and Adopted</w:t>
      </w:r>
    </w:p>
    <w:p>
      <w:pPr>
        <w:spacing w:after="0" w:line="195" w:lineRule="exact"/>
        <w:rPr>
          <w:rFonts w:ascii="Arial" w:cs="Arial" w:eastAsia="Arial" w:hAnsi="Arial"/>
          <w:sz w:val="15"/>
          <w:szCs w:val="15"/>
          <w:b w:val="1"/>
          <w:bCs w:val="1"/>
          <w:color w:val="auto"/>
        </w:rPr>
      </w:pPr>
    </w:p>
    <w:p>
      <w:pPr>
        <w:jc w:val="both"/>
        <w:ind w:left="360" w:right="80" w:firstLine="1"/>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In November 2023, Accounting Standard Update (“ASU”) 2023-07 was issued which improves disclosures about a public entity’s reportable segments and addresses requests from investors and other allocators of capital for additional, more detailed information about a reportable segment’s expenses and assets. The ASU applies to all public entities that are required to report segment information in accordance with ASC 280. The adoption of this update did not have a material impact on the Company’s consolidated financial statements or disclosures.</w:t>
      </w:r>
    </w:p>
    <w:p>
      <w:pPr>
        <w:spacing w:after="0" w:line="139" w:lineRule="exact"/>
        <w:rPr>
          <w:rFonts w:ascii="Arial" w:cs="Arial" w:eastAsia="Arial" w:hAnsi="Arial"/>
          <w:sz w:val="15"/>
          <w:szCs w:val="15"/>
          <w:b w:val="1"/>
          <w:bCs w:val="1"/>
          <w:color w:val="auto"/>
        </w:rPr>
      </w:pPr>
    </w:p>
    <w:p>
      <w:pPr>
        <w:ind w:left="360" w:hanging="280"/>
        <w:spacing w:after="0"/>
        <w:tabs>
          <w:tab w:leader="none" w:pos="36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Receivables and Prepayments</w:t>
      </w:r>
    </w:p>
    <w:p>
      <w:pPr>
        <w:spacing w:after="0" w:line="195"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color w:val="auto"/>
        </w:rPr>
        <w:t>The amounts of outstanding receivables and prepayments at December 31, 2024 and 2023 are as follows:</w:t>
      </w: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280" w:type="dxa"/>
            <w:vAlign w:val="bottom"/>
          </w:tcPr>
          <w:p>
            <w:pPr>
              <w:spacing w:after="0"/>
              <w:rPr>
                <w:sz w:val="13"/>
                <w:szCs w:val="13"/>
                <w:color w:val="auto"/>
              </w:rPr>
            </w:pPr>
          </w:p>
        </w:tc>
        <w:tc>
          <w:tcPr>
            <w:tcW w:w="3300" w:type="dxa"/>
            <w:vAlign w:val="bottom"/>
            <w:tcBorders>
              <w:bottom w:val="single" w:sz="8" w:color="D2EEF5"/>
            </w:tcBorders>
          </w:tcPr>
          <w:p>
            <w:pPr>
              <w:spacing w:after="0"/>
              <w:rPr>
                <w:sz w:val="13"/>
                <w:szCs w:val="13"/>
                <w:color w:val="auto"/>
              </w:rPr>
            </w:pPr>
          </w:p>
        </w:tc>
        <w:tc>
          <w:tcPr>
            <w:tcW w:w="3760" w:type="dxa"/>
            <w:vAlign w:val="bottom"/>
            <w:tcBorders>
              <w:bottom w:val="single" w:sz="8" w:color="D2EEF5"/>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December 31 2024</w:t>
            </w:r>
          </w:p>
        </w:tc>
        <w:tc>
          <w:tcPr>
            <w:tcW w:w="280" w:type="dxa"/>
            <w:vAlign w:val="bottom"/>
            <w:tcBorders>
              <w:bottom w:val="single" w:sz="8" w:color="D2EEF5"/>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December 31 2023</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300" w:type="dxa"/>
            <w:vAlign w:val="bottom"/>
            <w:shd w:val="clear" w:color="auto" w:fill="D2EEF5"/>
          </w:tcPr>
          <w:p>
            <w:pPr>
              <w:spacing w:after="0"/>
              <w:rPr>
                <w:sz w:val="20"/>
                <w:szCs w:val="20"/>
                <w:color w:val="auto"/>
              </w:rPr>
            </w:pPr>
            <w:r>
              <w:rPr>
                <w:rFonts w:ascii="Arial" w:cs="Arial" w:eastAsia="Arial" w:hAnsi="Arial"/>
                <w:sz w:val="15"/>
                <w:szCs w:val="15"/>
                <w:color w:val="auto"/>
              </w:rPr>
              <w:t>Taxes and other receivables</w:t>
            </w:r>
          </w:p>
        </w:tc>
        <w:tc>
          <w:tcPr>
            <w:tcW w:w="3920" w:type="dxa"/>
            <w:vAlign w:val="bottom"/>
            <w:gridSpan w:val="2"/>
            <w:shd w:val="clear" w:color="auto" w:fill="D2EEF5"/>
          </w:tcPr>
          <w:p>
            <w:pPr>
              <w:jc w:val="right"/>
              <w:ind w:right="49"/>
              <w:spacing w:after="0"/>
              <w:rPr>
                <w:sz w:val="20"/>
                <w:szCs w:val="20"/>
                <w:color w:val="auto"/>
              </w:rPr>
            </w:pPr>
            <w:r>
              <w:rPr>
                <w:rFonts w:ascii="Arial" w:cs="Arial" w:eastAsia="Arial" w:hAnsi="Arial"/>
                <w:sz w:val="12"/>
                <w:szCs w:val="12"/>
                <w:b w:val="1"/>
                <w:bCs w:val="1"/>
                <w:color w:val="auto"/>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249</w:t>
            </w:r>
          </w:p>
        </w:tc>
        <w:tc>
          <w:tcPr>
            <w:tcW w:w="440" w:type="dxa"/>
            <w:vAlign w:val="bottom"/>
            <w:gridSpan w:val="2"/>
            <w:shd w:val="clear" w:color="auto" w:fill="D2EEF5"/>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467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7"/>
                <w:szCs w:val="17"/>
                <w:color w:val="auto"/>
              </w:rPr>
            </w:pPr>
          </w:p>
        </w:tc>
        <w:tc>
          <w:tcPr>
            <w:tcW w:w="33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Prepayments</w:t>
            </w:r>
          </w:p>
        </w:tc>
        <w:tc>
          <w:tcPr>
            <w:tcW w:w="3760" w:type="dxa"/>
            <w:vAlign w:val="bottom"/>
            <w:tcBorders>
              <w:bottom w:val="single" w:sz="8" w:color="D2EEF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1,602</w:t>
            </w:r>
          </w:p>
        </w:tc>
        <w:tc>
          <w:tcPr>
            <w:tcW w:w="280" w:type="dxa"/>
            <w:vAlign w:val="bottom"/>
            <w:tcBorders>
              <w:bottom w:val="single" w:sz="8" w:color="D2EEF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300" w:type="dxa"/>
            <w:vAlign w:val="bottom"/>
            <w:tcBorders>
              <w:top w:val="single" w:sz="8" w:color="D2EEF5"/>
            </w:tcBorders>
            <w:shd w:val="clear" w:color="auto" w:fill="D2EEF5"/>
          </w:tcPr>
          <w:p>
            <w:pPr>
              <w:spacing w:after="0"/>
              <w:rPr>
                <w:sz w:val="15"/>
                <w:szCs w:val="15"/>
                <w:color w:val="auto"/>
              </w:rPr>
            </w:pPr>
          </w:p>
        </w:tc>
        <w:tc>
          <w:tcPr>
            <w:tcW w:w="376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shd w:val="clear" w:color="auto" w:fill="D2EEF5"/>
          </w:tcPr>
          <w:p>
            <w:pPr>
              <w:jc w:val="right"/>
              <w:spacing w:after="0" w:line="154" w:lineRule="exact"/>
              <w:rPr>
                <w:sz w:val="20"/>
                <w:szCs w:val="20"/>
                <w:color w:val="auto"/>
              </w:rPr>
            </w:pPr>
            <w:r>
              <w:rPr>
                <w:rFonts w:ascii="Arial" w:cs="Arial" w:eastAsia="Arial" w:hAnsi="Arial"/>
                <w:sz w:val="15"/>
                <w:szCs w:val="15"/>
                <w:b w:val="1"/>
                <w:bCs w:val="1"/>
                <w:color w:val="auto"/>
              </w:rPr>
              <w:t>1,851</w:t>
            </w:r>
          </w:p>
        </w:tc>
        <w:tc>
          <w:tcPr>
            <w:tcW w:w="440" w:type="dxa"/>
            <w:vAlign w:val="bottom"/>
            <w:tcBorders>
              <w:top w:val="single" w:sz="8" w:color="D2EEF5"/>
            </w:tcBorders>
            <w:gridSpan w:val="2"/>
            <w:shd w:val="clear" w:color="auto" w:fill="D2EEF5"/>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D2EEF5"/>
            </w:tcBorders>
            <w:shd w:val="clear" w:color="auto" w:fill="D2EEF5"/>
          </w:tcPr>
          <w:p>
            <w:pPr>
              <w:jc w:val="right"/>
              <w:spacing w:after="0" w:line="154" w:lineRule="exact"/>
              <w:rPr>
                <w:sz w:val="20"/>
                <w:szCs w:val="20"/>
                <w:color w:val="auto"/>
              </w:rPr>
            </w:pPr>
            <w:r>
              <w:rPr>
                <w:rFonts w:ascii="Arial" w:cs="Arial" w:eastAsia="Arial" w:hAnsi="Arial"/>
                <w:sz w:val="15"/>
                <w:szCs w:val="15"/>
                <w:color w:val="auto"/>
              </w:rPr>
              <w:t>1,978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300" w:type="dxa"/>
            <w:vAlign w:val="bottom"/>
            <w:tcBorders>
              <w:top w:val="single" w:sz="8" w:color="D2EEF5"/>
            </w:tcBorders>
          </w:tcPr>
          <w:p>
            <w:pPr>
              <w:spacing w:after="0" w:line="20" w:lineRule="exact"/>
              <w:rPr>
                <w:sz w:val="1"/>
                <w:szCs w:val="1"/>
                <w:color w:val="auto"/>
              </w:rPr>
            </w:pPr>
          </w:p>
        </w:tc>
        <w:tc>
          <w:tcPr>
            <w:tcW w:w="3760" w:type="dxa"/>
            <w:vAlign w:val="bottom"/>
            <w:tcBorders>
              <w:top w:val="single" w:sz="8" w:color="D2EEF5"/>
              <w:bottom w:val="single" w:sz="8" w:color="D2EEF5"/>
            </w:tcBorders>
            <w:vMerge w:val="restart"/>
          </w:tcPr>
          <w:p>
            <w:pPr>
              <w:jc w:val="right"/>
              <w:ind w:right="1831"/>
              <w:spacing w:after="0"/>
              <w:rPr>
                <w:sz w:val="20"/>
                <w:szCs w:val="20"/>
                <w:color w:val="auto"/>
              </w:rPr>
            </w:pPr>
            <w:r>
              <w:rPr>
                <w:rFonts w:ascii="Arial" w:cs="Arial" w:eastAsia="Arial" w:hAnsi="Arial"/>
                <w:sz w:val="15"/>
                <w:szCs w:val="15"/>
                <w:color w:val="auto"/>
              </w:rPr>
              <w:t>131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376" w:lineRule="exact"/>
        <w:rPr>
          <w:sz w:val="20"/>
          <w:szCs w:val="20"/>
          <w:color w:val="auto"/>
        </w:rPr>
      </w:pPr>
    </w:p>
    <w:p>
      <w:pPr>
        <w:ind w:left="360" w:hanging="280"/>
        <w:spacing w:after="0"/>
        <w:tabs>
          <w:tab w:leader="none" w:pos="36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Equipment and Software</w:t>
      </w:r>
    </w:p>
    <w:p>
      <w:pPr>
        <w:spacing w:after="0" w:line="195"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color w:val="auto"/>
        </w:rPr>
        <w:t>The movements in the Company’s capital equipment are as follows:</w:t>
      </w:r>
    </w:p>
    <w:p>
      <w:pPr>
        <w:spacing w:after="0" w:line="27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Equipment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 xml:space="preserve">Software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Borders>
              <w:top w:val="single" w:sz="8" w:color="auto"/>
            </w:tcBorders>
            <w:gridSpan w:val="2"/>
            <w:shd w:val="clear" w:color="auto" w:fill="D2EEF5"/>
          </w:tcPr>
          <w:p>
            <w:pPr>
              <w:spacing w:after="0"/>
              <w:rPr>
                <w:sz w:val="20"/>
                <w:szCs w:val="20"/>
                <w:color w:val="auto"/>
              </w:rPr>
            </w:pPr>
            <w:r>
              <w:rPr>
                <w:rFonts w:ascii="Arial" w:cs="Arial" w:eastAsia="Arial" w:hAnsi="Arial"/>
                <w:sz w:val="15"/>
                <w:szCs w:val="15"/>
                <w:color w:val="auto"/>
              </w:rPr>
              <w:t>December 31, 2022</w:t>
            </w:r>
          </w:p>
        </w:tc>
        <w:tc>
          <w:tcPr>
            <w:tcW w:w="200" w:type="dxa"/>
            <w:vAlign w:val="bottom"/>
            <w:tcBorders>
              <w:top w:val="single" w:sz="8" w:color="D2EEF5"/>
            </w:tcBorders>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jc w:val="right"/>
              <w:ind w:right="14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2,963</w:t>
            </w:r>
          </w:p>
        </w:tc>
        <w:tc>
          <w:tcPr>
            <w:tcW w:w="240" w:type="dxa"/>
            <w:vAlign w:val="bottom"/>
            <w:tcBorders>
              <w:top w:val="single" w:sz="8" w:color="D2EEF5"/>
            </w:tcBorders>
            <w:gridSpan w:val="2"/>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jc w:val="right"/>
              <w:ind w:right="19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tcBorders>
              <w:bottom w:val="single" w:sz="8" w:color="D2EEF5"/>
            </w:tcBorders>
            <w:gridSpan w:val="2"/>
          </w:tcPr>
          <w:p>
            <w:pPr>
              <w:ind w:left="60"/>
              <w:spacing w:after="0"/>
              <w:rPr>
                <w:sz w:val="20"/>
                <w:szCs w:val="20"/>
                <w:color w:val="auto"/>
              </w:rPr>
            </w:pPr>
            <w:r>
              <w:rPr>
                <w:rFonts w:ascii="Arial" w:cs="Arial" w:eastAsia="Arial" w:hAnsi="Arial"/>
                <w:sz w:val="15"/>
                <w:szCs w:val="15"/>
                <w:color w:val="auto"/>
              </w:rPr>
              <w:t>Additions</w:t>
            </w:r>
          </w:p>
        </w:tc>
        <w:tc>
          <w:tcPr>
            <w:tcW w:w="200" w:type="dxa"/>
            <w:vAlign w:val="bottom"/>
            <w:tcBorders>
              <w:bottom w:val="single" w:sz="8" w:color="D2EEF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22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gridSpan w:val="2"/>
            <w:shd w:val="clear" w:color="auto" w:fill="D2EEF5"/>
          </w:tcPr>
          <w:p>
            <w:pPr>
              <w:spacing w:after="0"/>
              <w:rPr>
                <w:sz w:val="20"/>
                <w:szCs w:val="20"/>
                <w:color w:val="auto"/>
              </w:rPr>
            </w:pPr>
            <w:r>
              <w:rPr>
                <w:rFonts w:ascii="Arial" w:cs="Arial" w:eastAsia="Arial" w:hAnsi="Arial"/>
                <w:sz w:val="15"/>
                <w:szCs w:val="15"/>
                <w:b w:val="1"/>
                <w:bCs w:val="1"/>
                <w:color w:val="auto"/>
              </w:rPr>
              <w:t>December 31, 2023</w:t>
            </w:r>
          </w:p>
        </w:tc>
        <w:tc>
          <w:tcPr>
            <w:tcW w:w="200" w:type="dxa"/>
            <w:vAlign w:val="bottom"/>
            <w:shd w:val="clear" w:color="auto" w:fill="D2EEF5"/>
          </w:tcPr>
          <w:p>
            <w:pPr>
              <w:spacing w:after="0"/>
              <w:rPr>
                <w:sz w:val="15"/>
                <w:szCs w:val="15"/>
                <w:color w:val="auto"/>
              </w:rPr>
            </w:pPr>
          </w:p>
        </w:tc>
        <w:tc>
          <w:tcPr>
            <w:tcW w:w="300" w:type="dxa"/>
            <w:vAlign w:val="bottom"/>
            <w:shd w:val="clear" w:color="auto" w:fill="D2EEF5"/>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3,294</w:t>
            </w:r>
          </w:p>
        </w:tc>
        <w:tc>
          <w:tcPr>
            <w:tcW w:w="240" w:type="dxa"/>
            <w:vAlign w:val="bottom"/>
            <w:gridSpan w:val="2"/>
            <w:shd w:val="clear" w:color="auto" w:fill="D2EEF5"/>
          </w:tcPr>
          <w:p>
            <w:pPr>
              <w:spacing w:after="0"/>
              <w:rPr>
                <w:sz w:val="15"/>
                <w:szCs w:val="15"/>
                <w:color w:val="auto"/>
              </w:rPr>
            </w:pPr>
          </w:p>
        </w:tc>
        <w:tc>
          <w:tcPr>
            <w:tcW w:w="300" w:type="dxa"/>
            <w:vAlign w:val="bottom"/>
            <w:shd w:val="clear" w:color="auto" w:fill="D2EEF5"/>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1,643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tcBorders>
              <w:bottom w:val="single" w:sz="8" w:color="D2EEF5"/>
            </w:tcBorders>
            <w:gridSpan w:val="2"/>
          </w:tcPr>
          <w:p>
            <w:pPr>
              <w:ind w:left="60"/>
              <w:spacing w:after="0"/>
              <w:rPr>
                <w:sz w:val="20"/>
                <w:szCs w:val="20"/>
                <w:color w:val="auto"/>
              </w:rPr>
            </w:pPr>
            <w:r>
              <w:rPr>
                <w:rFonts w:ascii="Arial" w:cs="Arial" w:eastAsia="Arial" w:hAnsi="Arial"/>
                <w:sz w:val="15"/>
                <w:szCs w:val="15"/>
                <w:color w:val="auto"/>
              </w:rPr>
              <w:t>Additions</w:t>
            </w:r>
          </w:p>
        </w:tc>
        <w:tc>
          <w:tcPr>
            <w:tcW w:w="200" w:type="dxa"/>
            <w:vAlign w:val="bottom"/>
            <w:tcBorders>
              <w:bottom w:val="single" w:sz="8" w:color="D2EEF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gridSpan w:val="2"/>
            <w:shd w:val="clear" w:color="auto" w:fill="D2EEF5"/>
          </w:tcPr>
          <w:p>
            <w:pPr>
              <w:spacing w:after="0"/>
              <w:rPr>
                <w:sz w:val="20"/>
                <w:szCs w:val="20"/>
                <w:color w:val="auto"/>
              </w:rPr>
            </w:pPr>
            <w:r>
              <w:rPr>
                <w:rFonts w:ascii="Arial" w:cs="Arial" w:eastAsia="Arial" w:hAnsi="Arial"/>
                <w:sz w:val="15"/>
                <w:szCs w:val="15"/>
                <w:b w:val="1"/>
                <w:bCs w:val="1"/>
                <w:color w:val="auto"/>
              </w:rPr>
              <w:t>December 31, 2024</w:t>
            </w:r>
          </w:p>
        </w:tc>
        <w:tc>
          <w:tcPr>
            <w:tcW w:w="200" w:type="dxa"/>
            <w:vAlign w:val="bottom"/>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3,294</w:t>
            </w:r>
          </w:p>
        </w:tc>
        <w:tc>
          <w:tcPr>
            <w:tcW w:w="240" w:type="dxa"/>
            <w:vAlign w:val="bottom"/>
            <w:gridSpan w:val="2"/>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1,928</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5"/>
                <w:szCs w:val="15"/>
                <w:b w:val="1"/>
                <w:bCs w:val="1"/>
                <w:color w:val="auto"/>
              </w:rPr>
              <w:t>Accumulated depreciation</w:t>
            </w:r>
          </w:p>
        </w:tc>
        <w:tc>
          <w:tcPr>
            <w:tcW w:w="200" w:type="dxa"/>
            <w:vAlign w:val="bottom"/>
            <w:tcBorders>
              <w:bottom w:val="single" w:sz="8" w:color="D2EEF5"/>
            </w:tcBorders>
            <w:shd w:val="clear" w:color="auto" w:fill="D2EEF5"/>
          </w:tcPr>
          <w:p>
            <w:pPr>
              <w:spacing w:after="0"/>
              <w:rPr>
                <w:sz w:val="17"/>
                <w:szCs w:val="17"/>
                <w:color w:val="auto"/>
              </w:rPr>
            </w:pPr>
          </w:p>
        </w:tc>
        <w:tc>
          <w:tcPr>
            <w:tcW w:w="300" w:type="dxa"/>
            <w:vAlign w:val="bottom"/>
            <w:tcBorders>
              <w:bottom w:val="single" w:sz="8" w:color="auto"/>
            </w:tcBorders>
            <w:shd w:val="clear" w:color="auto" w:fill="D2EEF5"/>
          </w:tcPr>
          <w:p>
            <w:pPr>
              <w:spacing w:after="0"/>
              <w:rPr>
                <w:sz w:val="17"/>
                <w:szCs w:val="17"/>
                <w:color w:val="auto"/>
              </w:rPr>
            </w:pPr>
          </w:p>
        </w:tc>
        <w:tc>
          <w:tcPr>
            <w:tcW w:w="860" w:type="dxa"/>
            <w:vAlign w:val="bottom"/>
            <w:tcBorders>
              <w:bottom w:val="single" w:sz="8" w:color="auto"/>
            </w:tcBorders>
            <w:shd w:val="clear" w:color="auto" w:fill="D2EEF5"/>
          </w:tcPr>
          <w:p>
            <w:pPr>
              <w:spacing w:after="0"/>
              <w:rPr>
                <w:sz w:val="17"/>
                <w:szCs w:val="17"/>
                <w:color w:val="auto"/>
              </w:rPr>
            </w:pPr>
          </w:p>
        </w:tc>
        <w:tc>
          <w:tcPr>
            <w:tcW w:w="220" w:type="dxa"/>
            <w:vAlign w:val="bottom"/>
            <w:tcBorders>
              <w:bottom w:val="single" w:sz="8" w:color="D2EEF5"/>
            </w:tcBorders>
            <w:shd w:val="clear" w:color="auto" w:fill="D2EEF5"/>
          </w:tcPr>
          <w:p>
            <w:pPr>
              <w:spacing w:after="0"/>
              <w:rPr>
                <w:sz w:val="17"/>
                <w:szCs w:val="17"/>
                <w:color w:val="auto"/>
              </w:rPr>
            </w:pPr>
          </w:p>
        </w:tc>
        <w:tc>
          <w:tcPr>
            <w:tcW w:w="20" w:type="dxa"/>
            <w:vAlign w:val="bottom"/>
            <w:tcBorders>
              <w:bottom w:val="single" w:sz="8" w:color="D2EEF5"/>
            </w:tcBorders>
            <w:shd w:val="clear" w:color="auto" w:fill="D2EEF5"/>
          </w:tcPr>
          <w:p>
            <w:pPr>
              <w:spacing w:after="0"/>
              <w:rPr>
                <w:sz w:val="17"/>
                <w:szCs w:val="17"/>
                <w:color w:val="auto"/>
              </w:rPr>
            </w:pPr>
          </w:p>
        </w:tc>
        <w:tc>
          <w:tcPr>
            <w:tcW w:w="300" w:type="dxa"/>
            <w:vAlign w:val="bottom"/>
            <w:tcBorders>
              <w:bottom w:val="single" w:sz="8" w:color="auto"/>
            </w:tcBorders>
            <w:shd w:val="clear" w:color="auto" w:fill="D2EEF5"/>
          </w:tcPr>
          <w:p>
            <w:pPr>
              <w:spacing w:after="0"/>
              <w:rPr>
                <w:sz w:val="17"/>
                <w:szCs w:val="17"/>
                <w:color w:val="auto"/>
              </w:rPr>
            </w:pPr>
          </w:p>
        </w:tc>
        <w:tc>
          <w:tcPr>
            <w:tcW w:w="860" w:type="dxa"/>
            <w:vAlign w:val="bottom"/>
            <w:tcBorders>
              <w:bottom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40" w:type="dxa"/>
            <w:vAlign w:val="bottom"/>
            <w:gridSpan w:val="2"/>
          </w:tcPr>
          <w:p>
            <w:pPr>
              <w:spacing w:after="0" w:line="154" w:lineRule="exact"/>
              <w:rPr>
                <w:sz w:val="20"/>
                <w:szCs w:val="20"/>
                <w:color w:val="auto"/>
              </w:rPr>
            </w:pPr>
            <w:r>
              <w:rPr>
                <w:rFonts w:ascii="Arial" w:cs="Arial" w:eastAsia="Arial" w:hAnsi="Arial"/>
                <w:sz w:val="15"/>
                <w:szCs w:val="15"/>
                <w:color w:val="auto"/>
              </w:rPr>
              <w:t>December 31, 2022</w:t>
            </w:r>
          </w:p>
        </w:tc>
        <w:tc>
          <w:tcPr>
            <w:tcW w:w="200" w:type="dxa"/>
            <w:vAlign w:val="bottom"/>
          </w:tcPr>
          <w:p>
            <w:pPr>
              <w:spacing w:after="0"/>
              <w:rPr>
                <w:sz w:val="13"/>
                <w:szCs w:val="13"/>
                <w:color w:val="auto"/>
              </w:rPr>
            </w:pPr>
          </w:p>
        </w:tc>
        <w:tc>
          <w:tcPr>
            <w:tcW w:w="300" w:type="dxa"/>
            <w:vAlign w:val="bottom"/>
          </w:tcPr>
          <w:p>
            <w:pPr>
              <w:jc w:val="right"/>
              <w:ind w:right="144"/>
              <w:spacing w:after="0" w:line="154"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54" w:lineRule="exact"/>
              <w:rPr>
                <w:sz w:val="20"/>
                <w:szCs w:val="20"/>
                <w:color w:val="auto"/>
              </w:rPr>
            </w:pPr>
            <w:r>
              <w:rPr>
                <w:rFonts w:ascii="Arial" w:cs="Arial" w:eastAsia="Arial" w:hAnsi="Arial"/>
                <w:sz w:val="15"/>
                <w:szCs w:val="15"/>
                <w:color w:val="auto"/>
              </w:rPr>
              <w:t>(1,801)</w:t>
            </w:r>
          </w:p>
        </w:tc>
        <w:tc>
          <w:tcPr>
            <w:tcW w:w="240" w:type="dxa"/>
            <w:vAlign w:val="bottom"/>
            <w:gridSpan w:val="2"/>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shd w:val="clear" w:color="auto" w:fill="D2EEF5"/>
          </w:tcPr>
          <w:p>
            <w:pPr>
              <w:ind w:left="60"/>
              <w:spacing w:after="0"/>
              <w:rPr>
                <w:sz w:val="20"/>
                <w:szCs w:val="20"/>
                <w:color w:val="auto"/>
              </w:rPr>
            </w:pPr>
            <w:r>
              <w:rPr>
                <w:rFonts w:ascii="Arial" w:cs="Arial" w:eastAsia="Arial" w:hAnsi="Arial"/>
                <w:sz w:val="15"/>
                <w:szCs w:val="15"/>
                <w:color w:val="auto"/>
              </w:rPr>
              <w:t>Amortization for the year</w:t>
            </w:r>
          </w:p>
        </w:tc>
        <w:tc>
          <w:tcPr>
            <w:tcW w:w="200" w:type="dxa"/>
            <w:vAlign w:val="bottom"/>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spacing w:after="0"/>
              <w:rPr>
                <w:sz w:val="15"/>
                <w:szCs w:val="15"/>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(360)</w:t>
            </w:r>
          </w:p>
        </w:tc>
        <w:tc>
          <w:tcPr>
            <w:tcW w:w="22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spacing w:after="0"/>
              <w:rPr>
                <w:sz w:val="15"/>
                <w:szCs w:val="15"/>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5"/>
                <w:szCs w:val="15"/>
                <w:b w:val="1"/>
                <w:bCs w:val="1"/>
                <w:color w:val="auto"/>
              </w:rPr>
              <w:t>December 31, 2023</w:t>
            </w:r>
          </w:p>
        </w:tc>
        <w:tc>
          <w:tcPr>
            <w:tcW w:w="20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(2,161)</w:t>
            </w:r>
          </w:p>
        </w:tc>
        <w:tc>
          <w:tcPr>
            <w:tcW w:w="240" w:type="dxa"/>
            <w:vAlign w:val="bottom"/>
            <w:gridSpan w:val="2"/>
          </w:tcPr>
          <w:p>
            <w:pPr>
              <w:spacing w:after="0"/>
              <w:rPr>
                <w:sz w:val="15"/>
                <w:szCs w:val="15"/>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shd w:val="clear" w:color="auto" w:fill="D2EEF5"/>
          </w:tcPr>
          <w:p>
            <w:pPr>
              <w:ind w:left="60"/>
              <w:spacing w:after="0"/>
              <w:rPr>
                <w:sz w:val="20"/>
                <w:szCs w:val="20"/>
                <w:color w:val="auto"/>
              </w:rPr>
            </w:pPr>
            <w:r>
              <w:rPr>
                <w:rFonts w:ascii="Arial" w:cs="Arial" w:eastAsia="Arial" w:hAnsi="Arial"/>
                <w:sz w:val="15"/>
                <w:szCs w:val="15"/>
                <w:b w:val="1"/>
                <w:bCs w:val="1"/>
                <w:color w:val="auto"/>
              </w:rPr>
              <w:t>Amortization for the year</w:t>
            </w:r>
          </w:p>
        </w:tc>
        <w:tc>
          <w:tcPr>
            <w:tcW w:w="200" w:type="dxa"/>
            <w:vAlign w:val="bottom"/>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spacing w:after="0"/>
              <w:rPr>
                <w:sz w:val="15"/>
                <w:szCs w:val="15"/>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(362)</w:t>
            </w:r>
          </w:p>
        </w:tc>
        <w:tc>
          <w:tcPr>
            <w:tcW w:w="22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spacing w:after="0"/>
              <w:rPr>
                <w:sz w:val="15"/>
                <w:szCs w:val="15"/>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Borders>
              <w:bottom w:val="single" w:sz="8" w:color="D2EEF5"/>
            </w:tcBorders>
            <w:gridSpan w:val="2"/>
          </w:tcPr>
          <w:p>
            <w:pPr>
              <w:spacing w:after="0"/>
              <w:rPr>
                <w:sz w:val="20"/>
                <w:szCs w:val="20"/>
                <w:color w:val="auto"/>
              </w:rPr>
            </w:pPr>
            <w:r>
              <w:rPr>
                <w:rFonts w:ascii="Arial" w:cs="Arial" w:eastAsia="Arial" w:hAnsi="Arial"/>
                <w:sz w:val="15"/>
                <w:szCs w:val="15"/>
                <w:b w:val="1"/>
                <w:bCs w:val="1"/>
                <w:color w:val="auto"/>
              </w:rPr>
              <w:t>December 31, 2024</w:t>
            </w:r>
          </w:p>
        </w:tc>
        <w:tc>
          <w:tcPr>
            <w:tcW w:w="200" w:type="dxa"/>
            <w:vAlign w:val="bottom"/>
            <w:tcBorders>
              <w:bottom w:val="single" w:sz="8" w:color="D2EEF5"/>
            </w:tcBorders>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(2,523)</w:t>
            </w:r>
          </w:p>
        </w:tc>
        <w:tc>
          <w:tcPr>
            <w:tcW w:w="240" w:type="dxa"/>
            <w:vAlign w:val="bottom"/>
            <w:tcBorders>
              <w:bottom w:val="single" w:sz="8" w:color="D2EEF5"/>
            </w:tcBorders>
            <w:gridSpan w:val="2"/>
          </w:tcPr>
          <w:p>
            <w:pPr>
              <w:spacing w:after="0"/>
              <w:rPr>
                <w:sz w:val="15"/>
                <w:szCs w:val="15"/>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20" w:type="dxa"/>
            <w:vAlign w:val="bottom"/>
            <w:shd w:val="clear" w:color="auto" w:fill="D2EEF5"/>
          </w:tcPr>
          <w:p>
            <w:pPr>
              <w:spacing w:after="0"/>
              <w:rPr>
                <w:sz w:val="15"/>
                <w:szCs w:val="15"/>
                <w:color w:val="auto"/>
              </w:rPr>
            </w:pPr>
          </w:p>
        </w:tc>
        <w:tc>
          <w:tcPr>
            <w:tcW w:w="442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5"/>
                <w:szCs w:val="15"/>
                <w:b w:val="1"/>
                <w:bCs w:val="1"/>
                <w:color w:val="auto"/>
              </w:rPr>
              <w:t>Net book value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As at December 31, 2023</w:t>
            </w:r>
          </w:p>
        </w:tc>
        <w:tc>
          <w:tcPr>
            <w:tcW w:w="500" w:type="dxa"/>
            <w:vAlign w:val="bottom"/>
            <w:gridSpan w:val="2"/>
            <w:shd w:val="clear" w:color="auto" w:fill="D2EEF5"/>
          </w:tcPr>
          <w:p>
            <w:pPr>
              <w:jc w:val="right"/>
              <w:ind w:right="144"/>
              <w:spacing w:after="0"/>
              <w:rPr>
                <w:sz w:val="20"/>
                <w:szCs w:val="20"/>
                <w:color w:val="auto"/>
              </w:rPr>
            </w:pPr>
            <w:r>
              <w:rPr>
                <w:rFonts w:ascii="Arial" w:cs="Arial" w:eastAsia="Arial" w:hAnsi="Arial"/>
                <w:sz w:val="15"/>
                <w:szCs w:val="15"/>
                <w:color w:val="auto"/>
              </w:rPr>
              <w:t>$</w:t>
            </w: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1,133</w:t>
            </w:r>
          </w:p>
        </w:tc>
        <w:tc>
          <w:tcPr>
            <w:tcW w:w="540" w:type="dxa"/>
            <w:vAlign w:val="bottom"/>
            <w:gridSpan w:val="3"/>
            <w:shd w:val="clear" w:color="auto" w:fill="D2EEF5"/>
          </w:tcPr>
          <w:p>
            <w:pPr>
              <w:jc w:val="right"/>
              <w:ind w:right="191"/>
              <w:spacing w:after="0"/>
              <w:rPr>
                <w:sz w:val="20"/>
                <w:szCs w:val="20"/>
                <w:color w:val="auto"/>
              </w:rPr>
            </w:pPr>
            <w:r>
              <w:rPr>
                <w:rFonts w:ascii="Arial" w:cs="Arial" w:eastAsia="Arial" w:hAnsi="Arial"/>
                <w:sz w:val="15"/>
                <w:szCs w:val="15"/>
                <w:color w:val="auto"/>
              </w:rPr>
              <w:t>$</w:t>
            </w: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5"/>
                <w:szCs w:val="15"/>
                <w:b w:val="1"/>
                <w:bCs w:val="1"/>
                <w:color w:val="auto"/>
              </w:rPr>
              <w:t>As at December 31, 2024</w:t>
            </w:r>
          </w:p>
        </w:tc>
        <w:tc>
          <w:tcPr>
            <w:tcW w:w="50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771</w:t>
            </w:r>
          </w:p>
        </w:tc>
        <w:tc>
          <w:tcPr>
            <w:tcW w:w="540" w:type="dxa"/>
            <w:vAlign w:val="bottom"/>
            <w:gridSpan w:val="3"/>
          </w:tcPr>
          <w:p>
            <w:pPr>
              <w:jc w:val="right"/>
              <w:ind w:right="191"/>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4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60" w:hanging="283"/>
        <w:spacing w:after="0" w:line="238" w:lineRule="auto"/>
        <w:tabs>
          <w:tab w:leader="none" w:pos="660" w:val="left"/>
        </w:tabs>
        <w:numPr>
          <w:ilvl w:val="1"/>
          <w:numId w:val="55"/>
        </w:numPr>
        <w:rPr>
          <w:rFonts w:ascii="Arial" w:cs="Arial" w:eastAsia="Arial" w:hAnsi="Arial"/>
          <w:sz w:val="23"/>
          <w:szCs w:val="23"/>
          <w:color w:val="auto"/>
          <w:vertAlign w:val="superscript"/>
        </w:rPr>
      </w:pPr>
      <w:r>
        <w:rPr>
          <w:rFonts w:ascii="Arial" w:cs="Arial" w:eastAsia="Arial" w:hAnsi="Arial"/>
          <w:sz w:val="15"/>
          <w:szCs w:val="15"/>
          <w:color w:val="auto"/>
        </w:rPr>
        <w:t>The software is under development and not in use.</w:t>
      </w:r>
    </w:p>
    <w:p>
      <w:pPr>
        <w:spacing w:after="0" w:line="160" w:lineRule="exact"/>
        <w:rPr>
          <w:rFonts w:ascii="Arial" w:cs="Arial" w:eastAsia="Arial" w:hAnsi="Arial"/>
          <w:sz w:val="23"/>
          <w:szCs w:val="23"/>
          <w:color w:val="auto"/>
          <w:vertAlign w:val="superscript"/>
        </w:rPr>
      </w:pPr>
    </w:p>
    <w:p>
      <w:pPr>
        <w:ind w:left="360" w:hanging="280"/>
        <w:spacing w:after="0"/>
        <w:tabs>
          <w:tab w:leader="none" w:pos="36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Strategic Alliance with Allseas and Affiliates</w:t>
      </w:r>
    </w:p>
    <w:p>
      <w:pPr>
        <w:spacing w:after="0" w:line="193"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Development of Project Zero Offshore Nodule Collection System</w:t>
      </w:r>
    </w:p>
    <w:p>
      <w:pPr>
        <w:spacing w:after="0" w:line="195" w:lineRule="exact"/>
        <w:rPr>
          <w:rFonts w:ascii="Arial" w:cs="Arial" w:eastAsia="Arial" w:hAnsi="Arial"/>
          <w:sz w:val="15"/>
          <w:szCs w:val="15"/>
          <w:b w:val="1"/>
          <w:bCs w:val="1"/>
          <w:color w:val="auto"/>
        </w:rPr>
      </w:pPr>
    </w:p>
    <w:p>
      <w:pPr>
        <w:jc w:val="both"/>
        <w:ind w:left="360" w:right="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On March 16, 2022, NORI and Allseas entered into a non-binding term sheet for the development and operation of a commercial nodule collection system. During the year ended December 31, 2024, Allseas provided the Company with engineering, project management and vessel use services consisting of lay-up and transit costs totaling $11.9 million, as part of the development of the commercial nodule collection system: these costs were recorded as mining, technological and process development within exploration and evaluation expenses (Note 10) (2023: $12.1 million).</w:t>
      </w:r>
    </w:p>
    <w:p>
      <w:pPr>
        <w:spacing w:after="0" w:line="139"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Exclusive Vessel Use Agreement with Allseas</w:t>
      </w:r>
    </w:p>
    <w:p>
      <w:pPr>
        <w:spacing w:after="0" w:line="195" w:lineRule="exact"/>
        <w:rPr>
          <w:rFonts w:ascii="Arial" w:cs="Arial" w:eastAsia="Arial" w:hAnsi="Arial"/>
          <w:sz w:val="15"/>
          <w:szCs w:val="15"/>
          <w:b w:val="1"/>
          <w:bCs w:val="1"/>
          <w:color w:val="auto"/>
        </w:rPr>
      </w:pPr>
    </w:p>
    <w:p>
      <w:pPr>
        <w:jc w:val="both"/>
        <w:ind w:left="360" w:right="80" w:firstLine="1"/>
        <w:spacing w:after="0" w:line="323" w:lineRule="auto"/>
        <w:rPr>
          <w:rFonts w:ascii="Arial" w:cs="Arial" w:eastAsia="Arial" w:hAnsi="Arial"/>
          <w:sz w:val="15"/>
          <w:szCs w:val="15"/>
          <w:b w:val="1"/>
          <w:bCs w:val="1"/>
          <w:color w:val="auto"/>
        </w:rPr>
      </w:pPr>
      <w:r>
        <w:rPr>
          <w:rFonts w:ascii="Arial" w:cs="Arial" w:eastAsia="Arial" w:hAnsi="Arial"/>
          <w:sz w:val="13"/>
          <w:szCs w:val="13"/>
          <w:color w:val="auto"/>
        </w:rPr>
        <w:t>On August 1, 2023, the Company entered into an Exclusive Vessel Use Agreement with Allseas pursuant to which Allseas will give exclusive use of the vessel (“</w:t>
      </w:r>
      <w:r>
        <w:rPr>
          <w:rFonts w:ascii="Arial" w:cs="Arial" w:eastAsia="Arial" w:hAnsi="Arial"/>
          <w:sz w:val="13"/>
          <w:szCs w:val="13"/>
          <w:i w:val="1"/>
          <w:iCs w:val="1"/>
          <w:color w:val="auto"/>
        </w:rPr>
        <w:t>Hidden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Gem”) </w:t>
      </w:r>
      <w:r>
        <w:rPr>
          <w:rFonts w:ascii="Arial" w:cs="Arial" w:eastAsia="Arial" w:hAnsi="Arial"/>
          <w:sz w:val="13"/>
          <w:szCs w:val="13"/>
          <w:color w:val="auto"/>
        </w:rPr>
        <w:t>to the Company in support of the development of the Project Zero Offshore Nodule Collection System until the system is completed or December 31, 2026,</w:t>
      </w:r>
      <w:r>
        <w:rPr>
          <w:rFonts w:ascii="Arial" w:cs="Arial" w:eastAsia="Arial" w:hAnsi="Arial"/>
          <w:sz w:val="13"/>
          <w:szCs w:val="13"/>
          <w:i w:val="1"/>
          <w:iCs w:val="1"/>
          <w:color w:val="auto"/>
        </w:rPr>
        <w:t xml:space="preserve"> </w:t>
      </w:r>
      <w:r>
        <w:rPr>
          <w:rFonts w:ascii="Arial" w:cs="Arial" w:eastAsia="Arial" w:hAnsi="Arial"/>
          <w:sz w:val="13"/>
          <w:szCs w:val="13"/>
          <w:color w:val="auto"/>
        </w:rPr>
        <w:t>whichever is 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spacing w:after="0" w:line="110" w:lineRule="exact"/>
        <w:rPr>
          <w:rFonts w:ascii="Arial" w:cs="Arial" w:eastAsia="Arial" w:hAnsi="Arial"/>
          <w:sz w:val="15"/>
          <w:szCs w:val="15"/>
          <w:b w:val="1"/>
          <w:bCs w:val="1"/>
          <w:color w:val="auto"/>
        </w:rPr>
      </w:pPr>
    </w:p>
    <w:p>
      <w:pPr>
        <w:jc w:val="both"/>
        <w:ind w:left="360" w:right="8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The Company recorded a lease liability and right-of-use asset of $6.5 million, which represents the fair value of 4.15 million common shares issued to Allseas on August 14, 2023, as consideration, and equal to the present value of the lease payments. As the entire lease liability was settled within 14 days of the commencement of the lease, the discount rate for calculating the present value of lease payments was determined to be insignificant.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For the year ended December 31, 2024, the Company has recognized $1.9 million as lease expense recorded as exploration and evaluation expense (December 31, 2023:</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$0.8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at December 31, 2024, the net amount of the lease liability was $nil and right-of-use asset is as follows: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51"/>
        </w:trPr>
        <w:tc>
          <w:tcPr>
            <w:tcW w:w="8380" w:type="dxa"/>
            <w:vAlign w:val="bottom"/>
            <w:tcBorders>
              <w:bottom w:val="single" w:sz="8" w:color="D2EEF5"/>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Lease Liability</w:t>
            </w:r>
          </w:p>
        </w:tc>
      </w:tr>
      <w:tr>
        <w:trPr>
          <w:trHeight w:val="174"/>
        </w:trPr>
        <w:tc>
          <w:tcPr>
            <w:tcW w:w="8380" w:type="dxa"/>
            <w:vAlign w:val="bottom"/>
            <w:shd w:val="clear" w:color="auto" w:fill="D2EEF5"/>
          </w:tcPr>
          <w:p>
            <w:pPr>
              <w:spacing w:after="0"/>
              <w:rPr>
                <w:sz w:val="20"/>
                <w:szCs w:val="20"/>
                <w:color w:val="auto"/>
              </w:rPr>
            </w:pPr>
            <w:r>
              <w:rPr>
                <w:rFonts w:ascii="Arial" w:cs="Arial" w:eastAsia="Arial" w:hAnsi="Arial"/>
                <w:sz w:val="15"/>
                <w:szCs w:val="15"/>
                <w:color w:val="auto"/>
              </w:rPr>
              <w:t>Balance as at August 1, 2023</w:t>
            </w:r>
          </w:p>
        </w:tc>
        <w:tc>
          <w:tcPr>
            <w:tcW w:w="280" w:type="dxa"/>
            <w:vAlign w:val="bottom"/>
            <w:gridSpan w:val="2"/>
            <w:shd w:val="clear" w:color="auto" w:fill="D2EEF5"/>
          </w:tcPr>
          <w:p>
            <w:pPr>
              <w:jc w:val="right"/>
              <w:ind w:right="151"/>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6,515</w:t>
            </w:r>
          </w:p>
        </w:tc>
      </w:tr>
      <w:tr>
        <w:trPr>
          <w:trHeight w:val="183"/>
        </w:trPr>
        <w:tc>
          <w:tcPr>
            <w:tcW w:w="83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Payments made on August 14, 2023, by issuing 4.15 million common shares</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6,515</w:t>
            </w:r>
          </w:p>
        </w:tc>
      </w:tr>
      <w:tr>
        <w:trPr>
          <w:trHeight w:val="174"/>
        </w:trPr>
        <w:tc>
          <w:tcPr>
            <w:tcW w:w="838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Balance as at December 31, 2023 and 2024</w:t>
            </w:r>
          </w:p>
        </w:tc>
        <w:tc>
          <w:tcPr>
            <w:tcW w:w="280" w:type="dxa"/>
            <w:vAlign w:val="bottom"/>
            <w:tcBorders>
              <w:bottom w:val="single" w:sz="8" w:color="auto"/>
            </w:tcBorders>
            <w:gridSpan w:val="2"/>
            <w:shd w:val="clear" w:color="auto" w:fill="D2EEF5"/>
          </w:tcPr>
          <w:p>
            <w:pPr>
              <w:jc w:val="right"/>
              <w:ind w:right="151"/>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r>
      <w:tr>
        <w:trPr>
          <w:trHeight w:val="312"/>
        </w:trPr>
        <w:tc>
          <w:tcPr>
            <w:tcW w:w="838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Right-of-use Asset</w:t>
            </w:r>
          </w:p>
        </w:tc>
      </w:tr>
      <w:tr>
        <w:trPr>
          <w:trHeight w:val="174"/>
        </w:trPr>
        <w:tc>
          <w:tcPr>
            <w:tcW w:w="8380" w:type="dxa"/>
            <w:vAlign w:val="bottom"/>
            <w:shd w:val="clear" w:color="auto" w:fill="D2EEF5"/>
          </w:tcPr>
          <w:p>
            <w:pPr>
              <w:spacing w:after="0"/>
              <w:rPr>
                <w:sz w:val="20"/>
                <w:szCs w:val="20"/>
                <w:color w:val="auto"/>
              </w:rPr>
            </w:pPr>
            <w:r>
              <w:rPr>
                <w:rFonts w:ascii="Arial" w:cs="Arial" w:eastAsia="Arial" w:hAnsi="Arial"/>
                <w:sz w:val="15"/>
                <w:szCs w:val="15"/>
                <w:color w:val="auto"/>
              </w:rPr>
              <w:t>Balance as on August 1, 2023</w:t>
            </w:r>
          </w:p>
        </w:tc>
        <w:tc>
          <w:tcPr>
            <w:tcW w:w="40" w:type="dxa"/>
            <w:vAlign w:val="bottom"/>
            <w:shd w:val="clear" w:color="auto" w:fill="D2EEF5"/>
          </w:tcPr>
          <w:p>
            <w:pPr>
              <w:spacing w:after="0"/>
              <w:rPr>
                <w:sz w:val="15"/>
                <w:szCs w:val="15"/>
                <w:color w:val="auto"/>
              </w:rPr>
            </w:pPr>
          </w:p>
        </w:tc>
        <w:tc>
          <w:tcPr>
            <w:tcW w:w="240" w:type="dxa"/>
            <w:vAlign w:val="bottom"/>
            <w:shd w:val="clear" w:color="auto" w:fill="D2EEF5"/>
          </w:tcPr>
          <w:p>
            <w:pPr>
              <w:jc w:val="right"/>
              <w:ind w:right="13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6,515</w:t>
            </w:r>
          </w:p>
        </w:tc>
      </w:tr>
      <w:tr>
        <w:trPr>
          <w:trHeight w:val="183"/>
        </w:trPr>
        <w:tc>
          <w:tcPr>
            <w:tcW w:w="83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Lease expense during the year</w:t>
            </w:r>
          </w:p>
        </w:tc>
        <w:tc>
          <w:tcPr>
            <w:tcW w:w="40" w:type="dxa"/>
            <w:vAlign w:val="bottom"/>
            <w:tcBorders>
              <w:bottom w:val="single" w:sz="8" w:color="D2EEF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w:t>
            </w:r>
          </w:p>
        </w:tc>
      </w:tr>
      <w:tr>
        <w:trPr>
          <w:trHeight w:val="174"/>
        </w:trPr>
        <w:tc>
          <w:tcPr>
            <w:tcW w:w="838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Balance as at December 31, 2023</w:t>
            </w:r>
          </w:p>
        </w:tc>
        <w:tc>
          <w:tcPr>
            <w:tcW w:w="40" w:type="dxa"/>
            <w:vAlign w:val="bottom"/>
            <w:shd w:val="clear" w:color="auto" w:fill="D2EEF5"/>
          </w:tcPr>
          <w:p>
            <w:pPr>
              <w:spacing w:after="0"/>
              <w:rPr>
                <w:sz w:val="15"/>
                <w:szCs w:val="15"/>
                <w:color w:val="auto"/>
              </w:rPr>
            </w:pPr>
          </w:p>
        </w:tc>
        <w:tc>
          <w:tcPr>
            <w:tcW w:w="240" w:type="dxa"/>
            <w:vAlign w:val="bottom"/>
            <w:shd w:val="clear" w:color="auto" w:fill="D2EEF5"/>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5,721</w:t>
            </w:r>
          </w:p>
        </w:tc>
      </w:tr>
      <w:tr>
        <w:trPr>
          <w:trHeight w:val="183"/>
        </w:trPr>
        <w:tc>
          <w:tcPr>
            <w:tcW w:w="83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Lease expense during the year</w:t>
            </w:r>
          </w:p>
        </w:tc>
        <w:tc>
          <w:tcPr>
            <w:tcW w:w="40" w:type="dxa"/>
            <w:vAlign w:val="bottom"/>
            <w:tcBorders>
              <w:bottom w:val="single" w:sz="8" w:color="D2EEF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1,907</w:t>
            </w:r>
          </w:p>
        </w:tc>
      </w:tr>
      <w:tr>
        <w:trPr>
          <w:trHeight w:val="174"/>
        </w:trPr>
        <w:tc>
          <w:tcPr>
            <w:tcW w:w="83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Balance as at December 31, 2024</w:t>
            </w:r>
          </w:p>
        </w:tc>
        <w:tc>
          <w:tcPr>
            <w:tcW w:w="40" w:type="dxa"/>
            <w:vAlign w:val="bottom"/>
            <w:tcBorders>
              <w:bottom w:val="single" w:sz="8" w:color="D2EEF5"/>
            </w:tcBorders>
            <w:shd w:val="clear" w:color="auto" w:fill="D2EEF5"/>
          </w:tcPr>
          <w:p>
            <w:pPr>
              <w:spacing w:after="0"/>
              <w:rPr>
                <w:sz w:val="15"/>
                <w:szCs w:val="15"/>
                <w:color w:val="auto"/>
              </w:rPr>
            </w:pPr>
          </w:p>
        </w:tc>
        <w:tc>
          <w:tcPr>
            <w:tcW w:w="240" w:type="dxa"/>
            <w:vAlign w:val="bottom"/>
            <w:tcBorders>
              <w:bottom w:val="single" w:sz="8" w:color="auto"/>
            </w:tcBorders>
            <w:shd w:val="clear" w:color="auto" w:fill="D2EEF5"/>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3,814</w:t>
            </w:r>
          </w:p>
        </w:tc>
      </w:tr>
    </w:tbl>
    <w:p>
      <w:pPr>
        <w:spacing w:after="0" w:line="15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2023 Credit Facility and Loan Agreements with Company Related to Allseas</w:t>
      </w:r>
    </w:p>
    <w:p>
      <w:pPr>
        <w:spacing w:after="0" w:line="196" w:lineRule="exact"/>
        <w:rPr>
          <w:sz w:val="20"/>
          <w:szCs w:val="20"/>
          <w:color w:val="auto"/>
        </w:rPr>
      </w:pPr>
    </w:p>
    <w:p>
      <w:pPr>
        <w:jc w:val="both"/>
        <w:ind w:left="360" w:right="80"/>
        <w:spacing w:after="0" w:line="278" w:lineRule="auto"/>
        <w:rPr>
          <w:sz w:val="20"/>
          <w:szCs w:val="20"/>
          <w:color w:val="auto"/>
        </w:rPr>
      </w:pPr>
      <w:r>
        <w:rPr>
          <w:rFonts w:ascii="Arial" w:cs="Arial" w:eastAsia="Arial" w:hAnsi="Arial"/>
          <w:sz w:val="14"/>
          <w:szCs w:val="14"/>
          <w:color w:val="auto"/>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may borrow from the Lender up to $25 million in the aggregate, from time to time, subject to certain conditions. All amounts drawn under the 2023 Credit Facility will bear interest based on the 6-month Secured Overnight Financing Rate, 180-day average plus a margin of 4.0% per annum payable in cash semi-annually (or plus a margin of 5% if paid-in-kind at maturity, at the Company’s election) on the first business day of each of June and January. The Company will pay an underutilization fee equal to 4.0% per annum payable semi-annually for any amounts that remain undrawn under the 2023 Credit Facility. The Company has the right to pre-pay the entire amount outstanding under the 2023 Credit Facility at any time before the 2023 Credit Facility’s maturity. The Company has the ability to settle certain charges under the 2023 Credit Facility in cash or in equity at the discretion of the Company. The 2023 Credit Facility also contains customary events of default. On March 22, 2024, the Company entered into the Second Amendment to the Unsecured Credit Facility with the Lender, to extend the 2023 Credit Facility to August 31, 2025 and to provide that the underutilization fee thereunder shall cease to be payable after the date on which the Company or the Lender gives notice of termination of the agreement. Under the amended 2023 Credit Facility, the Company may borrow from the Lender up to $25 million in the aggregate through August 31, 2025. On August 16, 2024, the Company entered into the Third Amendment to the 2023 Credit Facility, to increase the borrowing limit of the 2023 Credit Facility to $27.5 million. On November 14, 2024, as a result of the 2024 Registered Direct Offering (Note 13) the borrowing limit of the 2023 Credit Facility was returned to $25 million.</w:t>
      </w:r>
    </w:p>
    <w:p>
      <w:pPr>
        <w:spacing w:after="0" w:line="138"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During the year ended December 31, 2024, the Company has not drawn any amount from the 2023 Credit Facility and has incurred $1 million as underutilization fees (December 31, 2023: $0.8 million).</w:t>
      </w:r>
    </w:p>
    <w:p>
      <w:pPr>
        <w:spacing w:after="0" w:line="119" w:lineRule="exact"/>
        <w:rPr>
          <w:sz w:val="20"/>
          <w:szCs w:val="20"/>
          <w:color w:val="auto"/>
        </w:rPr>
      </w:pPr>
    </w:p>
    <w:p>
      <w:pPr>
        <w:jc w:val="both"/>
        <w:ind w:left="360" w:right="80" w:firstLine="1"/>
        <w:spacing w:after="0" w:line="269" w:lineRule="auto"/>
        <w:rPr>
          <w:sz w:val="20"/>
          <w:szCs w:val="20"/>
          <w:color w:val="auto"/>
        </w:rPr>
      </w:pPr>
      <w:r>
        <w:rPr>
          <w:rFonts w:ascii="Arial" w:cs="Arial" w:eastAsia="Arial" w:hAnsi="Arial"/>
          <w:sz w:val="15"/>
          <w:szCs w:val="15"/>
          <w:color w:val="auto"/>
        </w:rPr>
        <w:t>On May 27, 2024, the Company entered into a short-term loan agreement with the Lender. In accordance with the agreement, the Lender provided a short-term loan to the Company amounting to $2 million (the “Short-Term Loan”) on May 30, 2024. The Short-Term Loan matured on September 10, 2024 (maturity date) and accrued interest at a rate of 8% per annum. On the maturity date, Company repaid the entire Loan of $2 million and the accrued interest amounting to $46 thousand., which was recorded as interest expense.</w:t>
      </w:r>
    </w:p>
    <w:p>
      <w:pPr>
        <w:spacing w:after="0" w:line="141"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On September 9, 2024, the Company entered into a working capital loan agreement (the “Working Capital Loan Agreement”) with Allseas Investments, a company related to Allseas. In accordance with the Working Capital Loan Agreement, Allseas Investments provided a loan to the Company of $5 million (the “Working Capital Loan”) on September 10, 2024, to be used towards general corporate purposes and for the repayment of all outstanding amounts under the Short-Term Loan between the Company and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59" w:lineRule="auto"/>
        <w:rPr>
          <w:sz w:val="20"/>
          <w:szCs w:val="20"/>
          <w:color w:val="auto"/>
        </w:rPr>
      </w:pPr>
      <w:r>
        <w:rPr>
          <w:rFonts w:ascii="Arial" w:cs="Arial" w:eastAsia="Arial" w:hAnsi="Arial"/>
          <w:sz w:val="15"/>
          <w:szCs w:val="15"/>
          <w:color w:val="auto"/>
        </w:rPr>
        <w:t>Lender. The Working Capital Loan is payable to Allseas Investments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the Company’s election). On October 18, 2024, the Company entered into the First Amendment to the Working Capital Loan Agreement with Allseas Investments, resulting in a further draw of $2.5 million by the Company and a total Working Capital Loan drawn amount of $7.5 million. On March 24, 2025, the Company entered into a Letter Agreement with Allseas Investments and Argentum Cedit Virtuti GCV, pursuant to which the Repayment Date under the Working Capital Loan Agreement was extended to September 30, 2025, with principal and interest now repayable on that date. Additionally, under the same Letter Agreement, the Company and Argentum Cedit Virtuti GCV agreed to cancel the unsecured credit facility established under the 2023 Facility Agreement with no outstanding amounts remaining, other than the Company’s obligation to pay Argentum the Underutilization Fee. During the year ended December 31, 2024, the Company incurred $0.2 million as interest expense.</w:t>
      </w:r>
    </w:p>
    <w:p>
      <w:pPr>
        <w:spacing w:after="0" w:line="151"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As at December 31, 2024, the total amount payable to Allseas and its affiliates was $33.3 million, with $7.5 million of this amount recorded as short-term debt and the remaining balance recorded in accrued liabilities in the Consolidated Balance Sheet (Note 12) (December 31, 2023: $13.8 million, recorded as accrued liabilities). As at December 31, 2024, Allseas and its affiliates owned 53.8 million TMC common shares (2023: 53.8 million TMC common shares) which constituted 15.8% (December 31, 2023: 17.6%) of total common shares outstanding.</w:t>
      </w:r>
    </w:p>
    <w:p>
      <w:pPr>
        <w:spacing w:after="0" w:line="139" w:lineRule="exact"/>
        <w:rPr>
          <w:sz w:val="20"/>
          <w:szCs w:val="20"/>
          <w:color w:val="auto"/>
        </w:rPr>
      </w:pPr>
    </w:p>
    <w:p>
      <w:pPr>
        <w:ind w:left="360" w:hanging="280"/>
        <w:spacing w:after="0"/>
        <w:tabs>
          <w:tab w:leader="none" w:pos="36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in Low Carbon Royalties</w:t>
      </w:r>
    </w:p>
    <w:p>
      <w:pPr>
        <w:spacing w:after="0" w:line="195" w:lineRule="exact"/>
        <w:rPr>
          <w:rFonts w:ascii="Arial" w:cs="Arial" w:eastAsia="Arial" w:hAnsi="Arial"/>
          <w:sz w:val="15"/>
          <w:szCs w:val="15"/>
          <w:b w:val="1"/>
          <w:bCs w:val="1"/>
          <w:color w:val="auto"/>
        </w:rPr>
      </w:pPr>
    </w:p>
    <w:p>
      <w:pPr>
        <w:jc w:val="both"/>
        <w:ind w:left="360" w:right="80"/>
        <w:spacing w:after="0" w:line="282" w:lineRule="auto"/>
        <w:rPr>
          <w:rFonts w:ascii="Arial" w:cs="Arial" w:eastAsia="Arial" w:hAnsi="Arial"/>
          <w:sz w:val="15"/>
          <w:szCs w:val="15"/>
          <w:b w:val="1"/>
          <w:bCs w:val="1"/>
          <w:color w:val="auto"/>
        </w:rPr>
      </w:pPr>
      <w:r>
        <w:rPr>
          <w:rFonts w:ascii="Arial" w:cs="Arial" w:eastAsia="Arial" w:hAnsi="Arial"/>
          <w:sz w:val="14"/>
          <w:szCs w:val="14"/>
          <w:color w:val="auto"/>
        </w:rPr>
        <w:t>On February 21, 2023 (the “Closing Date”), the Company and its wholly-owned subsidiary, NORI, entered into an investment agreement (the “Royalty Agreement”) with Low Carbon Royalties Inc. (“Low Carbon Royalties”). In connection with the Royalty Agreement, NORI contributed a 2% gross overriding royalty (the “NORI Royalty”) on the Company’s NORI project area in the CCZ to Low Carbon Royalties. In consideration of the NORI Royalty, TMC received 35.0% of the common shares issued by Low Carbon Royalties and $5 million in cash, as of the Closing Date. On March 21, 2023, Low Carbon Royalties acquired additional gross overriding royalties on natural gas fields in Latin America. The royalty acquisitions were financed through the issuance of Low Carbon Royalties common shares to the third-party vendor of such royalties, thereby reducing the Company’s ownership in the Partnership to 32% from 35%.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w:t>
      </w:r>
    </w:p>
    <w:p>
      <w:pPr>
        <w:spacing w:after="0" w:line="133" w:lineRule="exact"/>
        <w:rPr>
          <w:rFonts w:ascii="Arial" w:cs="Arial" w:eastAsia="Arial" w:hAnsi="Arial"/>
          <w:sz w:val="15"/>
          <w:szCs w:val="15"/>
          <w:b w:val="1"/>
          <w:bCs w:val="1"/>
          <w:color w:val="auto"/>
        </w:rPr>
      </w:pPr>
    </w:p>
    <w:p>
      <w:pPr>
        <w:jc w:val="both"/>
        <w:ind w:left="360" w:right="80"/>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As a condition of closing the Royalty Agreement, the parties entered into an agreement with Low Carbon Royalties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Low Carbon Royalties all of which would be issued to NORI, in the event the Exploitation License is found, in a final decision, to be invalid by the Colombian National Agency of Hydrocarbons prior to the earlier of (1) five years from the issuance of the CVR and (2) the date Low Carbon Royalties becomes a publicly listed entity.</w:t>
      </w:r>
    </w:p>
    <w:p>
      <w:pPr>
        <w:spacing w:after="0" w:line="131" w:lineRule="exact"/>
        <w:rPr>
          <w:rFonts w:ascii="Arial" w:cs="Arial" w:eastAsia="Arial" w:hAnsi="Arial"/>
          <w:sz w:val="15"/>
          <w:szCs w:val="15"/>
          <w:b w:val="1"/>
          <w:bCs w:val="1"/>
          <w:color w:val="auto"/>
        </w:rPr>
      </w:pPr>
    </w:p>
    <w:p>
      <w:pPr>
        <w:ind w:left="360" w:right="80"/>
        <w:spacing w:after="0" w:line="337" w:lineRule="auto"/>
        <w:rPr>
          <w:rFonts w:ascii="Arial" w:cs="Arial" w:eastAsia="Arial" w:hAnsi="Arial"/>
          <w:sz w:val="15"/>
          <w:szCs w:val="15"/>
          <w:b w:val="1"/>
          <w:bCs w:val="1"/>
          <w:color w:val="auto"/>
        </w:rPr>
      </w:pPr>
      <w:r>
        <w:rPr>
          <w:rFonts w:ascii="Arial" w:cs="Arial" w:eastAsia="Arial" w:hAnsi="Arial"/>
          <w:sz w:val="14"/>
          <w:szCs w:val="14"/>
          <w:color w:val="auto"/>
        </w:rPr>
        <w:t>Based on the fair value of the NORI Royalty granted and the cash received, the Company recorded $9 million as investment in Low Carbon Royalties on the Closing Date. For the year ended December 31, 2024, the Company’s share of the net loss generated by the Low Carbon Royalties was $ 0.2 million (2023: 0.6 million).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52"/>
        </w:trPr>
        <w:tc>
          <w:tcPr>
            <w:tcW w:w="6000" w:type="dxa"/>
            <w:vAlign w:val="bottom"/>
            <w:tcBorders>
              <w:bottom w:val="single" w:sz="8" w:color="D2EEF5"/>
            </w:tcBorders>
          </w:tcPr>
          <w:p>
            <w:pPr>
              <w:spacing w:after="0"/>
              <w:rPr>
                <w:sz w:val="13"/>
                <w:szCs w:val="13"/>
                <w:color w:val="auto"/>
              </w:rPr>
            </w:pPr>
          </w:p>
        </w:tc>
        <w:tc>
          <w:tcPr>
            <w:tcW w:w="2440" w:type="dxa"/>
            <w:vAlign w:val="bottom"/>
            <w:tcBorders>
              <w:bottom w:val="single" w:sz="8" w:color="D2EEF5"/>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Investment</w:t>
            </w:r>
          </w:p>
        </w:tc>
      </w:tr>
      <w:tr>
        <w:trPr>
          <w:trHeight w:val="174"/>
        </w:trPr>
        <w:tc>
          <w:tcPr>
            <w:tcW w:w="6000" w:type="dxa"/>
            <w:vAlign w:val="bottom"/>
            <w:shd w:val="clear" w:color="auto" w:fill="D2EEF5"/>
          </w:tcPr>
          <w:p>
            <w:pPr>
              <w:spacing w:after="0"/>
              <w:rPr>
                <w:sz w:val="20"/>
                <w:szCs w:val="20"/>
                <w:color w:val="auto"/>
              </w:rPr>
            </w:pPr>
            <w:r>
              <w:rPr>
                <w:rFonts w:ascii="Arial" w:cs="Arial" w:eastAsia="Arial" w:hAnsi="Arial"/>
                <w:sz w:val="15"/>
                <w:szCs w:val="15"/>
                <w:color w:val="auto"/>
              </w:rPr>
              <w:t>Fair value of NORI Royalty</w:t>
            </w:r>
          </w:p>
        </w:tc>
        <w:tc>
          <w:tcPr>
            <w:tcW w:w="2440" w:type="dxa"/>
            <w:vAlign w:val="bottom"/>
            <w:shd w:val="clear" w:color="auto" w:fill="D2EEF5"/>
          </w:tcPr>
          <w:p>
            <w:pPr>
              <w:spacing w:after="0"/>
              <w:rPr>
                <w:sz w:val="15"/>
                <w:szCs w:val="15"/>
                <w:color w:val="auto"/>
              </w:rPr>
            </w:pPr>
          </w:p>
        </w:tc>
        <w:tc>
          <w:tcPr>
            <w:tcW w:w="420" w:type="dxa"/>
            <w:vAlign w:val="bottom"/>
            <w:shd w:val="clear" w:color="auto" w:fill="D2EEF5"/>
          </w:tcPr>
          <w:p>
            <w:pPr>
              <w:jc w:val="right"/>
              <w:ind w:right="2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14,000</w:t>
            </w:r>
          </w:p>
        </w:tc>
      </w:tr>
      <w:tr>
        <w:trPr>
          <w:trHeight w:val="183"/>
        </w:trPr>
        <w:tc>
          <w:tcPr>
            <w:tcW w:w="60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Cash received</w:t>
            </w:r>
          </w:p>
        </w:tc>
        <w:tc>
          <w:tcPr>
            <w:tcW w:w="2440" w:type="dxa"/>
            <w:vAlign w:val="bottom"/>
            <w:tcBorders>
              <w:bottom w:val="single" w:sz="8" w:color="D2EEF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w:t>
            </w:r>
          </w:p>
        </w:tc>
      </w:tr>
      <w:tr>
        <w:trPr>
          <w:trHeight w:val="174"/>
        </w:trPr>
        <w:tc>
          <w:tcPr>
            <w:tcW w:w="6000" w:type="dxa"/>
            <w:vAlign w:val="bottom"/>
            <w:shd w:val="clear" w:color="auto" w:fill="D2EEF5"/>
          </w:tcPr>
          <w:p>
            <w:pPr>
              <w:spacing w:after="0"/>
              <w:rPr>
                <w:sz w:val="20"/>
                <w:szCs w:val="20"/>
                <w:color w:val="auto"/>
              </w:rPr>
            </w:pPr>
            <w:r>
              <w:rPr>
                <w:rFonts w:ascii="Arial" w:cs="Arial" w:eastAsia="Arial" w:hAnsi="Arial"/>
                <w:sz w:val="15"/>
                <w:szCs w:val="15"/>
                <w:color w:val="auto"/>
              </w:rPr>
              <w:t>Cost of Investment on Closing Date</w:t>
            </w:r>
          </w:p>
        </w:tc>
        <w:tc>
          <w:tcPr>
            <w:tcW w:w="2440" w:type="dxa"/>
            <w:vAlign w:val="bottom"/>
            <w:shd w:val="clear" w:color="auto" w:fill="D2EEF5"/>
          </w:tcPr>
          <w:p>
            <w:pPr>
              <w:spacing w:after="0"/>
              <w:rPr>
                <w:sz w:val="15"/>
                <w:szCs w:val="15"/>
                <w:color w:val="auto"/>
              </w:rPr>
            </w:pPr>
          </w:p>
        </w:tc>
        <w:tc>
          <w:tcPr>
            <w:tcW w:w="420" w:type="dxa"/>
            <w:vAlign w:val="bottom"/>
            <w:shd w:val="clear" w:color="auto" w:fill="D2EEF5"/>
          </w:tcPr>
          <w:p>
            <w:pPr>
              <w:spacing w:after="0"/>
              <w:rPr>
                <w:sz w:val="15"/>
                <w:szCs w:val="15"/>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9,000</w:t>
            </w:r>
          </w:p>
        </w:tc>
      </w:tr>
      <w:tr>
        <w:trPr>
          <w:trHeight w:val="183"/>
        </w:trPr>
        <w:tc>
          <w:tcPr>
            <w:tcW w:w="60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Equity-accounted investment loss for the year ended 2023</w:t>
            </w:r>
          </w:p>
        </w:tc>
        <w:tc>
          <w:tcPr>
            <w:tcW w:w="2440" w:type="dxa"/>
            <w:vAlign w:val="bottom"/>
            <w:tcBorders>
              <w:bottom w:val="single" w:sz="8" w:color="D2EEF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w:t>
            </w:r>
          </w:p>
        </w:tc>
      </w:tr>
      <w:tr>
        <w:trPr>
          <w:trHeight w:val="174"/>
        </w:trPr>
        <w:tc>
          <w:tcPr>
            <w:tcW w:w="6000" w:type="dxa"/>
            <w:vAlign w:val="bottom"/>
            <w:shd w:val="clear" w:color="auto" w:fill="D2EEF5"/>
          </w:tcPr>
          <w:p>
            <w:pPr>
              <w:spacing w:after="0"/>
              <w:rPr>
                <w:sz w:val="20"/>
                <w:szCs w:val="20"/>
                <w:color w:val="auto"/>
              </w:rPr>
            </w:pPr>
            <w:r>
              <w:rPr>
                <w:rFonts w:ascii="Arial" w:cs="Arial" w:eastAsia="Arial" w:hAnsi="Arial"/>
                <w:sz w:val="15"/>
                <w:szCs w:val="15"/>
                <w:color w:val="auto"/>
              </w:rPr>
              <w:t>Investment as at December 31, 2023</w:t>
            </w:r>
          </w:p>
        </w:tc>
        <w:tc>
          <w:tcPr>
            <w:tcW w:w="2440" w:type="dxa"/>
            <w:vAlign w:val="bottom"/>
            <w:shd w:val="clear" w:color="auto" w:fill="D2EEF5"/>
          </w:tcPr>
          <w:p>
            <w:pPr>
              <w:spacing w:after="0"/>
              <w:rPr>
                <w:sz w:val="15"/>
                <w:szCs w:val="15"/>
                <w:color w:val="auto"/>
              </w:rPr>
            </w:pPr>
          </w:p>
        </w:tc>
        <w:tc>
          <w:tcPr>
            <w:tcW w:w="420" w:type="dxa"/>
            <w:vAlign w:val="bottom"/>
            <w:shd w:val="clear" w:color="auto" w:fill="D2EEF5"/>
          </w:tcPr>
          <w:p>
            <w:pPr>
              <w:jc w:val="right"/>
              <w:ind w:right="2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8,429</w:t>
            </w:r>
          </w:p>
        </w:tc>
      </w:tr>
      <w:tr>
        <w:trPr>
          <w:trHeight w:val="183"/>
        </w:trPr>
        <w:tc>
          <w:tcPr>
            <w:tcW w:w="60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Equity-accounted investment loss for the year ended 2024</w:t>
            </w:r>
          </w:p>
        </w:tc>
        <w:tc>
          <w:tcPr>
            <w:tcW w:w="2440" w:type="dxa"/>
            <w:vAlign w:val="bottom"/>
            <w:tcBorders>
              <w:bottom w:val="single" w:sz="8" w:color="D2EEF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w:t>
            </w:r>
          </w:p>
        </w:tc>
      </w:tr>
      <w:tr>
        <w:trPr>
          <w:trHeight w:val="174"/>
        </w:trPr>
        <w:tc>
          <w:tcPr>
            <w:tcW w:w="60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Investment as at December 31, 2024</w:t>
            </w:r>
          </w:p>
        </w:tc>
        <w:tc>
          <w:tcPr>
            <w:tcW w:w="2440" w:type="dxa"/>
            <w:vAlign w:val="bottom"/>
            <w:shd w:val="clear" w:color="auto" w:fill="D2EEF5"/>
          </w:tcPr>
          <w:p>
            <w:pPr>
              <w:spacing w:after="0"/>
              <w:rPr>
                <w:sz w:val="15"/>
                <w:szCs w:val="15"/>
                <w:color w:val="auto"/>
              </w:rPr>
            </w:pPr>
          </w:p>
        </w:tc>
        <w:tc>
          <w:tcPr>
            <w:tcW w:w="420" w:type="dxa"/>
            <w:vAlign w:val="bottom"/>
            <w:tcBorders>
              <w:bottom w:val="single" w:sz="8" w:color="auto"/>
            </w:tcBorders>
            <w:shd w:val="clear" w:color="auto" w:fill="D2EEF5"/>
          </w:tcPr>
          <w:p>
            <w:pPr>
              <w:jc w:val="right"/>
              <w:ind w:right="2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8,203</w:t>
            </w:r>
          </w:p>
        </w:tc>
      </w:tr>
    </w:tbl>
    <w:p>
      <w:pPr>
        <w:spacing w:after="0" w:line="161" w:lineRule="exact"/>
        <w:rPr>
          <w:sz w:val="20"/>
          <w:szCs w:val="20"/>
          <w:color w:val="auto"/>
        </w:rPr>
      </w:pPr>
    </w:p>
    <w:p>
      <w:pPr>
        <w:jc w:val="both"/>
        <w:ind w:left="360" w:right="80"/>
        <w:spacing w:after="0" w:line="265" w:lineRule="auto"/>
        <w:rPr>
          <w:sz w:val="20"/>
          <w:szCs w:val="20"/>
          <w:color w:val="auto"/>
        </w:rPr>
      </w:pPr>
      <w:r>
        <w:rPr>
          <w:rFonts w:ascii="Arial" w:cs="Arial" w:eastAsia="Arial" w:hAnsi="Arial"/>
          <w:sz w:val="15"/>
          <w:szCs w:val="15"/>
          <w:color w:val="auto"/>
        </w:rPr>
        <w:t xml:space="preserve">The NORI Royalty was recorded as a royalty liability in the consolidated Balance Sheet in accordance with ASC 470, </w:t>
      </w:r>
      <w:r>
        <w:rPr>
          <w:rFonts w:ascii="Arial" w:cs="Arial" w:eastAsia="Arial" w:hAnsi="Arial"/>
          <w:sz w:val="15"/>
          <w:szCs w:val="15"/>
          <w:i w:val="1"/>
          <w:iCs w:val="1"/>
          <w:color w:val="auto"/>
        </w:rPr>
        <w:t>Debt</w:t>
      </w:r>
      <w:r>
        <w:rPr>
          <w:rFonts w:ascii="Arial" w:cs="Arial" w:eastAsia="Arial" w:hAnsi="Arial"/>
          <w:sz w:val="15"/>
          <w:szCs w:val="15"/>
          <w:color w:val="auto"/>
        </w:rPr>
        <w:t xml:space="preserve">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December 31, 2024 remained unchanged at $14 million.</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Financial results of Low Carbon Royalties as at and for the years ended December 31, 2024 and 2023 are summarized below:</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2"/>
                <w:szCs w:val="12"/>
                <w:b w:val="1"/>
                <w:bCs w:val="1"/>
                <w:color w:val="auto"/>
                <w:w w:val="88"/>
              </w:rPr>
              <w:t>As at</w:t>
            </w:r>
          </w:p>
        </w:tc>
        <w:tc>
          <w:tcPr>
            <w:tcW w:w="960" w:type="dxa"/>
            <w:vAlign w:val="bottom"/>
          </w:tcPr>
          <w:p>
            <w:pPr>
              <w:jc w:val="center"/>
              <w:ind w:right="151"/>
              <w:spacing w:after="0"/>
              <w:rPr>
                <w:sz w:val="20"/>
                <w:szCs w:val="20"/>
                <w:color w:val="auto"/>
              </w:rPr>
            </w:pPr>
            <w:r>
              <w:rPr>
                <w:rFonts w:ascii="Arial" w:cs="Arial" w:eastAsia="Arial" w:hAnsi="Arial"/>
                <w:sz w:val="12"/>
                <w:szCs w:val="12"/>
                <w:color w:val="auto"/>
                <w:w w:val="94"/>
              </w:rPr>
              <w:t>As at</w:t>
            </w:r>
          </w:p>
        </w:tc>
      </w:tr>
      <w:tr>
        <w:trPr>
          <w:trHeight w:val="126"/>
        </w:trPr>
        <w:tc>
          <w:tcPr>
            <w:tcW w:w="46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3"/>
          </w:tcPr>
          <w:p>
            <w:pPr>
              <w:jc w:val="center"/>
              <w:ind w:right="600"/>
              <w:spacing w:after="0" w:line="126" w:lineRule="exact"/>
              <w:rPr>
                <w:sz w:val="20"/>
                <w:szCs w:val="20"/>
                <w:color w:val="auto"/>
              </w:rPr>
            </w:pPr>
            <w:r>
              <w:rPr>
                <w:rFonts w:ascii="Arial" w:cs="Arial" w:eastAsia="Arial" w:hAnsi="Arial"/>
                <w:sz w:val="12"/>
                <w:szCs w:val="12"/>
                <w:b w:val="1"/>
                <w:bCs w:val="1"/>
                <w:color w:val="auto"/>
                <w:w w:val="89"/>
              </w:rPr>
              <w:t>December 31,</w:t>
            </w:r>
          </w:p>
        </w:tc>
        <w:tc>
          <w:tcPr>
            <w:tcW w:w="960" w:type="dxa"/>
            <w:vAlign w:val="bottom"/>
          </w:tcPr>
          <w:p>
            <w:pPr>
              <w:jc w:val="center"/>
              <w:ind w:right="131"/>
              <w:spacing w:after="0" w:line="126" w:lineRule="exact"/>
              <w:rPr>
                <w:sz w:val="20"/>
                <w:szCs w:val="20"/>
                <w:color w:val="auto"/>
              </w:rPr>
            </w:pPr>
            <w:r>
              <w:rPr>
                <w:rFonts w:ascii="Arial" w:cs="Arial" w:eastAsia="Arial" w:hAnsi="Arial"/>
                <w:sz w:val="12"/>
                <w:szCs w:val="12"/>
                <w:color w:val="auto"/>
                <w:w w:val="90"/>
              </w:rPr>
              <w:t>December 31,</w:t>
            </w:r>
          </w:p>
        </w:tc>
      </w:tr>
      <w:tr>
        <w:trPr>
          <w:trHeight w:val="149"/>
        </w:trPr>
        <w:tc>
          <w:tcPr>
            <w:tcW w:w="4640" w:type="dxa"/>
            <w:vAlign w:val="bottom"/>
            <w:tcBorders>
              <w:bottom w:val="single" w:sz="8" w:color="D2EEF5"/>
            </w:tcBorders>
          </w:tcPr>
          <w:p>
            <w:pPr>
              <w:spacing w:after="0"/>
              <w:rPr>
                <w:sz w:val="12"/>
                <w:szCs w:val="12"/>
                <w:color w:val="auto"/>
              </w:rPr>
            </w:pPr>
          </w:p>
        </w:tc>
        <w:tc>
          <w:tcPr>
            <w:tcW w:w="2600" w:type="dxa"/>
            <w:vAlign w:val="bottom"/>
            <w:tcBorders>
              <w:bottom w:val="single" w:sz="8" w:color="D2EEF5"/>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89"/>
              </w:rPr>
              <w:t>2024</w:t>
            </w:r>
          </w:p>
        </w:tc>
        <w:tc>
          <w:tcPr>
            <w:tcW w:w="220" w:type="dxa"/>
            <w:vAlign w:val="bottom"/>
            <w:tcBorders>
              <w:bottom w:val="single" w:sz="8" w:color="D2EEF5"/>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1"/>
              <w:spacing w:after="0"/>
              <w:rPr>
                <w:sz w:val="20"/>
                <w:szCs w:val="20"/>
                <w:color w:val="auto"/>
              </w:rPr>
            </w:pPr>
            <w:r>
              <w:rPr>
                <w:rFonts w:ascii="Arial" w:cs="Arial" w:eastAsia="Arial" w:hAnsi="Arial"/>
                <w:sz w:val="12"/>
                <w:szCs w:val="12"/>
                <w:color w:val="auto"/>
                <w:w w:val="89"/>
              </w:rPr>
              <w:t>2023</w:t>
            </w:r>
          </w:p>
        </w:tc>
      </w:tr>
      <w:tr>
        <w:trPr>
          <w:trHeight w:val="174"/>
        </w:trPr>
        <w:tc>
          <w:tcPr>
            <w:tcW w:w="4640" w:type="dxa"/>
            <w:vAlign w:val="bottom"/>
            <w:shd w:val="clear" w:color="auto" w:fill="D2EEF5"/>
          </w:tcPr>
          <w:p>
            <w:pPr>
              <w:spacing w:after="0"/>
              <w:rPr>
                <w:sz w:val="20"/>
                <w:szCs w:val="20"/>
                <w:color w:val="auto"/>
              </w:rPr>
            </w:pPr>
            <w:r>
              <w:rPr>
                <w:rFonts w:ascii="Arial" w:cs="Arial" w:eastAsia="Arial" w:hAnsi="Arial"/>
                <w:sz w:val="15"/>
                <w:szCs w:val="15"/>
                <w:color w:val="auto"/>
              </w:rPr>
              <w:t>Current Assets</w:t>
            </w:r>
          </w:p>
        </w:tc>
        <w:tc>
          <w:tcPr>
            <w:tcW w:w="2600" w:type="dxa"/>
            <w:vAlign w:val="bottom"/>
            <w:shd w:val="clear" w:color="auto" w:fill="D2EEF5"/>
          </w:tcPr>
          <w:p>
            <w:pPr>
              <w:spacing w:after="0"/>
              <w:rPr>
                <w:sz w:val="15"/>
                <w:szCs w:val="15"/>
                <w:color w:val="auto"/>
              </w:rPr>
            </w:pPr>
          </w:p>
        </w:tc>
        <w:tc>
          <w:tcPr>
            <w:tcW w:w="160" w:type="dxa"/>
            <w:vAlign w:val="bottom"/>
            <w:shd w:val="clear" w:color="auto" w:fill="D2EEF5"/>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1,660</w:t>
            </w:r>
          </w:p>
        </w:tc>
        <w:tc>
          <w:tcPr>
            <w:tcW w:w="22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1,091</w:t>
            </w:r>
          </w:p>
        </w:tc>
      </w:tr>
      <w:tr>
        <w:trPr>
          <w:trHeight w:val="183"/>
        </w:trPr>
        <w:tc>
          <w:tcPr>
            <w:tcW w:w="4640" w:type="dxa"/>
            <w:vAlign w:val="bottom"/>
          </w:tcPr>
          <w:p>
            <w:pPr>
              <w:spacing w:after="0"/>
              <w:rPr>
                <w:sz w:val="20"/>
                <w:szCs w:val="20"/>
                <w:color w:val="auto"/>
              </w:rPr>
            </w:pPr>
            <w:r>
              <w:rPr>
                <w:rFonts w:ascii="Arial" w:cs="Arial" w:eastAsia="Arial" w:hAnsi="Arial"/>
                <w:sz w:val="15"/>
                <w:szCs w:val="15"/>
                <w:color w:val="auto"/>
              </w:rPr>
              <w:t>Non-Current Assets</w:t>
            </w: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25,277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26,315</w:t>
            </w:r>
          </w:p>
        </w:tc>
      </w:tr>
      <w:tr>
        <w:trPr>
          <w:trHeight w:val="183"/>
        </w:trPr>
        <w:tc>
          <w:tcPr>
            <w:tcW w:w="4640" w:type="dxa"/>
            <w:vAlign w:val="bottom"/>
            <w:shd w:val="clear" w:color="auto" w:fill="D2EEF5"/>
          </w:tcPr>
          <w:p>
            <w:pPr>
              <w:spacing w:after="0"/>
              <w:rPr>
                <w:sz w:val="20"/>
                <w:szCs w:val="20"/>
                <w:color w:val="auto"/>
              </w:rPr>
            </w:pPr>
            <w:r>
              <w:rPr>
                <w:rFonts w:ascii="Arial" w:cs="Arial" w:eastAsia="Arial" w:hAnsi="Arial"/>
                <w:sz w:val="15"/>
                <w:szCs w:val="15"/>
                <w:color w:val="auto"/>
              </w:rPr>
              <w:t>Current Liabilities</w:t>
            </w:r>
          </w:p>
        </w:tc>
        <w:tc>
          <w:tcPr>
            <w:tcW w:w="260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D2EEF5"/>
          </w:tcPr>
          <w:p>
            <w:pPr>
              <w:spacing w:after="0"/>
              <w:rPr>
                <w:sz w:val="15"/>
                <w:szCs w:val="15"/>
                <w:color w:val="auto"/>
              </w:rPr>
            </w:pPr>
          </w:p>
        </w:tc>
        <w:tc>
          <w:tcPr>
            <w:tcW w:w="220" w:type="dxa"/>
            <w:vAlign w:val="bottom"/>
            <w:tcBorders>
              <w:bottom w:val="single" w:sz="8" w:color="auto"/>
            </w:tcBorders>
            <w:shd w:val="clear" w:color="auto" w:fill="D2EEF5"/>
          </w:tcPr>
          <w:p>
            <w:pPr>
              <w:spacing w:after="0"/>
              <w:rPr>
                <w:sz w:val="15"/>
                <w:szCs w:val="15"/>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131</w:t>
            </w:r>
          </w:p>
        </w:tc>
      </w:tr>
      <w:tr>
        <w:trPr>
          <w:trHeight w:val="315"/>
        </w:trPr>
        <w:tc>
          <w:tcPr>
            <w:tcW w:w="4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ind w:left="840"/>
              <w:spacing w:after="0"/>
              <w:rPr>
                <w:sz w:val="20"/>
                <w:szCs w:val="20"/>
                <w:color w:val="auto"/>
              </w:rPr>
            </w:pPr>
            <w:r>
              <w:rPr>
                <w:rFonts w:ascii="Arial" w:cs="Arial" w:eastAsia="Arial" w:hAnsi="Arial"/>
                <w:sz w:val="12"/>
                <w:szCs w:val="12"/>
                <w:b w:val="1"/>
                <w:bCs w:val="1"/>
                <w:color w:val="auto"/>
                <w:w w:val="92"/>
              </w:rPr>
              <w:t>Year ended</w:t>
            </w:r>
          </w:p>
        </w:tc>
        <w:tc>
          <w:tcPr>
            <w:tcW w:w="960" w:type="dxa"/>
            <w:vAlign w:val="bottom"/>
          </w:tcPr>
          <w:p>
            <w:pPr>
              <w:spacing w:after="0"/>
              <w:rPr>
                <w:sz w:val="24"/>
                <w:szCs w:val="24"/>
                <w:color w:val="auto"/>
              </w:rPr>
            </w:pPr>
          </w:p>
        </w:tc>
      </w:tr>
      <w:tr>
        <w:trPr>
          <w:trHeight w:val="183"/>
        </w:trPr>
        <w:tc>
          <w:tcPr>
            <w:tcW w:w="46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2"/>
                <w:szCs w:val="12"/>
                <w:b w:val="1"/>
                <w:bCs w:val="1"/>
                <w:color w:val="auto"/>
                <w:w w:val="89"/>
              </w:rPr>
              <w:t>December 31,</w:t>
            </w:r>
          </w:p>
        </w:tc>
        <w:tc>
          <w:tcPr>
            <w:tcW w:w="960" w:type="dxa"/>
            <w:vAlign w:val="bottom"/>
          </w:tcPr>
          <w:p>
            <w:pPr>
              <w:jc w:val="center"/>
              <w:ind w:right="131"/>
              <w:spacing w:after="0"/>
              <w:rPr>
                <w:sz w:val="20"/>
                <w:szCs w:val="20"/>
                <w:color w:val="auto"/>
              </w:rPr>
            </w:pPr>
            <w:r>
              <w:rPr>
                <w:rFonts w:ascii="Arial" w:cs="Arial" w:eastAsia="Arial" w:hAnsi="Arial"/>
                <w:sz w:val="12"/>
                <w:szCs w:val="12"/>
                <w:color w:val="auto"/>
                <w:w w:val="90"/>
              </w:rPr>
              <w:t>December 31,</w:t>
            </w:r>
          </w:p>
        </w:tc>
      </w:tr>
      <w:tr>
        <w:trPr>
          <w:trHeight w:val="168"/>
        </w:trPr>
        <w:tc>
          <w:tcPr>
            <w:tcW w:w="4640" w:type="dxa"/>
            <w:vAlign w:val="bottom"/>
            <w:tcBorders>
              <w:bottom w:val="single" w:sz="8" w:color="D2EEF5"/>
            </w:tcBorders>
          </w:tcPr>
          <w:p>
            <w:pPr>
              <w:spacing w:after="0"/>
              <w:rPr>
                <w:sz w:val="14"/>
                <w:szCs w:val="14"/>
                <w:color w:val="auto"/>
              </w:rPr>
            </w:pPr>
          </w:p>
        </w:tc>
        <w:tc>
          <w:tcPr>
            <w:tcW w:w="2600" w:type="dxa"/>
            <w:vAlign w:val="bottom"/>
            <w:tcBorders>
              <w:bottom w:val="single" w:sz="8" w:color="D2EEF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89"/>
              </w:rPr>
              <w:t>2024</w:t>
            </w:r>
          </w:p>
        </w:tc>
        <w:tc>
          <w:tcPr>
            <w:tcW w:w="220" w:type="dxa"/>
            <w:vAlign w:val="bottom"/>
            <w:tcBorders>
              <w:bottom w:val="single" w:sz="8" w:color="D2EEF5"/>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1"/>
              <w:spacing w:after="0"/>
              <w:rPr>
                <w:sz w:val="20"/>
                <w:szCs w:val="20"/>
                <w:color w:val="auto"/>
              </w:rPr>
            </w:pPr>
            <w:r>
              <w:rPr>
                <w:rFonts w:ascii="Arial" w:cs="Arial" w:eastAsia="Arial" w:hAnsi="Arial"/>
                <w:sz w:val="12"/>
                <w:szCs w:val="12"/>
                <w:color w:val="auto"/>
                <w:w w:val="89"/>
              </w:rPr>
              <w:t>2023</w:t>
            </w:r>
          </w:p>
        </w:tc>
      </w:tr>
      <w:tr>
        <w:trPr>
          <w:trHeight w:val="174"/>
        </w:trPr>
        <w:tc>
          <w:tcPr>
            <w:tcW w:w="4640" w:type="dxa"/>
            <w:vAlign w:val="bottom"/>
            <w:shd w:val="clear" w:color="auto" w:fill="D2EEF5"/>
          </w:tcPr>
          <w:p>
            <w:pPr>
              <w:spacing w:after="0"/>
              <w:rPr>
                <w:sz w:val="20"/>
                <w:szCs w:val="20"/>
                <w:color w:val="auto"/>
              </w:rPr>
            </w:pPr>
            <w:r>
              <w:rPr>
                <w:rFonts w:ascii="Arial" w:cs="Arial" w:eastAsia="Arial" w:hAnsi="Arial"/>
                <w:sz w:val="15"/>
                <w:szCs w:val="15"/>
                <w:color w:val="auto"/>
              </w:rPr>
              <w:t>Royalty Income</w:t>
            </w:r>
          </w:p>
        </w:tc>
        <w:tc>
          <w:tcPr>
            <w:tcW w:w="2600" w:type="dxa"/>
            <w:vAlign w:val="bottom"/>
            <w:shd w:val="clear" w:color="auto" w:fill="D2EEF5"/>
          </w:tcPr>
          <w:p>
            <w:pPr>
              <w:spacing w:after="0"/>
              <w:rPr>
                <w:sz w:val="15"/>
                <w:szCs w:val="15"/>
                <w:color w:val="auto"/>
              </w:rPr>
            </w:pPr>
          </w:p>
        </w:tc>
        <w:tc>
          <w:tcPr>
            <w:tcW w:w="160" w:type="dxa"/>
            <w:vAlign w:val="bottom"/>
            <w:shd w:val="clear" w:color="auto" w:fill="D2EEF5"/>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1,459</w:t>
            </w:r>
          </w:p>
        </w:tc>
        <w:tc>
          <w:tcPr>
            <w:tcW w:w="22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399</w:t>
            </w:r>
          </w:p>
        </w:tc>
      </w:tr>
      <w:tr>
        <w:trPr>
          <w:trHeight w:val="183"/>
        </w:trPr>
        <w:tc>
          <w:tcPr>
            <w:tcW w:w="4640" w:type="dxa"/>
            <w:vAlign w:val="bottom"/>
          </w:tcPr>
          <w:p>
            <w:pPr>
              <w:spacing w:after="0"/>
              <w:rPr>
                <w:sz w:val="20"/>
                <w:szCs w:val="20"/>
                <w:color w:val="auto"/>
              </w:rPr>
            </w:pPr>
            <w:r>
              <w:rPr>
                <w:rFonts w:ascii="Arial" w:cs="Arial" w:eastAsia="Arial" w:hAnsi="Arial"/>
                <w:sz w:val="15"/>
                <w:szCs w:val="15"/>
                <w:color w:val="auto"/>
              </w:rPr>
              <w:t>Total Revenue</w:t>
            </w: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1,515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480</w:t>
            </w:r>
          </w:p>
        </w:tc>
      </w:tr>
      <w:tr>
        <w:trPr>
          <w:trHeight w:val="183"/>
        </w:trPr>
        <w:tc>
          <w:tcPr>
            <w:tcW w:w="464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Comprehensive Loss for the Year</w:t>
            </w:r>
          </w:p>
        </w:tc>
        <w:tc>
          <w:tcPr>
            <w:tcW w:w="2600" w:type="dxa"/>
            <w:vAlign w:val="bottom"/>
            <w:tcBorders>
              <w:bottom w:val="single" w:sz="8" w:color="D2EEF5"/>
            </w:tcBorders>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(689)</w:t>
            </w:r>
          </w:p>
        </w:tc>
        <w:tc>
          <w:tcPr>
            <w:tcW w:w="220" w:type="dxa"/>
            <w:vAlign w:val="bottom"/>
            <w:tcBorders>
              <w:bottom w:val="single" w:sz="8" w:color="D2EEF5"/>
            </w:tcBorders>
            <w:shd w:val="clear" w:color="auto" w:fill="D2EEF5"/>
          </w:tcPr>
          <w:p>
            <w:pPr>
              <w:spacing w:after="0"/>
              <w:rPr>
                <w:sz w:val="15"/>
                <w:szCs w:val="15"/>
                <w:color w:val="auto"/>
              </w:rPr>
            </w:pPr>
          </w:p>
        </w:tc>
        <w:tc>
          <w:tcPr>
            <w:tcW w:w="220" w:type="dxa"/>
            <w:vAlign w:val="bottom"/>
            <w:tcBorders>
              <w:bottom w:val="single" w:sz="8" w:color="auto"/>
            </w:tcBorders>
            <w:shd w:val="clear" w:color="auto" w:fill="D2EEF5"/>
          </w:tcPr>
          <w:p>
            <w:pPr>
              <w:spacing w:after="0"/>
              <w:rPr>
                <w:sz w:val="15"/>
                <w:szCs w:val="15"/>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(1,747)</w:t>
            </w:r>
          </w:p>
        </w:tc>
      </w:tr>
    </w:tbl>
    <w:p>
      <w:pPr>
        <w:spacing w:after="0" w:line="171" w:lineRule="exact"/>
        <w:rPr>
          <w:sz w:val="20"/>
          <w:szCs w:val="20"/>
          <w:color w:val="auto"/>
        </w:rPr>
      </w:pPr>
    </w:p>
    <w:p>
      <w:pPr>
        <w:ind w:left="360" w:hanging="280"/>
        <w:spacing w:after="0"/>
        <w:tabs>
          <w:tab w:leader="none" w:pos="36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Exploration Contracts</w:t>
      </w:r>
    </w:p>
    <w:p>
      <w:pPr>
        <w:spacing w:after="0" w:line="193" w:lineRule="exact"/>
        <w:rPr>
          <w:rFonts w:ascii="Arial" w:cs="Arial" w:eastAsia="Arial" w:hAnsi="Arial"/>
          <w:sz w:val="15"/>
          <w:szCs w:val="15"/>
          <w:b w:val="1"/>
          <w:bCs w:val="1"/>
          <w:color w:val="auto"/>
        </w:rPr>
      </w:pPr>
    </w:p>
    <w:p>
      <w:pPr>
        <w:ind w:left="360" w:right="8120"/>
        <w:spacing w:after="0" w:line="589" w:lineRule="auto"/>
        <w:rPr>
          <w:rFonts w:ascii="Arial" w:cs="Arial" w:eastAsia="Arial" w:hAnsi="Arial"/>
          <w:sz w:val="15"/>
          <w:szCs w:val="15"/>
          <w:b w:val="1"/>
          <w:bCs w:val="1"/>
          <w:color w:val="auto"/>
        </w:rPr>
      </w:pPr>
      <w:r>
        <w:rPr>
          <w:rFonts w:ascii="Arial" w:cs="Arial" w:eastAsia="Arial" w:hAnsi="Arial"/>
          <w:sz w:val="13"/>
          <w:szCs w:val="13"/>
          <w:b w:val="1"/>
          <w:bCs w:val="1"/>
          <w:color w:val="auto"/>
        </w:rPr>
        <w:t xml:space="preserve">Significant Exploration Agreements </w:t>
      </w:r>
      <w:r>
        <w:rPr>
          <w:rFonts w:ascii="Arial" w:cs="Arial" w:eastAsia="Arial" w:hAnsi="Arial"/>
          <w:sz w:val="13"/>
          <w:szCs w:val="13"/>
          <w:b w:val="1"/>
          <w:bCs w:val="1"/>
          <w:i w:val="1"/>
          <w:iCs w:val="1"/>
          <w:color w:val="auto"/>
        </w:rPr>
        <w:t>NORI Exploration Contract:</w:t>
      </w:r>
    </w:p>
    <w:p>
      <w:pPr>
        <w:jc w:val="both"/>
        <w:ind w:left="360" w:right="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21) and provides NORI with the priority right to apply for an exploitation contract to collect polymetallic nodules in the same area.</w:t>
      </w:r>
    </w:p>
    <w:p>
      <w:pPr>
        <w:spacing w:after="0" w:line="141" w:lineRule="exact"/>
        <w:rPr>
          <w:rFonts w:ascii="Arial" w:cs="Arial" w:eastAsia="Arial" w:hAnsi="Arial"/>
          <w:sz w:val="15"/>
          <w:szCs w:val="15"/>
          <w:b w:val="1"/>
          <w:bCs w:val="1"/>
          <w:color w:val="auto"/>
        </w:rPr>
      </w:pPr>
    </w:p>
    <w:p>
      <w:pPr>
        <w:ind w:left="360" w:right="10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NORI has a right to renounce, without penalty, in whole or part of its rights in the NORI Area at any time and therefore does not have a fixed commitment with relation to the NORI Exploration Contract (Note 21).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TOML Exploration Contract:</w:t>
      </w:r>
    </w:p>
    <w:p>
      <w:pPr>
        <w:spacing w:after="0" w:line="192"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37"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On March 31, 2020, the Company entered into an acquisition agreement with Deep Sea Mining Finance Ltd. to acquire TOML and other related entities in the group (the “TOML Acquisition”). Total purchase price of the TOML Acquisition, before transaction costs, was $32.0 million comprising of $42.7 million for exploration contracts offset by $10.7 million for deferred tax liability. TOML holds an ISA exploration contract in the CCZ (“TOML Exploration Contract”) and some exploration related equipment.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Reconciliation – Exploration Contracts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reconciliation of the Company’s capitalized exploration contracts is as follows: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rPr>
              <w:t>NORI</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Marawa</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TOML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Option</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Contract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w w:val="95"/>
              </w:rPr>
              <w:t>Agreement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Contract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4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December 31, 2023</w:t>
            </w:r>
          </w:p>
        </w:tc>
        <w:tc>
          <w:tcPr>
            <w:tcW w:w="140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180" w:type="dxa"/>
            <w:vAlign w:val="bottom"/>
            <w:tcBorders>
              <w:top w:val="single" w:sz="8" w:color="auto"/>
            </w:tcBorders>
            <w:gridSpan w:val="2"/>
            <w:shd w:val="clear" w:color="auto" w:fill="D2EEF5"/>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250</w:t>
            </w:r>
          </w:p>
        </w:tc>
        <w:tc>
          <w:tcPr>
            <w:tcW w:w="20" w:type="dxa"/>
            <w:vAlign w:val="bottom"/>
            <w:tcBorders>
              <w:top w:val="single" w:sz="8" w:color="auto"/>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gridSpan w:val="2"/>
            <w:shd w:val="clear" w:color="auto" w:fill="D2EEF5"/>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199</w:t>
            </w: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42,701</w:t>
            </w:r>
          </w:p>
        </w:tc>
        <w:tc>
          <w:tcPr>
            <w:tcW w:w="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43,150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Termination of Marawa Agreement</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4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December 31, 2024</w:t>
            </w:r>
          </w:p>
        </w:tc>
        <w:tc>
          <w:tcPr>
            <w:tcW w:w="140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180" w:type="dxa"/>
            <w:vAlign w:val="bottom"/>
            <w:tcBorders>
              <w:top w:val="single" w:sz="8" w:color="auto"/>
            </w:tcBorders>
            <w:gridSpan w:val="2"/>
            <w:shd w:val="clear" w:color="auto" w:fill="D2EEF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250</w:t>
            </w:r>
          </w:p>
        </w:tc>
        <w:tc>
          <w:tcPr>
            <w:tcW w:w="2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gridSpan w:val="2"/>
            <w:shd w:val="clear" w:color="auto" w:fill="D2EEF5"/>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42,701</w:t>
            </w:r>
          </w:p>
        </w:tc>
        <w:tc>
          <w:tcPr>
            <w:tcW w:w="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42,951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8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The detail of exploration and evaluation expenses is as follows: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NORI</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Marawa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TOML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68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For the year ended December 31, 2024</w:t>
            </w: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right"/>
              <w:ind w:right="60"/>
              <w:spacing w:after="0" w:line="126" w:lineRule="exact"/>
              <w:rPr>
                <w:sz w:val="20"/>
                <w:szCs w:val="20"/>
                <w:color w:val="auto"/>
              </w:rPr>
            </w:pPr>
            <w:r>
              <w:rPr>
                <w:rFonts w:ascii="Arial" w:cs="Arial" w:eastAsia="Arial" w:hAnsi="Arial"/>
                <w:sz w:val="12"/>
                <w:szCs w:val="12"/>
                <w:b w:val="1"/>
                <w:bCs w:val="1"/>
                <w:color w:val="auto"/>
                <w:w w:val="96"/>
              </w:rPr>
              <w:t>Exploration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Option</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9"/>
              </w:rPr>
              <w:t>Exploration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468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Contract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Agreement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Contract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400" w:type="dxa"/>
            <w:vAlign w:val="bottom"/>
            <w:tcBorders>
              <w:top w:val="single" w:sz="8" w:color="auto"/>
            </w:tcBorders>
            <w:shd w:val="clear" w:color="auto" w:fill="D2EEF5"/>
          </w:tcPr>
          <w:p>
            <w:pPr>
              <w:ind w:left="80"/>
              <w:spacing w:after="0"/>
              <w:rPr>
                <w:sz w:val="20"/>
                <w:szCs w:val="20"/>
                <w:color w:val="auto"/>
              </w:rPr>
            </w:pPr>
            <w:r>
              <w:rPr>
                <w:rFonts w:ascii="Arial" w:cs="Arial" w:eastAsia="Arial" w:hAnsi="Arial"/>
                <w:sz w:val="15"/>
                <w:szCs w:val="15"/>
                <w:color w:val="auto"/>
              </w:rPr>
              <w:t>Environmental Studies</w:t>
            </w:r>
          </w:p>
        </w:tc>
        <w:tc>
          <w:tcPr>
            <w:tcW w:w="140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gridSpan w:val="2"/>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2,891</w:t>
            </w:r>
          </w:p>
        </w:tc>
        <w:tc>
          <w:tcPr>
            <w:tcW w:w="160" w:type="dxa"/>
            <w:vAlign w:val="bottom"/>
            <w:tcBorders>
              <w:top w:val="single" w:sz="8" w:color="D2EEF5"/>
            </w:tcBorders>
            <w:gridSpan w:val="2"/>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270</w:t>
            </w:r>
          </w:p>
        </w:tc>
        <w:tc>
          <w:tcPr>
            <w:tcW w:w="60" w:type="dxa"/>
            <w:vAlign w:val="bottom"/>
            <w:tcBorders>
              <w:top w:val="single" w:sz="8" w:color="auto"/>
            </w:tcBorders>
            <w:gridSpan w:val="2"/>
            <w:shd w:val="clear" w:color="auto" w:fill="D2EEF5"/>
          </w:tcPr>
          <w:p>
            <w:pPr>
              <w:spacing w:after="0"/>
              <w:rPr>
                <w:sz w:val="15"/>
                <w:szCs w:val="15"/>
                <w:color w:val="auto"/>
              </w:rPr>
            </w:pPr>
          </w:p>
        </w:tc>
        <w:tc>
          <w:tcPr>
            <w:tcW w:w="160" w:type="dxa"/>
            <w:vAlign w:val="bottom"/>
            <w:tcBorders>
              <w:top w:val="single" w:sz="8" w:color="D2EEF5"/>
            </w:tcBorders>
            <w:gridSpan w:val="2"/>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73</w:t>
            </w:r>
          </w:p>
        </w:tc>
        <w:tc>
          <w:tcPr>
            <w:tcW w:w="4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gridSpan w:val="2"/>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3,234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Pr>
          <w:p>
            <w:pPr>
              <w:ind w:left="80"/>
              <w:spacing w:after="0"/>
              <w:rPr>
                <w:sz w:val="20"/>
                <w:szCs w:val="20"/>
                <w:color w:val="auto"/>
              </w:rPr>
            </w:pPr>
            <w:r>
              <w:rPr>
                <w:rFonts w:ascii="Arial" w:cs="Arial" w:eastAsia="Arial" w:hAnsi="Arial"/>
                <w:sz w:val="15"/>
                <w:szCs w:val="15"/>
                <w:color w:val="auto"/>
              </w:rPr>
              <w:t>Exploration Labor</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8,706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85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633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9,424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shd w:val="clear" w:color="auto" w:fill="D2EEF5"/>
          </w:tcPr>
          <w:p>
            <w:pPr>
              <w:ind w:left="80"/>
              <w:spacing w:after="0"/>
              <w:rPr>
                <w:sz w:val="20"/>
                <w:szCs w:val="20"/>
                <w:color w:val="auto"/>
              </w:rPr>
            </w:pPr>
            <w:r>
              <w:rPr>
                <w:rFonts w:ascii="Arial" w:cs="Arial" w:eastAsia="Arial" w:hAnsi="Arial"/>
                <w:sz w:val="15"/>
                <w:szCs w:val="15"/>
                <w:color w:val="auto"/>
              </w:rPr>
              <w:t xml:space="preserve">Share-Based Compensation </w:t>
            </w:r>
            <w:r>
              <w:rPr>
                <w:rFonts w:ascii="Arial" w:cs="Arial" w:eastAsia="Arial" w:hAnsi="Arial"/>
                <w:sz w:val="15"/>
                <w:szCs w:val="15"/>
                <w:i w:val="1"/>
                <w:iCs w:val="1"/>
                <w:color w:val="auto"/>
              </w:rPr>
              <w:t>(Note 17)</w:t>
            </w:r>
          </w:p>
        </w:tc>
        <w:tc>
          <w:tcPr>
            <w:tcW w:w="14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7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9,638</w:t>
            </w:r>
          </w:p>
        </w:tc>
        <w:tc>
          <w:tcPr>
            <w:tcW w:w="12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14</w:t>
            </w:r>
          </w:p>
        </w:tc>
        <w:tc>
          <w:tcPr>
            <w:tcW w:w="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799</w:t>
            </w: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10,451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Pr>
          <w:p>
            <w:pPr>
              <w:ind w:left="80"/>
              <w:spacing w:after="0"/>
              <w:rPr>
                <w:sz w:val="20"/>
                <w:szCs w:val="20"/>
                <w:color w:val="auto"/>
              </w:rPr>
            </w:pPr>
            <w:r>
              <w:rPr>
                <w:rFonts w:ascii="Arial" w:cs="Arial" w:eastAsia="Arial" w:hAnsi="Arial"/>
                <w:sz w:val="15"/>
                <w:szCs w:val="15"/>
                <w:color w:val="auto"/>
              </w:rPr>
              <w:t>Mining, Technological and Process Development</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21,173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1,219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22,392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shd w:val="clear" w:color="auto" w:fill="D2EEF5"/>
          </w:tcPr>
          <w:p>
            <w:pPr>
              <w:ind w:left="80"/>
              <w:spacing w:after="0"/>
              <w:rPr>
                <w:sz w:val="20"/>
                <w:szCs w:val="20"/>
                <w:color w:val="auto"/>
              </w:rPr>
            </w:pPr>
            <w:r>
              <w:rPr>
                <w:rFonts w:ascii="Arial" w:cs="Arial" w:eastAsia="Arial" w:hAnsi="Arial"/>
                <w:sz w:val="15"/>
                <w:szCs w:val="15"/>
                <w:color w:val="auto"/>
              </w:rPr>
              <w:t>Prefeasibility Studies</w:t>
            </w:r>
          </w:p>
        </w:tc>
        <w:tc>
          <w:tcPr>
            <w:tcW w:w="14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7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1,120</w:t>
            </w:r>
          </w:p>
        </w:tc>
        <w:tc>
          <w:tcPr>
            <w:tcW w:w="12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1,120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Pr>
          <w:p>
            <w:pPr>
              <w:ind w:left="80"/>
              <w:spacing w:after="0"/>
              <w:rPr>
                <w:sz w:val="20"/>
                <w:szCs w:val="20"/>
                <w:color w:val="auto"/>
              </w:rPr>
            </w:pPr>
            <w:r>
              <w:rPr>
                <w:rFonts w:ascii="Arial" w:cs="Arial" w:eastAsia="Arial" w:hAnsi="Arial"/>
                <w:sz w:val="15"/>
                <w:szCs w:val="15"/>
                <w:color w:val="auto"/>
              </w:rPr>
              <w:t>Sponsorship, Training and Stakeholder Engagement</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2,353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115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601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3,069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shd w:val="clear" w:color="auto" w:fill="D2EEF5"/>
          </w:tcPr>
          <w:p>
            <w:pPr>
              <w:ind w:left="80"/>
              <w:spacing w:after="0"/>
              <w:rPr>
                <w:sz w:val="20"/>
                <w:szCs w:val="20"/>
                <w:color w:val="auto"/>
              </w:rPr>
            </w:pPr>
            <w:r>
              <w:rPr>
                <w:rFonts w:ascii="Arial" w:cs="Arial" w:eastAsia="Arial" w:hAnsi="Arial"/>
                <w:sz w:val="15"/>
                <w:szCs w:val="15"/>
                <w:color w:val="auto"/>
              </w:rPr>
              <w:t>Permit Application Activities</w:t>
            </w:r>
          </w:p>
        </w:tc>
        <w:tc>
          <w:tcPr>
            <w:tcW w:w="14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7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297</w:t>
            </w:r>
          </w:p>
        </w:tc>
        <w:tc>
          <w:tcPr>
            <w:tcW w:w="12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297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Borders>
              <w:bottom w:val="single" w:sz="8" w:color="D2EEF5"/>
            </w:tcBorders>
          </w:tcPr>
          <w:p>
            <w:pPr>
              <w:ind w:left="80"/>
              <w:spacing w:after="0"/>
              <w:rPr>
                <w:sz w:val="20"/>
                <w:szCs w:val="20"/>
                <w:color w:val="auto"/>
              </w:rPr>
            </w:pPr>
            <w:r>
              <w:rPr>
                <w:rFonts w:ascii="Arial" w:cs="Arial" w:eastAsia="Arial" w:hAnsi="Arial"/>
                <w:sz w:val="15"/>
                <w:szCs w:val="15"/>
                <w:color w:val="auto"/>
              </w:rPr>
              <w:t>Other</w:t>
            </w:r>
          </w:p>
        </w:tc>
        <w:tc>
          <w:tcPr>
            <w:tcW w:w="140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60" w:type="dxa"/>
            <w:vAlign w:val="bottom"/>
            <w:tcBorders>
              <w:bottom w:val="single" w:sz="8" w:color="D2EE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640</w:t>
            </w:r>
          </w:p>
        </w:tc>
        <w:tc>
          <w:tcPr>
            <w:tcW w:w="120" w:type="dxa"/>
            <w:vAlign w:val="bottom"/>
            <w:tcBorders>
              <w:bottom w:val="single" w:sz="8" w:color="D2EEF5"/>
            </w:tcBorders>
          </w:tcPr>
          <w:p>
            <w:pPr>
              <w:spacing w:after="0"/>
              <w:rPr>
                <w:sz w:val="15"/>
                <w:szCs w:val="15"/>
                <w:color w:val="auto"/>
              </w:rPr>
            </w:pPr>
          </w:p>
        </w:tc>
        <w:tc>
          <w:tcPr>
            <w:tcW w:w="40" w:type="dxa"/>
            <w:vAlign w:val="bottom"/>
            <w:tcBorders>
              <w:bottom w:val="single" w:sz="8" w:color="D2EE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4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400" w:type="dxa"/>
            <w:vAlign w:val="bottom"/>
            <w:shd w:val="clear" w:color="auto" w:fill="D2EEF5"/>
          </w:tcPr>
          <w:p>
            <w:pPr>
              <w:spacing w:after="0"/>
              <w:rPr>
                <w:sz w:val="15"/>
                <w:szCs w:val="15"/>
                <w:color w:val="auto"/>
              </w:rPr>
            </w:pPr>
          </w:p>
        </w:tc>
        <w:tc>
          <w:tcPr>
            <w:tcW w:w="1400" w:type="dxa"/>
            <w:vAlign w:val="bottom"/>
            <w:shd w:val="clear" w:color="auto" w:fill="D2EEF5"/>
          </w:tcPr>
          <w:p>
            <w:pPr>
              <w:spacing w:after="0"/>
              <w:rPr>
                <w:sz w:val="15"/>
                <w:szCs w:val="15"/>
                <w:color w:val="auto"/>
              </w:rPr>
            </w:pPr>
          </w:p>
        </w:tc>
        <w:tc>
          <w:tcPr>
            <w:tcW w:w="180" w:type="dxa"/>
            <w:vAlign w:val="bottom"/>
            <w:gridSpan w:val="2"/>
            <w:shd w:val="clear" w:color="auto" w:fill="D2EEF5"/>
          </w:tcPr>
          <w:p>
            <w:pPr>
              <w:spacing w:after="0"/>
              <w:rPr>
                <w:sz w:val="15"/>
                <w:szCs w:val="15"/>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46,818</w:t>
            </w:r>
          </w:p>
        </w:tc>
        <w:tc>
          <w:tcPr>
            <w:tcW w:w="160" w:type="dxa"/>
            <w:vAlign w:val="bottom"/>
            <w:gridSpan w:val="2"/>
            <w:shd w:val="clear" w:color="auto" w:fill="D2EEF5"/>
          </w:tcPr>
          <w:p>
            <w:pPr>
              <w:spacing w:after="0"/>
              <w:rPr>
                <w:sz w:val="15"/>
                <w:szCs w:val="15"/>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484</w:t>
            </w:r>
          </w:p>
        </w:tc>
        <w:tc>
          <w:tcPr>
            <w:tcW w:w="40" w:type="dxa"/>
            <w:vAlign w:val="bottom"/>
            <w:tcBorders>
              <w:bottom w:val="single" w:sz="8" w:color="auto"/>
            </w:tcBorders>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gridSpan w:val="2"/>
            <w:shd w:val="clear" w:color="auto" w:fill="D2EEF5"/>
          </w:tcPr>
          <w:p>
            <w:pPr>
              <w:spacing w:after="0"/>
              <w:rPr>
                <w:sz w:val="15"/>
                <w:szCs w:val="15"/>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3,341</w:t>
            </w:r>
          </w:p>
        </w:tc>
        <w:tc>
          <w:tcPr>
            <w:tcW w:w="40" w:type="dxa"/>
            <w:vAlign w:val="bottom"/>
            <w:tcBorders>
              <w:bottom w:val="single" w:sz="8" w:color="auto"/>
            </w:tcBorders>
            <w:shd w:val="clear" w:color="auto" w:fill="D2EEF5"/>
          </w:tcPr>
          <w:p>
            <w:pPr>
              <w:spacing w:after="0"/>
              <w:rPr>
                <w:sz w:val="15"/>
                <w:szCs w:val="15"/>
                <w:color w:val="auto"/>
              </w:rPr>
            </w:pPr>
          </w:p>
        </w:tc>
        <w:tc>
          <w:tcPr>
            <w:tcW w:w="180" w:type="dxa"/>
            <w:vAlign w:val="bottom"/>
            <w:gridSpan w:val="2"/>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50,643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NORI</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Marawa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TOML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68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For the year ended December 31, 2023</w:t>
            </w: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right"/>
              <w:ind w:right="60"/>
              <w:spacing w:after="0" w:line="126" w:lineRule="exact"/>
              <w:rPr>
                <w:sz w:val="20"/>
                <w:szCs w:val="20"/>
                <w:color w:val="auto"/>
              </w:rPr>
            </w:pPr>
            <w:r>
              <w:rPr>
                <w:rFonts w:ascii="Arial" w:cs="Arial" w:eastAsia="Arial" w:hAnsi="Arial"/>
                <w:sz w:val="12"/>
                <w:szCs w:val="12"/>
                <w:b w:val="1"/>
                <w:bCs w:val="1"/>
                <w:color w:val="auto"/>
                <w:w w:val="96"/>
              </w:rPr>
              <w:t>Exploration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Option</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9"/>
              </w:rPr>
              <w:t>Exploration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468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Contract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Agreement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Contract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400" w:type="dxa"/>
            <w:vAlign w:val="bottom"/>
            <w:tcBorders>
              <w:top w:val="single" w:sz="8" w:color="auto"/>
            </w:tcBorders>
            <w:shd w:val="clear" w:color="auto" w:fill="D2EEF5"/>
          </w:tcPr>
          <w:p>
            <w:pPr>
              <w:ind w:left="80"/>
              <w:spacing w:after="0"/>
              <w:rPr>
                <w:sz w:val="20"/>
                <w:szCs w:val="20"/>
                <w:color w:val="auto"/>
              </w:rPr>
            </w:pPr>
            <w:r>
              <w:rPr>
                <w:rFonts w:ascii="Arial" w:cs="Arial" w:eastAsia="Arial" w:hAnsi="Arial"/>
                <w:sz w:val="15"/>
                <w:szCs w:val="15"/>
                <w:color w:val="auto"/>
              </w:rPr>
              <w:t>Environmental Studies</w:t>
            </w:r>
          </w:p>
        </w:tc>
        <w:tc>
          <w:tcPr>
            <w:tcW w:w="140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gridSpan w:val="2"/>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16,421</w:t>
            </w:r>
          </w:p>
        </w:tc>
        <w:tc>
          <w:tcPr>
            <w:tcW w:w="160" w:type="dxa"/>
            <w:vAlign w:val="bottom"/>
            <w:tcBorders>
              <w:top w:val="single" w:sz="8" w:color="D2EEF5"/>
            </w:tcBorders>
            <w:gridSpan w:val="2"/>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auto"/>
            </w:tcBorders>
            <w:gridSpan w:val="2"/>
            <w:shd w:val="clear" w:color="auto" w:fill="D2EEF5"/>
          </w:tcPr>
          <w:p>
            <w:pPr>
              <w:spacing w:after="0"/>
              <w:rPr>
                <w:sz w:val="15"/>
                <w:szCs w:val="15"/>
                <w:color w:val="auto"/>
              </w:rPr>
            </w:pPr>
          </w:p>
        </w:tc>
        <w:tc>
          <w:tcPr>
            <w:tcW w:w="160" w:type="dxa"/>
            <w:vAlign w:val="bottom"/>
            <w:tcBorders>
              <w:top w:val="single" w:sz="8" w:color="D2EEF5"/>
            </w:tcBorders>
            <w:gridSpan w:val="2"/>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gridSpan w:val="2"/>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16,421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Pr>
          <w:p>
            <w:pPr>
              <w:ind w:left="80"/>
              <w:spacing w:after="0"/>
              <w:rPr>
                <w:sz w:val="20"/>
                <w:szCs w:val="20"/>
                <w:color w:val="auto"/>
              </w:rPr>
            </w:pPr>
            <w:r>
              <w:rPr>
                <w:rFonts w:ascii="Arial" w:cs="Arial" w:eastAsia="Arial" w:hAnsi="Arial"/>
                <w:sz w:val="15"/>
                <w:szCs w:val="15"/>
                <w:color w:val="auto"/>
              </w:rPr>
              <w:t>Exploration Labor</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7,268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8,206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shd w:val="clear" w:color="auto" w:fill="D2EEF5"/>
          </w:tcPr>
          <w:p>
            <w:pPr>
              <w:ind w:left="80"/>
              <w:spacing w:after="0"/>
              <w:rPr>
                <w:sz w:val="20"/>
                <w:szCs w:val="20"/>
                <w:color w:val="auto"/>
              </w:rPr>
            </w:pPr>
            <w:r>
              <w:rPr>
                <w:rFonts w:ascii="Arial" w:cs="Arial" w:eastAsia="Arial" w:hAnsi="Arial"/>
                <w:sz w:val="15"/>
                <w:szCs w:val="15"/>
                <w:color w:val="auto"/>
              </w:rPr>
              <w:t xml:space="preserve">Share-Based Compensation </w:t>
            </w:r>
            <w:r>
              <w:rPr>
                <w:rFonts w:ascii="Arial" w:cs="Arial" w:eastAsia="Arial" w:hAnsi="Arial"/>
                <w:sz w:val="15"/>
                <w:szCs w:val="15"/>
                <w:i w:val="1"/>
                <w:iCs w:val="1"/>
                <w:color w:val="auto"/>
              </w:rPr>
              <w:t>(Note 17)</w:t>
            </w:r>
          </w:p>
        </w:tc>
        <w:tc>
          <w:tcPr>
            <w:tcW w:w="14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7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4,444</w:t>
            </w:r>
          </w:p>
        </w:tc>
        <w:tc>
          <w:tcPr>
            <w:tcW w:w="12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146</w:t>
            </w:r>
          </w:p>
        </w:tc>
        <w:tc>
          <w:tcPr>
            <w:tcW w:w="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443</w:t>
            </w: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5,033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Pr>
          <w:p>
            <w:pPr>
              <w:ind w:left="80"/>
              <w:spacing w:after="0"/>
              <w:rPr>
                <w:sz w:val="20"/>
                <w:szCs w:val="20"/>
                <w:color w:val="auto"/>
              </w:rPr>
            </w:pPr>
            <w:r>
              <w:rPr>
                <w:rFonts w:ascii="Arial" w:cs="Arial" w:eastAsia="Arial" w:hAnsi="Arial"/>
                <w:sz w:val="15"/>
                <w:szCs w:val="15"/>
                <w:color w:val="auto"/>
              </w:rPr>
              <w:t>Mining, Technological and Process Development</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13,694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1,262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14,956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shd w:val="clear" w:color="auto" w:fill="D2EEF5"/>
          </w:tcPr>
          <w:p>
            <w:pPr>
              <w:ind w:left="80"/>
              <w:spacing w:after="0"/>
              <w:rPr>
                <w:sz w:val="20"/>
                <w:szCs w:val="20"/>
                <w:color w:val="auto"/>
              </w:rPr>
            </w:pPr>
            <w:r>
              <w:rPr>
                <w:rFonts w:ascii="Arial" w:cs="Arial" w:eastAsia="Arial" w:hAnsi="Arial"/>
                <w:sz w:val="15"/>
                <w:szCs w:val="15"/>
                <w:color w:val="auto"/>
              </w:rPr>
              <w:t>Prefeasibility Studies</w:t>
            </w:r>
          </w:p>
        </w:tc>
        <w:tc>
          <w:tcPr>
            <w:tcW w:w="14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72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1,345</w:t>
            </w:r>
          </w:p>
        </w:tc>
        <w:tc>
          <w:tcPr>
            <w:tcW w:w="12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1,345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tcPr>
          <w:p>
            <w:pPr>
              <w:ind w:left="80"/>
              <w:spacing w:after="0"/>
              <w:rPr>
                <w:sz w:val="20"/>
                <w:szCs w:val="20"/>
                <w:color w:val="auto"/>
              </w:rPr>
            </w:pPr>
            <w:r>
              <w:rPr>
                <w:rFonts w:ascii="Arial" w:cs="Arial" w:eastAsia="Arial" w:hAnsi="Arial"/>
                <w:sz w:val="15"/>
                <w:szCs w:val="15"/>
                <w:color w:val="auto"/>
              </w:rPr>
              <w:t>Sponsorship, Training and Stakeholder Engagement</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2,248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996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3,446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400" w:type="dxa"/>
            <w:vAlign w:val="bottom"/>
            <w:shd w:val="clear" w:color="auto" w:fill="D2EEF5"/>
          </w:tcPr>
          <w:p>
            <w:pPr>
              <w:ind w:left="80"/>
              <w:spacing w:after="0"/>
              <w:rPr>
                <w:sz w:val="20"/>
                <w:szCs w:val="20"/>
                <w:color w:val="auto"/>
              </w:rPr>
            </w:pPr>
            <w:r>
              <w:rPr>
                <w:rFonts w:ascii="Arial" w:cs="Arial" w:eastAsia="Arial" w:hAnsi="Arial"/>
                <w:sz w:val="15"/>
                <w:szCs w:val="15"/>
                <w:color w:val="auto"/>
              </w:rPr>
              <w:t>Other</w:t>
            </w:r>
          </w:p>
        </w:tc>
        <w:tc>
          <w:tcPr>
            <w:tcW w:w="14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20" w:type="dxa"/>
            <w:vAlign w:val="bottom"/>
            <w:tcBorders>
              <w:bottom w:val="single" w:sz="8" w:color="auto"/>
            </w:tcBorders>
            <w:shd w:val="clear" w:color="auto" w:fill="D2EEF5"/>
          </w:tcPr>
          <w:p>
            <w:pPr>
              <w:spacing w:after="0"/>
              <w:rPr>
                <w:sz w:val="15"/>
                <w:szCs w:val="15"/>
                <w:color w:val="auto"/>
              </w:rPr>
            </w:pPr>
          </w:p>
        </w:tc>
        <w:tc>
          <w:tcPr>
            <w:tcW w:w="720" w:type="dxa"/>
            <w:vAlign w:val="bottom"/>
            <w:tcBorders>
              <w:bottom w:val="single" w:sz="8" w:color="auto"/>
            </w:tcBorders>
            <w:gridSpan w:val="3"/>
            <w:shd w:val="clear" w:color="auto" w:fill="D2EEF5"/>
          </w:tcPr>
          <w:p>
            <w:pPr>
              <w:jc w:val="right"/>
              <w:ind w:right="60"/>
              <w:spacing w:after="0"/>
              <w:rPr>
                <w:sz w:val="20"/>
                <w:szCs w:val="20"/>
                <w:color w:val="auto"/>
              </w:rPr>
            </w:pPr>
            <w:r>
              <w:rPr>
                <w:rFonts w:ascii="Arial" w:cs="Arial" w:eastAsia="Arial" w:hAnsi="Arial"/>
                <w:sz w:val="15"/>
                <w:szCs w:val="15"/>
                <w:color w:val="auto"/>
              </w:rPr>
              <w:t>433</w:t>
            </w:r>
          </w:p>
        </w:tc>
        <w:tc>
          <w:tcPr>
            <w:tcW w:w="12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20" w:type="dxa"/>
            <w:vAlign w:val="bottom"/>
            <w:tcBorders>
              <w:bottom w:val="single" w:sz="8" w:color="auto"/>
            </w:tcBorders>
            <w:shd w:val="clear" w:color="auto" w:fill="D2EEF5"/>
          </w:tcPr>
          <w:p>
            <w:pPr>
              <w:spacing w:after="0"/>
              <w:rPr>
                <w:sz w:val="15"/>
                <w:szCs w:val="15"/>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20" w:type="dxa"/>
            <w:vAlign w:val="bottom"/>
            <w:tcBorders>
              <w:bottom w:val="single" w:sz="8" w:color="auto"/>
            </w:tcBorders>
            <w:shd w:val="clear" w:color="auto" w:fill="D2EEF5"/>
          </w:tcPr>
          <w:p>
            <w:pPr>
              <w:spacing w:after="0"/>
              <w:rPr>
                <w:sz w:val="15"/>
                <w:szCs w:val="15"/>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9</w:t>
            </w:r>
          </w:p>
        </w:tc>
        <w:tc>
          <w:tcPr>
            <w:tcW w:w="40" w:type="dxa"/>
            <w:vAlign w:val="bottom"/>
            <w:tcBorders>
              <w:bottom w:val="single" w:sz="8" w:color="auto"/>
            </w:tcBorders>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spacing w:after="0"/>
              <w:rPr>
                <w:sz w:val="15"/>
                <w:szCs w:val="15"/>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442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80" w:type="dxa"/>
            <w:vAlign w:val="bottom"/>
            <w:gridSpan w:val="3"/>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45,853</w:t>
            </w:r>
          </w:p>
        </w:tc>
        <w:tc>
          <w:tcPr>
            <w:tcW w:w="160" w:type="dxa"/>
            <w:vAlign w:val="bottom"/>
            <w:gridSpan w:val="2"/>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w:t>
            </w:r>
          </w:p>
        </w:tc>
        <w:tc>
          <w:tcPr>
            <w:tcW w:w="40" w:type="dxa"/>
            <w:vAlign w:val="bottom"/>
            <w:tcBorders>
              <w:bottom w:val="single" w:sz="8" w:color="auto"/>
            </w:tcBorders>
          </w:tcPr>
          <w:p>
            <w:pPr>
              <w:spacing w:after="0"/>
              <w:rPr>
                <w:sz w:val="15"/>
                <w:szCs w:val="15"/>
                <w:color w:val="auto"/>
              </w:rPr>
            </w:pPr>
          </w:p>
        </w:tc>
        <w:tc>
          <w:tcPr>
            <w:tcW w:w="180" w:type="dxa"/>
            <w:vAlign w:val="bottom"/>
            <w:gridSpan w:val="3"/>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3,421</w:t>
            </w:r>
          </w:p>
        </w:tc>
        <w:tc>
          <w:tcPr>
            <w:tcW w:w="40" w:type="dxa"/>
            <w:vAlign w:val="bottom"/>
            <w:tcBorders>
              <w:bottom w:val="single" w:sz="8" w:color="auto"/>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49,849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5"/>
        </w:trPr>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0" w:type="dxa"/>
            <w:vAlign w:val="bottom"/>
          </w:tcPr>
          <w:p>
            <w:pPr>
              <w:jc w:val="right"/>
              <w:ind w:right="564"/>
              <w:spacing w:after="0"/>
              <w:rPr>
                <w:sz w:val="20"/>
                <w:szCs w:val="20"/>
                <w:color w:val="auto"/>
              </w:rPr>
            </w:pPr>
            <w:r>
              <w:rPr>
                <w:rFonts w:ascii="Arial" w:cs="Arial" w:eastAsia="Arial" w:hAnsi="Arial"/>
                <w:sz w:val="15"/>
                <w:szCs w:val="15"/>
                <w:color w:val="auto"/>
              </w:rPr>
              <w:t>136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11. General and Administrative Expenses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00" w:type="dxa"/>
            <w:vAlign w:val="bottom"/>
            <w:gridSpan w:val="2"/>
          </w:tcPr>
          <w:p>
            <w:pPr>
              <w:ind w:left="520"/>
              <w:spacing w:after="0"/>
              <w:rPr>
                <w:sz w:val="20"/>
                <w:szCs w:val="20"/>
                <w:color w:val="auto"/>
              </w:rPr>
            </w:pPr>
            <w:r>
              <w:rPr>
                <w:rFonts w:ascii="Arial" w:cs="Arial" w:eastAsia="Arial" w:hAnsi="Arial"/>
                <w:sz w:val="12"/>
                <w:szCs w:val="12"/>
                <w:b w:val="1"/>
                <w:bCs w:val="1"/>
                <w:color w:val="auto"/>
              </w:rPr>
              <w:t>For the year ended</w:t>
            </w:r>
          </w:p>
        </w:tc>
        <w:tc>
          <w:tcPr>
            <w:tcW w:w="6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auto"/>
              </w:rPr>
              <w:t>For the year ended</w:t>
            </w:r>
          </w:p>
        </w:tc>
      </w:tr>
      <w:tr>
        <w:trPr>
          <w:trHeight w:val="126"/>
        </w:trPr>
        <w:tc>
          <w:tcPr>
            <w:tcW w:w="26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December 31,</w:t>
            </w:r>
          </w:p>
        </w:tc>
        <w:tc>
          <w:tcPr>
            <w:tcW w:w="600" w:type="dxa"/>
            <w:vAlign w:val="bottom"/>
          </w:tcPr>
          <w:p>
            <w:pPr>
              <w:spacing w:after="0"/>
              <w:rPr>
                <w:sz w:val="10"/>
                <w:szCs w:val="10"/>
                <w:color w:val="auto"/>
              </w:rPr>
            </w:pPr>
          </w:p>
        </w:tc>
        <w:tc>
          <w:tcPr>
            <w:tcW w:w="15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r>
      <w:tr>
        <w:trPr>
          <w:trHeight w:val="148"/>
        </w:trPr>
        <w:tc>
          <w:tcPr>
            <w:tcW w:w="2640" w:type="dxa"/>
            <w:vAlign w:val="bottom"/>
            <w:tcBorders>
              <w:bottom w:val="single" w:sz="8" w:color="D2EEF5"/>
            </w:tcBorders>
          </w:tcPr>
          <w:p>
            <w:pPr>
              <w:spacing w:after="0"/>
              <w:rPr>
                <w:sz w:val="12"/>
                <w:szCs w:val="12"/>
                <w:color w:val="auto"/>
              </w:rPr>
            </w:pPr>
          </w:p>
        </w:tc>
        <w:tc>
          <w:tcPr>
            <w:tcW w:w="2540" w:type="dxa"/>
            <w:vAlign w:val="bottom"/>
            <w:tcBorders>
              <w:bottom w:val="single" w:sz="8" w:color="D2EEF5"/>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360" w:type="dxa"/>
            <w:vAlign w:val="bottom"/>
            <w:tcBorders>
              <w:bottom w:val="single" w:sz="8" w:color="D2EEF5"/>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r>
      <w:tr>
        <w:trPr>
          <w:trHeight w:val="174"/>
        </w:trPr>
        <w:tc>
          <w:tcPr>
            <w:tcW w:w="2640" w:type="dxa"/>
            <w:vAlign w:val="bottom"/>
            <w:shd w:val="clear" w:color="auto" w:fill="D2EEF5"/>
          </w:tcPr>
          <w:p>
            <w:pPr>
              <w:spacing w:after="0" w:line="175" w:lineRule="exact"/>
              <w:rPr>
                <w:sz w:val="20"/>
                <w:szCs w:val="20"/>
                <w:color w:val="auto"/>
              </w:rPr>
            </w:pPr>
            <w:r>
              <w:rPr>
                <w:rFonts w:ascii="Arial" w:cs="Arial" w:eastAsia="Arial" w:hAnsi="Arial"/>
                <w:sz w:val="14"/>
                <w:szCs w:val="14"/>
                <w:color w:val="auto"/>
              </w:rPr>
              <w:t>Professional and consulting fees</w:t>
            </w:r>
            <w:r>
              <w:rPr>
                <w:rFonts w:ascii="Arial" w:cs="Arial" w:eastAsia="Arial" w:hAnsi="Arial"/>
                <w:sz w:val="20"/>
                <w:szCs w:val="20"/>
                <w:color w:val="auto"/>
                <w:vertAlign w:val="superscript"/>
              </w:rPr>
              <w:t>(1)</w:t>
            </w:r>
          </w:p>
        </w:tc>
        <w:tc>
          <w:tcPr>
            <w:tcW w:w="2540" w:type="dxa"/>
            <w:vAlign w:val="bottom"/>
            <w:shd w:val="clear" w:color="auto" w:fill="D2EEF5"/>
          </w:tcPr>
          <w:p>
            <w:pPr>
              <w:spacing w:after="0"/>
              <w:rPr>
                <w:sz w:val="15"/>
                <w:szCs w:val="15"/>
                <w:color w:val="auto"/>
              </w:rPr>
            </w:pPr>
          </w:p>
        </w:tc>
        <w:tc>
          <w:tcPr>
            <w:tcW w:w="600" w:type="dxa"/>
            <w:vAlign w:val="bottom"/>
            <w:shd w:val="clear" w:color="auto" w:fill="D2EEF5"/>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8,532</w:t>
            </w:r>
          </w:p>
        </w:tc>
        <w:tc>
          <w:tcPr>
            <w:tcW w:w="360" w:type="dxa"/>
            <w:vAlign w:val="bottom"/>
            <w:shd w:val="clear" w:color="auto" w:fill="D2EEF5"/>
          </w:tcPr>
          <w:p>
            <w:pPr>
              <w:spacing w:after="0"/>
              <w:rPr>
                <w:sz w:val="15"/>
                <w:szCs w:val="15"/>
                <w:color w:val="auto"/>
              </w:rPr>
            </w:pPr>
          </w:p>
        </w:tc>
        <w:tc>
          <w:tcPr>
            <w:tcW w:w="600" w:type="dxa"/>
            <w:vAlign w:val="bottom"/>
            <w:shd w:val="clear" w:color="auto" w:fill="D2EEF5"/>
          </w:tcPr>
          <w:p>
            <w:pPr>
              <w:jc w:val="right"/>
              <w:ind w:right="44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6,584</w:t>
            </w:r>
          </w:p>
        </w:tc>
      </w:tr>
      <w:tr>
        <w:trPr>
          <w:trHeight w:val="183"/>
        </w:trPr>
        <w:tc>
          <w:tcPr>
            <w:tcW w:w="2640" w:type="dxa"/>
            <w:vAlign w:val="bottom"/>
          </w:tcPr>
          <w:p>
            <w:pPr>
              <w:spacing w:after="0"/>
              <w:rPr>
                <w:sz w:val="20"/>
                <w:szCs w:val="20"/>
                <w:color w:val="auto"/>
              </w:rPr>
            </w:pPr>
            <w:r>
              <w:rPr>
                <w:rFonts w:ascii="Arial" w:cs="Arial" w:eastAsia="Arial" w:hAnsi="Arial"/>
                <w:sz w:val="15"/>
                <w:szCs w:val="15"/>
                <w:color w:val="auto"/>
              </w:rPr>
              <w:t>Investor relations</w:t>
            </w:r>
          </w:p>
        </w:tc>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1,547</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1,547</w:t>
            </w:r>
          </w:p>
        </w:tc>
      </w:tr>
      <w:tr>
        <w:trPr>
          <w:trHeight w:val="183"/>
        </w:trPr>
        <w:tc>
          <w:tcPr>
            <w:tcW w:w="2640" w:type="dxa"/>
            <w:vAlign w:val="bottom"/>
            <w:shd w:val="clear" w:color="auto" w:fill="D2EEF5"/>
          </w:tcPr>
          <w:p>
            <w:pPr>
              <w:spacing w:after="0"/>
              <w:rPr>
                <w:sz w:val="20"/>
                <w:szCs w:val="20"/>
                <w:color w:val="auto"/>
              </w:rPr>
            </w:pPr>
            <w:r>
              <w:rPr>
                <w:rFonts w:ascii="Arial" w:cs="Arial" w:eastAsia="Arial" w:hAnsi="Arial"/>
                <w:sz w:val="15"/>
                <w:szCs w:val="15"/>
                <w:color w:val="auto"/>
              </w:rPr>
              <w:t>Office and sundry</w:t>
            </w:r>
          </w:p>
        </w:tc>
        <w:tc>
          <w:tcPr>
            <w:tcW w:w="2540" w:type="dxa"/>
            <w:vAlign w:val="bottom"/>
            <w:shd w:val="clear" w:color="auto" w:fill="D2EEF5"/>
          </w:tcPr>
          <w:p>
            <w:pPr>
              <w:spacing w:after="0"/>
              <w:rPr>
                <w:sz w:val="15"/>
                <w:szCs w:val="15"/>
                <w:color w:val="auto"/>
              </w:rPr>
            </w:pPr>
          </w:p>
        </w:tc>
        <w:tc>
          <w:tcPr>
            <w:tcW w:w="600" w:type="dxa"/>
            <w:vAlign w:val="bottom"/>
            <w:shd w:val="clear" w:color="auto" w:fill="D2EEF5"/>
          </w:tcPr>
          <w:p>
            <w:pPr>
              <w:spacing w:after="0"/>
              <w:rPr>
                <w:sz w:val="15"/>
                <w:szCs w:val="15"/>
                <w:color w:val="auto"/>
              </w:rPr>
            </w:pP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3,047</w:t>
            </w:r>
          </w:p>
        </w:tc>
        <w:tc>
          <w:tcPr>
            <w:tcW w:w="360" w:type="dxa"/>
            <w:vAlign w:val="bottom"/>
            <w:shd w:val="clear" w:color="auto" w:fill="D2EEF5"/>
          </w:tcPr>
          <w:p>
            <w:pPr>
              <w:spacing w:after="0"/>
              <w:rPr>
                <w:sz w:val="15"/>
                <w:szCs w:val="15"/>
                <w:color w:val="auto"/>
              </w:rPr>
            </w:pPr>
          </w:p>
        </w:tc>
        <w:tc>
          <w:tcPr>
            <w:tcW w:w="600" w:type="dxa"/>
            <w:vAlign w:val="bottom"/>
            <w:shd w:val="clear" w:color="auto" w:fill="D2EEF5"/>
          </w:tcPr>
          <w:p>
            <w:pPr>
              <w:spacing w:after="0"/>
              <w:rPr>
                <w:sz w:val="15"/>
                <w:szCs w:val="15"/>
                <w:color w:val="auto"/>
              </w:rPr>
            </w:pP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3,503</w:t>
            </w:r>
          </w:p>
        </w:tc>
      </w:tr>
      <w:tr>
        <w:trPr>
          <w:trHeight w:val="183"/>
        </w:trPr>
        <w:tc>
          <w:tcPr>
            <w:tcW w:w="2640" w:type="dxa"/>
            <w:vAlign w:val="bottom"/>
          </w:tcPr>
          <w:p>
            <w:pPr>
              <w:spacing w:after="0"/>
              <w:rPr>
                <w:sz w:val="20"/>
                <w:szCs w:val="20"/>
                <w:color w:val="auto"/>
              </w:rPr>
            </w:pPr>
            <w:r>
              <w:rPr>
                <w:rFonts w:ascii="Arial" w:cs="Arial" w:eastAsia="Arial" w:hAnsi="Arial"/>
                <w:sz w:val="15"/>
                <w:szCs w:val="15"/>
                <w:color w:val="auto"/>
              </w:rPr>
              <w:t>Salaries and wages</w:t>
            </w:r>
          </w:p>
        </w:tc>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5,813</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4,995</w:t>
            </w:r>
          </w:p>
        </w:tc>
      </w:tr>
      <w:tr>
        <w:trPr>
          <w:trHeight w:val="183"/>
        </w:trPr>
        <w:tc>
          <w:tcPr>
            <w:tcW w:w="2640" w:type="dxa"/>
            <w:vAlign w:val="bottom"/>
            <w:shd w:val="clear" w:color="auto" w:fill="D2EEF5"/>
          </w:tcPr>
          <w:p>
            <w:pPr>
              <w:spacing w:after="0"/>
              <w:rPr>
                <w:sz w:val="20"/>
                <w:szCs w:val="20"/>
                <w:color w:val="auto"/>
              </w:rPr>
            </w:pPr>
            <w:r>
              <w:rPr>
                <w:rFonts w:ascii="Arial" w:cs="Arial" w:eastAsia="Arial" w:hAnsi="Arial"/>
                <w:sz w:val="15"/>
                <w:szCs w:val="15"/>
                <w:color w:val="auto"/>
              </w:rPr>
              <w:t>Director fees</w:t>
            </w:r>
          </w:p>
        </w:tc>
        <w:tc>
          <w:tcPr>
            <w:tcW w:w="2540" w:type="dxa"/>
            <w:vAlign w:val="bottom"/>
            <w:shd w:val="clear" w:color="auto" w:fill="D2EEF5"/>
          </w:tcPr>
          <w:p>
            <w:pPr>
              <w:spacing w:after="0"/>
              <w:rPr>
                <w:sz w:val="15"/>
                <w:szCs w:val="15"/>
                <w:color w:val="auto"/>
              </w:rPr>
            </w:pPr>
          </w:p>
        </w:tc>
        <w:tc>
          <w:tcPr>
            <w:tcW w:w="600" w:type="dxa"/>
            <w:vAlign w:val="bottom"/>
            <w:shd w:val="clear" w:color="auto" w:fill="D2EEF5"/>
          </w:tcPr>
          <w:p>
            <w:pPr>
              <w:spacing w:after="0"/>
              <w:rPr>
                <w:sz w:val="15"/>
                <w:szCs w:val="15"/>
                <w:color w:val="auto"/>
              </w:rPr>
            </w:pP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814</w:t>
            </w:r>
          </w:p>
        </w:tc>
        <w:tc>
          <w:tcPr>
            <w:tcW w:w="360" w:type="dxa"/>
            <w:vAlign w:val="bottom"/>
            <w:shd w:val="clear" w:color="auto" w:fill="D2EEF5"/>
          </w:tcPr>
          <w:p>
            <w:pPr>
              <w:spacing w:after="0"/>
              <w:rPr>
                <w:sz w:val="15"/>
                <w:szCs w:val="15"/>
                <w:color w:val="auto"/>
              </w:rPr>
            </w:pPr>
          </w:p>
        </w:tc>
        <w:tc>
          <w:tcPr>
            <w:tcW w:w="600" w:type="dxa"/>
            <w:vAlign w:val="bottom"/>
            <w:shd w:val="clear" w:color="auto" w:fill="D2EEF5"/>
          </w:tcPr>
          <w:p>
            <w:pPr>
              <w:spacing w:after="0"/>
              <w:rPr>
                <w:sz w:val="15"/>
                <w:szCs w:val="15"/>
                <w:color w:val="auto"/>
              </w:rPr>
            </w:pP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774</w:t>
            </w:r>
          </w:p>
        </w:tc>
      </w:tr>
      <w:tr>
        <w:trPr>
          <w:trHeight w:val="183"/>
        </w:trPr>
        <w:tc>
          <w:tcPr>
            <w:tcW w:w="264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9,793</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4,122</w:t>
            </w:r>
          </w:p>
        </w:tc>
      </w:tr>
      <w:tr>
        <w:trPr>
          <w:trHeight w:val="183"/>
        </w:trPr>
        <w:tc>
          <w:tcPr>
            <w:tcW w:w="2640" w:type="dxa"/>
            <w:vAlign w:val="bottom"/>
            <w:shd w:val="clear" w:color="auto" w:fill="D2EEF5"/>
          </w:tcPr>
          <w:p>
            <w:pPr>
              <w:spacing w:after="0"/>
              <w:rPr>
                <w:sz w:val="20"/>
                <w:szCs w:val="20"/>
                <w:color w:val="auto"/>
              </w:rPr>
            </w:pPr>
            <w:r>
              <w:rPr>
                <w:rFonts w:ascii="Arial" w:cs="Arial" w:eastAsia="Arial" w:hAnsi="Arial"/>
                <w:sz w:val="15"/>
                <w:szCs w:val="15"/>
                <w:color w:val="auto"/>
              </w:rPr>
              <w:t>Transfer agent and filing fees</w:t>
            </w:r>
          </w:p>
        </w:tc>
        <w:tc>
          <w:tcPr>
            <w:tcW w:w="2540" w:type="dxa"/>
            <w:vAlign w:val="bottom"/>
            <w:shd w:val="clear" w:color="auto" w:fill="D2EEF5"/>
          </w:tcPr>
          <w:p>
            <w:pPr>
              <w:spacing w:after="0"/>
              <w:rPr>
                <w:sz w:val="15"/>
                <w:szCs w:val="15"/>
                <w:color w:val="auto"/>
              </w:rPr>
            </w:pPr>
          </w:p>
        </w:tc>
        <w:tc>
          <w:tcPr>
            <w:tcW w:w="600" w:type="dxa"/>
            <w:vAlign w:val="bottom"/>
            <w:shd w:val="clear" w:color="auto" w:fill="D2EEF5"/>
          </w:tcPr>
          <w:p>
            <w:pPr>
              <w:spacing w:after="0"/>
              <w:rPr>
                <w:sz w:val="15"/>
                <w:szCs w:val="15"/>
                <w:color w:val="auto"/>
              </w:rPr>
            </w:pP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321</w:t>
            </w:r>
          </w:p>
        </w:tc>
        <w:tc>
          <w:tcPr>
            <w:tcW w:w="360" w:type="dxa"/>
            <w:vAlign w:val="bottom"/>
            <w:shd w:val="clear" w:color="auto" w:fill="D2EEF5"/>
          </w:tcPr>
          <w:p>
            <w:pPr>
              <w:spacing w:after="0"/>
              <w:rPr>
                <w:sz w:val="15"/>
                <w:szCs w:val="15"/>
                <w:color w:val="auto"/>
              </w:rPr>
            </w:pPr>
          </w:p>
        </w:tc>
        <w:tc>
          <w:tcPr>
            <w:tcW w:w="600" w:type="dxa"/>
            <w:vAlign w:val="bottom"/>
            <w:shd w:val="clear" w:color="auto" w:fill="D2EEF5"/>
          </w:tcPr>
          <w:p>
            <w:pPr>
              <w:spacing w:after="0"/>
              <w:rPr>
                <w:sz w:val="15"/>
                <w:szCs w:val="15"/>
                <w:color w:val="auto"/>
              </w:rPr>
            </w:pPr>
          </w:p>
        </w:tc>
        <w:tc>
          <w:tcPr>
            <w:tcW w:w="15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363</w:t>
            </w:r>
          </w:p>
        </w:tc>
      </w:tr>
      <w:tr>
        <w:trPr>
          <w:trHeight w:val="183"/>
        </w:trPr>
        <w:tc>
          <w:tcPr>
            <w:tcW w:w="2640" w:type="dxa"/>
            <w:vAlign w:val="bottom"/>
          </w:tcPr>
          <w:p>
            <w:pPr>
              <w:spacing w:after="0"/>
              <w:rPr>
                <w:sz w:val="20"/>
                <w:szCs w:val="20"/>
                <w:color w:val="auto"/>
              </w:rPr>
            </w:pPr>
            <w:r>
              <w:rPr>
                <w:rFonts w:ascii="Arial" w:cs="Arial" w:eastAsia="Arial" w:hAnsi="Arial"/>
                <w:sz w:val="15"/>
                <w:szCs w:val="15"/>
                <w:color w:val="auto"/>
              </w:rPr>
              <w:t>Travel expenses</w:t>
            </w:r>
          </w:p>
        </w:tc>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494</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609</w:t>
            </w:r>
          </w:p>
        </w:tc>
      </w:tr>
      <w:tr>
        <w:trPr>
          <w:trHeight w:val="183"/>
        </w:trPr>
        <w:tc>
          <w:tcPr>
            <w:tcW w:w="2640" w:type="dxa"/>
            <w:vAlign w:val="bottom"/>
            <w:shd w:val="clear" w:color="auto" w:fill="D2EEF5"/>
          </w:tcPr>
          <w:p>
            <w:pPr>
              <w:spacing w:after="0"/>
              <w:rPr>
                <w:sz w:val="20"/>
                <w:szCs w:val="20"/>
                <w:color w:val="auto"/>
              </w:rPr>
            </w:pPr>
            <w:r>
              <w:rPr>
                <w:rFonts w:ascii="Arial" w:cs="Arial" w:eastAsia="Arial" w:hAnsi="Arial"/>
                <w:sz w:val="15"/>
                <w:szCs w:val="15"/>
                <w:color w:val="auto"/>
              </w:rPr>
              <w:t>Other expenses</w:t>
            </w:r>
          </w:p>
        </w:tc>
        <w:tc>
          <w:tcPr>
            <w:tcW w:w="2540" w:type="dxa"/>
            <w:vAlign w:val="bottom"/>
            <w:shd w:val="clear" w:color="auto" w:fill="D2EEF5"/>
          </w:tcPr>
          <w:p>
            <w:pPr>
              <w:spacing w:after="0"/>
              <w:rPr>
                <w:sz w:val="15"/>
                <w:szCs w:val="15"/>
                <w:color w:val="auto"/>
              </w:rPr>
            </w:pPr>
          </w:p>
        </w:tc>
        <w:tc>
          <w:tcPr>
            <w:tcW w:w="600" w:type="dxa"/>
            <w:vAlign w:val="bottom"/>
            <w:tcBorders>
              <w:bottom w:val="single" w:sz="8" w:color="auto"/>
            </w:tcBorders>
            <w:shd w:val="clear" w:color="auto" w:fill="D2EEF5"/>
          </w:tcPr>
          <w:p>
            <w:pPr>
              <w:spacing w:after="0"/>
              <w:rPr>
                <w:sz w:val="15"/>
                <w:szCs w:val="15"/>
                <w:color w:val="auto"/>
              </w:rPr>
            </w:pPr>
          </w:p>
        </w:tc>
        <w:tc>
          <w:tcPr>
            <w:tcW w:w="15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283</w:t>
            </w:r>
          </w:p>
        </w:tc>
        <w:tc>
          <w:tcPr>
            <w:tcW w:w="360" w:type="dxa"/>
            <w:vAlign w:val="bottom"/>
            <w:shd w:val="clear" w:color="auto" w:fill="D2EEF5"/>
          </w:tcPr>
          <w:p>
            <w:pPr>
              <w:spacing w:after="0"/>
              <w:rPr>
                <w:sz w:val="15"/>
                <w:szCs w:val="15"/>
                <w:color w:val="auto"/>
              </w:rPr>
            </w:pPr>
          </w:p>
        </w:tc>
        <w:tc>
          <w:tcPr>
            <w:tcW w:w="600" w:type="dxa"/>
            <w:vAlign w:val="bottom"/>
            <w:tcBorders>
              <w:bottom w:val="single" w:sz="8" w:color="auto"/>
            </w:tcBorders>
            <w:shd w:val="clear" w:color="auto" w:fill="D2EEF5"/>
          </w:tcPr>
          <w:p>
            <w:pPr>
              <w:spacing w:after="0"/>
              <w:rPr>
                <w:sz w:val="15"/>
                <w:szCs w:val="15"/>
                <w:color w:val="auto"/>
              </w:rPr>
            </w:pPr>
          </w:p>
        </w:tc>
        <w:tc>
          <w:tcPr>
            <w:tcW w:w="15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43</w:t>
            </w:r>
          </w:p>
        </w:tc>
      </w:tr>
      <w:tr>
        <w:trPr>
          <w:trHeight w:val="174"/>
        </w:trPr>
        <w:tc>
          <w:tcPr>
            <w:tcW w:w="2640" w:type="dxa"/>
            <w:vAlign w:val="bottom"/>
          </w:tcPr>
          <w:p>
            <w:pPr>
              <w:spacing w:after="0"/>
              <w:rPr>
                <w:sz w:val="20"/>
                <w:szCs w:val="20"/>
                <w:color w:val="auto"/>
              </w:rPr>
            </w:pPr>
            <w:r>
              <w:rPr>
                <w:rFonts w:ascii="Arial" w:cs="Arial" w:eastAsia="Arial" w:hAnsi="Arial"/>
                <w:sz w:val="15"/>
                <w:szCs w:val="15"/>
                <w:b w:val="1"/>
                <w:bCs w:val="1"/>
                <w:color w:val="auto"/>
                <w:w w:val="97"/>
              </w:rPr>
              <w:t>General and Administrative Expenses</w:t>
            </w:r>
          </w:p>
        </w:tc>
        <w:tc>
          <w:tcPr>
            <w:tcW w:w="2540" w:type="dxa"/>
            <w:vAlign w:val="bottom"/>
          </w:tcPr>
          <w:p>
            <w:pPr>
              <w:spacing w:after="0"/>
              <w:rPr>
                <w:sz w:val="15"/>
                <w:szCs w:val="15"/>
                <w:color w:val="auto"/>
              </w:rPr>
            </w:pPr>
          </w:p>
        </w:tc>
        <w:tc>
          <w:tcPr>
            <w:tcW w:w="6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30,644</w:t>
            </w:r>
          </w:p>
        </w:tc>
        <w:tc>
          <w:tcPr>
            <w:tcW w:w="360" w:type="dxa"/>
            <w:vAlign w:val="bottom"/>
          </w:tcPr>
          <w:p>
            <w:pPr>
              <w:spacing w:after="0"/>
              <w:rPr>
                <w:sz w:val="15"/>
                <w:szCs w:val="15"/>
                <w:color w:val="auto"/>
              </w:rPr>
            </w:pPr>
          </w:p>
        </w:tc>
        <w:tc>
          <w:tcPr>
            <w:tcW w:w="6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22,540</w:t>
            </w:r>
          </w:p>
        </w:tc>
      </w:tr>
      <w:tr>
        <w:trPr>
          <w:trHeight w:val="83"/>
        </w:trPr>
        <w:tc>
          <w:tcPr>
            <w:tcW w:w="26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40" w:type="dxa"/>
            <w:vAlign w:val="bottom"/>
          </w:tcPr>
          <w:p>
            <w:pPr>
              <w:spacing w:after="0"/>
              <w:rPr>
                <w:sz w:val="7"/>
                <w:szCs w:val="7"/>
                <w:color w:val="auto"/>
              </w:rPr>
            </w:pPr>
          </w:p>
        </w:tc>
      </w:tr>
    </w:tbl>
    <w:p>
      <w:pPr>
        <w:ind w:left="640" w:hanging="285"/>
        <w:spacing w:after="0" w:line="239" w:lineRule="auto"/>
        <w:tabs>
          <w:tab w:leader="none" w:pos="640" w:val="left"/>
        </w:tabs>
        <w:numPr>
          <w:ilvl w:val="1"/>
          <w:numId w:val="59"/>
        </w:numPr>
        <w:rPr>
          <w:rFonts w:ascii="Arial" w:cs="Arial" w:eastAsia="Arial" w:hAnsi="Arial"/>
          <w:sz w:val="23"/>
          <w:szCs w:val="23"/>
          <w:color w:val="auto"/>
          <w:vertAlign w:val="superscript"/>
        </w:rPr>
      </w:pPr>
      <w:r>
        <w:rPr>
          <w:rFonts w:ascii="Arial" w:cs="Arial" w:eastAsia="Arial" w:hAnsi="Arial"/>
          <w:sz w:val="15"/>
          <w:szCs w:val="15"/>
          <w:color w:val="auto"/>
        </w:rPr>
        <w:t>Professional and consulting fees include $1.2 million of expenses settled with RSUs in 2024 (2023: $0.4 million).</w:t>
      </w:r>
    </w:p>
    <w:p>
      <w:pPr>
        <w:spacing w:after="0" w:line="159" w:lineRule="exact"/>
        <w:rPr>
          <w:rFonts w:ascii="Arial" w:cs="Arial" w:eastAsia="Arial" w:hAnsi="Arial"/>
          <w:sz w:val="23"/>
          <w:szCs w:val="23"/>
          <w:color w:val="auto"/>
          <w:vertAlign w:val="superscript"/>
        </w:rPr>
      </w:pPr>
    </w:p>
    <w:p>
      <w:pPr>
        <w:ind w:left="360" w:hanging="280"/>
        <w:spacing w:after="0"/>
        <w:tabs>
          <w:tab w:leader="none" w:pos="36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Accounts Payable and Accrued Liabilities</w:t>
      </w:r>
    </w:p>
    <w:p>
      <w:pPr>
        <w:spacing w:after="0" w:line="195"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color w:val="auto"/>
        </w:rPr>
        <w:t>Accounts payable and accrued liabilities at December 31, 2024 and 2023 are as follows: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6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w w:val="99"/>
              </w:rPr>
              <w:t>December 31,</w:t>
            </w:r>
          </w:p>
        </w:tc>
      </w:tr>
      <w:tr>
        <w:trPr>
          <w:trHeight w:val="149"/>
        </w:trPr>
        <w:tc>
          <w:tcPr>
            <w:tcW w:w="2640" w:type="dxa"/>
            <w:vAlign w:val="bottom"/>
            <w:tcBorders>
              <w:bottom w:val="single" w:sz="8" w:color="D2EEF5"/>
            </w:tcBorders>
          </w:tcPr>
          <w:p>
            <w:pPr>
              <w:spacing w:after="0"/>
              <w:rPr>
                <w:sz w:val="12"/>
                <w:szCs w:val="12"/>
                <w:color w:val="auto"/>
              </w:rPr>
            </w:pPr>
          </w:p>
        </w:tc>
        <w:tc>
          <w:tcPr>
            <w:tcW w:w="4880" w:type="dxa"/>
            <w:vAlign w:val="bottom"/>
            <w:tcBorders>
              <w:bottom w:val="single" w:sz="8" w:color="D2EEF5"/>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D2EEF5"/>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r>
      <w:tr>
        <w:trPr>
          <w:trHeight w:val="174"/>
        </w:trPr>
        <w:tc>
          <w:tcPr>
            <w:tcW w:w="2640" w:type="dxa"/>
            <w:vAlign w:val="bottom"/>
            <w:shd w:val="clear" w:color="auto" w:fill="D2EEF5"/>
          </w:tcPr>
          <w:p>
            <w:pPr>
              <w:spacing w:after="0"/>
              <w:rPr>
                <w:sz w:val="20"/>
                <w:szCs w:val="20"/>
                <w:color w:val="auto"/>
              </w:rPr>
            </w:pPr>
            <w:r>
              <w:rPr>
                <w:rFonts w:ascii="Arial" w:cs="Arial" w:eastAsia="Arial" w:hAnsi="Arial"/>
                <w:sz w:val="15"/>
                <w:szCs w:val="15"/>
                <w:color w:val="auto"/>
              </w:rPr>
              <w:t>Accounts Payable</w:t>
            </w:r>
          </w:p>
        </w:tc>
        <w:tc>
          <w:tcPr>
            <w:tcW w:w="4880" w:type="dxa"/>
            <w:vAlign w:val="bottom"/>
            <w:shd w:val="clear" w:color="auto" w:fill="D2EEF5"/>
          </w:tcPr>
          <w:p>
            <w:pPr>
              <w:spacing w:after="0"/>
              <w:rPr>
                <w:sz w:val="15"/>
                <w:szCs w:val="15"/>
                <w:color w:val="auto"/>
              </w:rPr>
            </w:pPr>
          </w:p>
        </w:tc>
        <w:tc>
          <w:tcPr>
            <w:tcW w:w="180" w:type="dxa"/>
            <w:vAlign w:val="bottom"/>
            <w:shd w:val="clear" w:color="auto" w:fill="D2EEF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6,198</w:t>
            </w:r>
          </w:p>
        </w:tc>
        <w:tc>
          <w:tcPr>
            <w:tcW w:w="220" w:type="dxa"/>
            <w:vAlign w:val="bottom"/>
            <w:shd w:val="clear" w:color="auto" w:fill="D2EEF5"/>
          </w:tcPr>
          <w:p>
            <w:pPr>
              <w:spacing w:after="0"/>
              <w:rPr>
                <w:sz w:val="15"/>
                <w:szCs w:val="15"/>
                <w:color w:val="auto"/>
              </w:rPr>
            </w:pPr>
          </w:p>
        </w:tc>
        <w:tc>
          <w:tcPr>
            <w:tcW w:w="200" w:type="dxa"/>
            <w:vAlign w:val="bottom"/>
            <w:shd w:val="clear" w:color="auto" w:fill="D2EEF5"/>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2,442</w:t>
            </w:r>
          </w:p>
        </w:tc>
      </w:tr>
      <w:tr>
        <w:trPr>
          <w:trHeight w:val="183"/>
        </w:trPr>
        <w:tc>
          <w:tcPr>
            <w:tcW w:w="2640" w:type="dxa"/>
            <w:vAlign w:val="bottom"/>
            <w:tcBorders>
              <w:bottom w:val="single" w:sz="8" w:color="D2EEF5"/>
            </w:tcBorders>
          </w:tcPr>
          <w:p>
            <w:pPr>
              <w:spacing w:after="0" w:line="183" w:lineRule="exact"/>
              <w:rPr>
                <w:sz w:val="20"/>
                <w:szCs w:val="20"/>
                <w:color w:val="auto"/>
              </w:rPr>
            </w:pPr>
            <w:r>
              <w:rPr>
                <w:rFonts w:ascii="Arial" w:cs="Arial" w:eastAsia="Arial" w:hAnsi="Arial"/>
                <w:sz w:val="15"/>
                <w:szCs w:val="15"/>
                <w:color w:val="auto"/>
              </w:rPr>
              <w:t xml:space="preserve">Accrued Liabilities </w:t>
            </w:r>
            <w:r>
              <w:rPr>
                <w:rFonts w:ascii="Arial" w:cs="Arial" w:eastAsia="Arial" w:hAnsi="Arial"/>
                <w:sz w:val="21"/>
                <w:szCs w:val="21"/>
                <w:color w:val="auto"/>
                <w:vertAlign w:val="superscript"/>
              </w:rPr>
              <w:t>(1)</w:t>
            </w:r>
          </w:p>
        </w:tc>
        <w:tc>
          <w:tcPr>
            <w:tcW w:w="4880" w:type="dxa"/>
            <w:vAlign w:val="bottom"/>
            <w:tcBorders>
              <w:bottom w:val="single" w:sz="8" w:color="D2EEF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36,556</w:t>
            </w:r>
          </w:p>
        </w:tc>
        <w:tc>
          <w:tcPr>
            <w:tcW w:w="220" w:type="dxa"/>
            <w:vAlign w:val="bottom"/>
            <w:tcBorders>
              <w:bottom w:val="single" w:sz="8" w:color="D2EEF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28,892</w:t>
            </w:r>
          </w:p>
        </w:tc>
      </w:tr>
      <w:tr>
        <w:trPr>
          <w:trHeight w:val="174"/>
        </w:trPr>
        <w:tc>
          <w:tcPr>
            <w:tcW w:w="2640" w:type="dxa"/>
            <w:vAlign w:val="bottom"/>
            <w:tcBorders>
              <w:bottom w:val="single" w:sz="8" w:color="D2EEF5"/>
            </w:tcBorders>
            <w:shd w:val="clear" w:color="auto" w:fill="D2EEF5"/>
          </w:tcPr>
          <w:p>
            <w:pPr>
              <w:spacing w:after="0"/>
              <w:rPr>
                <w:sz w:val="15"/>
                <w:szCs w:val="15"/>
                <w:color w:val="auto"/>
              </w:rPr>
            </w:pPr>
          </w:p>
        </w:tc>
        <w:tc>
          <w:tcPr>
            <w:tcW w:w="4880" w:type="dxa"/>
            <w:vAlign w:val="bottom"/>
            <w:tcBorders>
              <w:bottom w:val="single" w:sz="8" w:color="D2EEF5"/>
            </w:tcBorders>
            <w:shd w:val="clear" w:color="auto" w:fill="D2EEF5"/>
          </w:tcPr>
          <w:p>
            <w:pPr>
              <w:spacing w:after="0"/>
              <w:rPr>
                <w:sz w:val="15"/>
                <w:szCs w:val="15"/>
                <w:color w:val="auto"/>
              </w:rPr>
            </w:pPr>
          </w:p>
        </w:tc>
        <w:tc>
          <w:tcPr>
            <w:tcW w:w="180" w:type="dxa"/>
            <w:vAlign w:val="bottom"/>
            <w:tcBorders>
              <w:bottom w:val="single" w:sz="8" w:color="auto"/>
            </w:tcBorders>
            <w:shd w:val="clear" w:color="auto" w:fill="D2EEF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42,754</w:t>
            </w:r>
          </w:p>
        </w:tc>
        <w:tc>
          <w:tcPr>
            <w:tcW w:w="220" w:type="dxa"/>
            <w:vAlign w:val="bottom"/>
            <w:tcBorders>
              <w:bottom w:val="single" w:sz="8" w:color="D2EEF5"/>
            </w:tcBorders>
            <w:shd w:val="clear" w:color="auto" w:fill="D2EEF5"/>
          </w:tcPr>
          <w:p>
            <w:pPr>
              <w:spacing w:after="0"/>
              <w:rPr>
                <w:sz w:val="15"/>
                <w:szCs w:val="15"/>
                <w:color w:val="auto"/>
              </w:rPr>
            </w:pPr>
          </w:p>
        </w:tc>
        <w:tc>
          <w:tcPr>
            <w:tcW w:w="200" w:type="dxa"/>
            <w:vAlign w:val="bottom"/>
            <w:tcBorders>
              <w:bottom w:val="single" w:sz="8" w:color="auto"/>
            </w:tcBorders>
            <w:shd w:val="clear" w:color="auto" w:fill="D2EEF5"/>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31,334</w:t>
            </w:r>
          </w:p>
        </w:tc>
      </w:tr>
      <w:tr>
        <w:trPr>
          <w:trHeight w:val="20"/>
        </w:trPr>
        <w:tc>
          <w:tcPr>
            <w:tcW w:w="2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6"/>
        </w:trPr>
        <w:tc>
          <w:tcPr>
            <w:tcW w:w="2640" w:type="dxa"/>
            <w:vAlign w:val="bottom"/>
            <w:tcBorders>
              <w:bottom w:val="single" w:sz="8" w:color="auto"/>
            </w:tcBorders>
          </w:tcPr>
          <w:p>
            <w:pPr>
              <w:spacing w:after="0"/>
              <w:rPr>
                <w:sz w:val="5"/>
                <w:szCs w:val="5"/>
                <w:color w:val="auto"/>
              </w:rPr>
            </w:pPr>
          </w:p>
        </w:tc>
        <w:tc>
          <w:tcPr>
            <w:tcW w:w="4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r>
    </w:tbl>
    <w:p>
      <w:pPr>
        <w:spacing w:after="0" w:line="59" w:lineRule="exact"/>
        <w:rPr>
          <w:sz w:val="20"/>
          <w:szCs w:val="20"/>
          <w:color w:val="auto"/>
        </w:rPr>
      </w:pPr>
    </w:p>
    <w:p>
      <w:pPr>
        <w:ind w:left="620" w:right="80" w:hanging="265"/>
        <w:spacing w:after="0" w:line="212" w:lineRule="auto"/>
        <w:tabs>
          <w:tab w:leader="none" w:pos="620" w:val="left"/>
        </w:tabs>
        <w:numPr>
          <w:ilvl w:val="1"/>
          <w:numId w:val="61"/>
        </w:numPr>
        <w:rPr>
          <w:rFonts w:ascii="Arial" w:cs="Arial" w:eastAsia="Arial" w:hAnsi="Arial"/>
          <w:sz w:val="23"/>
          <w:szCs w:val="23"/>
          <w:color w:val="auto"/>
          <w:vertAlign w:val="superscript"/>
        </w:rPr>
      </w:pPr>
      <w:r>
        <w:rPr>
          <w:rFonts w:ascii="Arial" w:cs="Arial" w:eastAsia="Arial" w:hAnsi="Arial"/>
          <w:sz w:val="15"/>
          <w:szCs w:val="15"/>
          <w:color w:val="auto"/>
        </w:rPr>
        <w:t>As at December 31, 2024, accrued liabilities totaled $36.5 million (December 31, 2023 - $28.9 million), of which $25.8 million relates to Allseas (Note 8) (December 31, 2023 - $13.8 million).</w:t>
      </w:r>
    </w:p>
    <w:p>
      <w:pPr>
        <w:spacing w:after="0" w:line="160" w:lineRule="exact"/>
        <w:rPr>
          <w:rFonts w:ascii="Arial" w:cs="Arial" w:eastAsia="Arial" w:hAnsi="Arial"/>
          <w:sz w:val="23"/>
          <w:szCs w:val="23"/>
          <w:color w:val="auto"/>
          <w:vertAlign w:val="superscript"/>
        </w:rPr>
      </w:pPr>
    </w:p>
    <w:p>
      <w:pPr>
        <w:ind w:left="360" w:hanging="280"/>
        <w:spacing w:after="0"/>
        <w:tabs>
          <w:tab w:leader="none" w:pos="36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Financing Activity</w:t>
      </w:r>
    </w:p>
    <w:p>
      <w:pPr>
        <w:spacing w:after="0" w:line="193"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2023 Registered Direct Offering</w:t>
      </w:r>
    </w:p>
    <w:p>
      <w:pPr>
        <w:spacing w:after="0" w:line="195" w:lineRule="exact"/>
        <w:rPr>
          <w:rFonts w:ascii="Arial" w:cs="Arial" w:eastAsia="Arial" w:hAnsi="Arial"/>
          <w:sz w:val="15"/>
          <w:szCs w:val="15"/>
          <w:b w:val="1"/>
          <w:bCs w:val="1"/>
          <w:color w:val="auto"/>
        </w:rPr>
      </w:pPr>
    </w:p>
    <w:p>
      <w:pPr>
        <w:jc w:val="both"/>
        <w:ind w:left="360" w:right="8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On August 14, 2023, the Company entered into a securities purchase agreement (the “2023 Purchase Agreement”) with certain investors, pursuant to which the Company agreed to sell and issue, in a registered direct offering (the “2023 Registered Direct Offering”) 12,461,540 common shares and issue Class A Warrants to purchase 6,230,770 common shares (“Class A Warrants”) (Note 15). Each common share and accompanying Class A Warrant were sold at a price of $2.00 per unit. The exercise price to purchase one common share under the Class A Warrants is $3.00, subject to adjustment as provided in the warrant agreement.</w:t>
      </w:r>
    </w:p>
    <w:p>
      <w:pPr>
        <w:spacing w:after="0" w:line="126" w:lineRule="exact"/>
        <w:rPr>
          <w:rFonts w:ascii="Arial" w:cs="Arial" w:eastAsia="Arial" w:hAnsi="Arial"/>
          <w:sz w:val="15"/>
          <w:szCs w:val="15"/>
          <w:b w:val="1"/>
          <w:bCs w:val="1"/>
          <w:color w:val="auto"/>
        </w:rPr>
      </w:pPr>
    </w:p>
    <w:p>
      <w:pPr>
        <w:ind w:left="360" w:right="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On January 30, 2024, the Company received the final balance of the committed funding amounting to $9 million (representing 4,500,000 common shares and 2,250,000 Class A Warrants) from an investor affiliated with the Company.</w:t>
      </w:r>
    </w:p>
    <w:p>
      <w:pPr>
        <w:spacing w:after="0" w:line="119" w:lineRule="exact"/>
        <w:rPr>
          <w:rFonts w:ascii="Arial" w:cs="Arial" w:eastAsia="Arial" w:hAnsi="Arial"/>
          <w:sz w:val="15"/>
          <w:szCs w:val="15"/>
          <w:b w:val="1"/>
          <w:bCs w:val="1"/>
          <w:color w:val="auto"/>
        </w:rPr>
      </w:pPr>
    </w:p>
    <w:p>
      <w:pPr>
        <w:jc w:val="both"/>
        <w:ind w:left="360" w:right="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As at December 31, 2024, all common shares and Class A Warrants to purchase common shares under the 2023 Registered Direct Offering had been issued and the Company received gross proceeds amounting to $24.9 million. The Company incurred $1.3 million as offering expenses, resulting in net proceeds received of $23.6 million. Out of the total net proceeds received of $23.6 million, the net proceeds attributable to common shares were $18.9 million (Note 16) and the net proceeds attributable to Class A Warrants were $4.7 million (Note 15).</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2024 Registered Direct Offering</w:t>
      </w:r>
    </w:p>
    <w:p>
      <w:pPr>
        <w:spacing w:after="0" w:line="196" w:lineRule="exact"/>
        <w:rPr>
          <w:sz w:val="20"/>
          <w:szCs w:val="20"/>
          <w:color w:val="auto"/>
        </w:rPr>
      </w:pPr>
    </w:p>
    <w:p>
      <w:pPr>
        <w:jc w:val="both"/>
        <w:ind w:left="360" w:right="80"/>
        <w:spacing w:after="0" w:line="294" w:lineRule="auto"/>
        <w:rPr>
          <w:sz w:val="20"/>
          <w:szCs w:val="20"/>
          <w:color w:val="auto"/>
        </w:rPr>
      </w:pPr>
      <w:r>
        <w:rPr>
          <w:rFonts w:ascii="Arial" w:cs="Arial" w:eastAsia="Arial" w:hAnsi="Arial"/>
          <w:sz w:val="14"/>
          <w:szCs w:val="14"/>
          <w:color w:val="auto"/>
        </w:rPr>
        <w:t>On November 14, 2024, the Company entered into a securities purchase agreement (the “2024 Purchase Agreement”) with certain investors, pursuant to which the Company agreed to sell and issue, in a registered direct offering (the “2024 Registered Direct Offering”) 17,500,000 common shares and issue Class B Warrants to purchase 8,750,000 Common Shares (“Class B Warrants”) (Note 15). Each common share and accompanying Class B Warrant were sold at a price of $1.00 per unit. The exercise price to purchase one common share under the Class B Warrants is $2.00, subject to adjustment as provided in the 2024 Purchase Agreement.</w:t>
      </w:r>
    </w:p>
    <w:p>
      <w:pPr>
        <w:spacing w:after="0" w:line="126" w:lineRule="exact"/>
        <w:rPr>
          <w:sz w:val="20"/>
          <w:szCs w:val="20"/>
          <w:color w:val="auto"/>
        </w:rPr>
      </w:pPr>
    </w:p>
    <w:p>
      <w:pPr>
        <w:jc w:val="both"/>
        <w:ind w:left="360" w:right="80" w:firstLine="1"/>
        <w:spacing w:after="0" w:line="269" w:lineRule="auto"/>
        <w:rPr>
          <w:sz w:val="20"/>
          <w:szCs w:val="20"/>
          <w:color w:val="auto"/>
        </w:rPr>
      </w:pPr>
      <w:r>
        <w:rPr>
          <w:rFonts w:ascii="Arial" w:cs="Arial" w:eastAsia="Arial" w:hAnsi="Arial"/>
          <w:sz w:val="15"/>
          <w:szCs w:val="15"/>
          <w:color w:val="auto"/>
        </w:rPr>
        <w:t>On November 26, 2024, the Company and the requisite initial investors entered into the First Amendment to the 2024 Purchase Agreement, pursuant to which the Company agreed to sell and issue an additional 2,400,000 common shares and accompanying Class B Warrants to purchase 1,200,000 common shares to new investors on the same terms and conditions as initially offered. Including the First Amendment to the 2024 Purchase Agreement, the Company agreed to sell and issue in aggregate 19,900,000 common shares and Class B Warrants to purchase 9,950,000 common shares.</w:t>
      </w:r>
    </w:p>
    <w:p>
      <w:pPr>
        <w:spacing w:after="0" w:line="142"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As at December 31, 2024, 14,900,000 common shares and Class B Warrants to purchase 7,450,000 common shares under the 2024 Registered Direct Offering had been issued following the receipt of gross proceeds of $14.9 million. The Company incurred $0.7 million as offering expenses, resulting in net proceeds received of $14.2 million. Out of the total net proceeds received of $14.2 million, the net proceeds attributable to common shares were $9.7 million (Note 16) and the net proceeds attributable to Class B Warrants were $4.5 million (Note 15).</w:t>
      </w:r>
    </w:p>
    <w:p>
      <w:pPr>
        <w:spacing w:after="0" w:line="141"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On February 6, 2025, the Company received the final balance of committed funding of $5 million (representing 5,000,000 common shares and 2,500,000 Class B Warrants).</w:t>
      </w:r>
    </w:p>
    <w:p>
      <w:pPr>
        <w:spacing w:after="0" w:line="117" w:lineRule="exact"/>
        <w:rPr>
          <w:sz w:val="20"/>
          <w:szCs w:val="20"/>
          <w:color w:val="auto"/>
        </w:rPr>
      </w:pPr>
    </w:p>
    <w:p>
      <w:pPr>
        <w:ind w:left="360" w:hanging="280"/>
        <w:spacing w:after="0"/>
        <w:tabs>
          <w:tab w:leader="none" w:pos="36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Shares issued as per At-the-Market Equity Distribution Agreement (“ATM”)</w:t>
      </w:r>
    </w:p>
    <w:p>
      <w:pPr>
        <w:spacing w:after="0" w:line="195" w:lineRule="exact"/>
        <w:rPr>
          <w:rFonts w:ascii="Arial" w:cs="Arial" w:eastAsia="Arial" w:hAnsi="Arial"/>
          <w:sz w:val="15"/>
          <w:szCs w:val="15"/>
          <w:b w:val="1"/>
          <w:bCs w:val="1"/>
          <w:color w:val="auto"/>
        </w:rPr>
      </w:pPr>
    </w:p>
    <w:p>
      <w:pPr>
        <w:jc w:val="both"/>
        <w:ind w:left="360" w:right="8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In December 2022, the Company filed a prospectus supplement with the Securities and Exchange Commission to sell up to $30 million of the Company’s common shares from time to time through an ATM. In 2024, the Company issued 3,251,588 common shares (2023: nil) at an average share price of $1.53, resulting in net proceeds of $4.9 million, after incurring $113 thousand as commission and fees (Note 16).</w:t>
      </w:r>
    </w:p>
    <w:p>
      <w:pPr>
        <w:spacing w:after="0" w:line="134" w:lineRule="exact"/>
        <w:rPr>
          <w:rFonts w:ascii="Arial" w:cs="Arial" w:eastAsia="Arial" w:hAnsi="Arial"/>
          <w:sz w:val="15"/>
          <w:szCs w:val="15"/>
          <w:b w:val="1"/>
          <w:bCs w:val="1"/>
          <w:color w:val="auto"/>
        </w:rPr>
      </w:pPr>
    </w:p>
    <w:p>
      <w:pPr>
        <w:ind w:left="360" w:right="9420" w:hanging="280"/>
        <w:spacing w:after="0" w:line="589" w:lineRule="auto"/>
        <w:tabs>
          <w:tab w:leader="none" w:pos="36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Warrants </w:t>
      </w:r>
      <w:r>
        <w:rPr>
          <w:rFonts w:ascii="Arial" w:cs="Arial" w:eastAsia="Arial" w:hAnsi="Arial"/>
          <w:sz w:val="13"/>
          <w:szCs w:val="13"/>
          <w:b w:val="1"/>
          <w:bCs w:val="1"/>
          <w:i w:val="1"/>
          <w:iCs w:val="1"/>
          <w:color w:val="auto"/>
        </w:rPr>
        <w:t>Public Warrants</w:t>
      </w:r>
    </w:p>
    <w:p>
      <w:pPr>
        <w:jc w:val="both"/>
        <w:ind w:left="360" w:right="80"/>
        <w:spacing w:after="0" w:line="265" w:lineRule="auto"/>
        <w:rPr>
          <w:rFonts w:ascii="Arial" w:cs="Arial" w:eastAsia="Arial" w:hAnsi="Arial"/>
          <w:sz w:val="13"/>
          <w:szCs w:val="13"/>
          <w:b w:val="1"/>
          <w:bCs w:val="1"/>
          <w:color w:val="auto"/>
        </w:rPr>
      </w:pPr>
      <w:r>
        <w:rPr>
          <w:rFonts w:ascii="Arial" w:cs="Arial" w:eastAsia="Arial" w:hAnsi="Arial"/>
          <w:sz w:val="15"/>
          <w:szCs w:val="15"/>
          <w:color w:val="auto"/>
        </w:rPr>
        <w:t>As at December 31, 2024, 15,000,000 Public Warrants were outstanding. Each whole Public Warrant entitles the holder to purchase one common share at a price of $11.50 per share beginning on October 9, 2021, subject to restrictions as described further.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45" w:lineRule="exact"/>
        <w:rPr>
          <w:rFonts w:ascii="Arial" w:cs="Arial" w:eastAsia="Arial" w:hAnsi="Arial"/>
          <w:sz w:val="13"/>
          <w:szCs w:val="13"/>
          <w:b w:val="1"/>
          <w:bCs w:val="1"/>
          <w:color w:val="auto"/>
        </w:rPr>
      </w:pPr>
    </w:p>
    <w:p>
      <w:pPr>
        <w:jc w:val="both"/>
        <w:ind w:left="360" w:right="80"/>
        <w:spacing w:after="0" w:line="262" w:lineRule="auto"/>
        <w:rPr>
          <w:rFonts w:ascii="Arial" w:cs="Arial" w:eastAsia="Arial" w:hAnsi="Arial"/>
          <w:sz w:val="13"/>
          <w:szCs w:val="13"/>
          <w:b w:val="1"/>
          <w:bCs w:val="1"/>
          <w:color w:val="auto"/>
        </w:rPr>
      </w:pPr>
      <w:r>
        <w:rPr>
          <w:rFonts w:ascii="Arial" w:cs="Arial" w:eastAsia="Arial" w:hAnsi="Arial"/>
          <w:sz w:val="15"/>
          <w:szCs w:val="15"/>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may call the Public Warrants for redemption:</w:t>
      </w:r>
    </w:p>
    <w:p>
      <w:pPr>
        <w:spacing w:after="0" w:line="194" w:lineRule="exact"/>
        <w:rPr>
          <w:sz w:val="20"/>
          <w:szCs w:val="20"/>
          <w:color w:val="auto"/>
        </w:rPr>
      </w:pPr>
    </w:p>
    <w:p>
      <w:pPr>
        <w:ind w:left="920" w:hanging="268"/>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 whole and not in part;</w:t>
      </w:r>
    </w:p>
    <w:p>
      <w:pPr>
        <w:spacing w:after="0" w:line="10" w:lineRule="exact"/>
        <w:rPr>
          <w:rFonts w:ascii="Arial" w:cs="Arial" w:eastAsia="Arial" w:hAnsi="Arial"/>
          <w:sz w:val="15"/>
          <w:szCs w:val="15"/>
          <w:color w:val="auto"/>
        </w:rPr>
      </w:pPr>
    </w:p>
    <w:p>
      <w:pPr>
        <w:ind w:left="920" w:hanging="268"/>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at a price of $0.01 per warrant;</w:t>
      </w:r>
    </w:p>
    <w:p>
      <w:pPr>
        <w:spacing w:after="0" w:line="10" w:lineRule="exact"/>
        <w:rPr>
          <w:rFonts w:ascii="Arial" w:cs="Arial" w:eastAsia="Arial" w:hAnsi="Arial"/>
          <w:sz w:val="15"/>
          <w:szCs w:val="15"/>
          <w:color w:val="auto"/>
        </w:rPr>
      </w:pPr>
    </w:p>
    <w:p>
      <w:pPr>
        <w:ind w:left="920" w:hanging="268"/>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upon a minimum of 30 days’ prior written notice of redemption; and</w:t>
      </w:r>
    </w:p>
    <w:p>
      <w:pPr>
        <w:spacing w:after="0" w:line="10" w:lineRule="exact"/>
        <w:rPr>
          <w:rFonts w:ascii="Arial" w:cs="Arial" w:eastAsia="Arial" w:hAnsi="Arial"/>
          <w:sz w:val="15"/>
          <w:szCs w:val="15"/>
          <w:color w:val="auto"/>
        </w:rPr>
      </w:pPr>
    </w:p>
    <w:p>
      <w:pPr>
        <w:jc w:val="both"/>
        <w:ind w:left="920" w:right="80" w:hanging="268"/>
        <w:spacing w:after="0" w:line="276" w:lineRule="auto"/>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37" w:lineRule="exact"/>
        <w:rPr>
          <w:sz w:val="20"/>
          <w:szCs w:val="20"/>
          <w:color w:val="auto"/>
        </w:rPr>
      </w:pPr>
    </w:p>
    <w:p>
      <w:pPr>
        <w:ind w:left="360" w:right="100"/>
        <w:spacing w:after="0" w:line="337" w:lineRule="auto"/>
        <w:rPr>
          <w:sz w:val="20"/>
          <w:szCs w:val="20"/>
          <w:color w:val="auto"/>
        </w:rPr>
      </w:pPr>
      <w:r>
        <w:rPr>
          <w:rFonts w:ascii="Arial" w:cs="Arial" w:eastAsia="Arial" w:hAnsi="Arial"/>
          <w:sz w:val="14"/>
          <w:szCs w:val="14"/>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97" w:lineRule="exact"/>
        <w:rPr>
          <w:sz w:val="20"/>
          <w:szCs w:val="20"/>
          <w:color w:val="auto"/>
        </w:rPr>
      </w:pPr>
    </w:p>
    <w:p>
      <w:pPr>
        <w:jc w:val="both"/>
        <w:ind w:left="920" w:right="80" w:hanging="268"/>
        <w:spacing w:after="0" w:line="254" w:lineRule="auto"/>
        <w:tabs>
          <w:tab w:leader="none" w:pos="9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 (y) the Fair Market Value, and</w:t>
      </w:r>
    </w:p>
    <w:p>
      <w:pPr>
        <w:spacing w:after="0" w:line="1" w:lineRule="exact"/>
        <w:rPr>
          <w:rFonts w:ascii="Arial" w:cs="Arial" w:eastAsia="Arial" w:hAnsi="Arial"/>
          <w:sz w:val="15"/>
          <w:szCs w:val="15"/>
          <w:color w:val="auto"/>
        </w:rPr>
      </w:pPr>
    </w:p>
    <w:p>
      <w:pPr>
        <w:ind w:left="920" w:hanging="268"/>
        <w:spacing w:after="0"/>
        <w:tabs>
          <w:tab w:leader="none" w:pos="9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0.365.</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at December 31, 2024, the value of outstanding Public Warrants of $19.5 million was recorded in additional paid in capital.</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Private Warrants</w:t>
      </w:r>
    </w:p>
    <w:p>
      <w:pPr>
        <w:spacing w:after="0" w:line="192"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As at December 31, 2024,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37" w:lineRule="exact"/>
        <w:rPr>
          <w:sz w:val="20"/>
          <w:szCs w:val="20"/>
          <w:color w:val="auto"/>
        </w:rPr>
      </w:pPr>
    </w:p>
    <w:p>
      <w:pPr>
        <w:ind w:left="920" w:hanging="268"/>
        <w:spacing w:after="0"/>
        <w:tabs>
          <w:tab w:leader="none" w:pos="9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Private Warrants are exercisable for cash or on a cashless basis, at the holder’s option, and</w:t>
      </w:r>
    </w:p>
    <w:p>
      <w:pPr>
        <w:spacing w:after="0" w:line="10" w:lineRule="exact"/>
        <w:rPr>
          <w:rFonts w:ascii="Arial" w:cs="Arial" w:eastAsia="Arial" w:hAnsi="Arial"/>
          <w:sz w:val="15"/>
          <w:szCs w:val="15"/>
          <w:color w:val="auto"/>
        </w:rPr>
      </w:pPr>
    </w:p>
    <w:p>
      <w:pPr>
        <w:ind w:left="920" w:hanging="268"/>
        <w:spacing w:after="0"/>
        <w:tabs>
          <w:tab w:leader="none" w:pos="9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Private Warrants are not redeemable by the Company.</w:t>
      </w:r>
    </w:p>
    <w:p>
      <w:pPr>
        <w:spacing w:after="0" w:line="194"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37" w:lineRule="exact"/>
        <w:rPr>
          <w:sz w:val="20"/>
          <w:szCs w:val="20"/>
          <w:color w:val="auto"/>
        </w:rPr>
      </w:pPr>
    </w:p>
    <w:p>
      <w:pPr>
        <w:jc w:val="both"/>
        <w:ind w:left="920" w:right="80" w:hanging="268"/>
        <w:spacing w:after="0" w:line="276" w:lineRule="auto"/>
        <w:tabs>
          <w:tab w:leader="none" w:pos="9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pt"/>
            </w:pict>
          </mc:Fallback>
        </mc:AlternateContent>
      </w:r>
    </w:p>
    <w:p>
      <w:pPr>
        <w:sectPr>
          <w:pgSz w:w="13680" w:h="17280" w:orient="portrait"/>
          <w:cols w:equalWidth="0" w:num="1">
            <w:col w:w="10800"/>
          </w:cols>
          <w:pgMar w:left="1440" w:top="1440" w:right="1440"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w:t>
      </w:r>
    </w:p>
    <w:p>
      <w:pPr>
        <w:spacing w:after="0" w:line="119"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The Company evaluated the Private Warrants under ASC 815-40, in conjunction with the SEC Statement</w:t>
      </w:r>
      <w:r>
        <w:rPr>
          <w:rFonts w:ascii="Arial" w:cs="Arial" w:eastAsia="Arial" w:hAnsi="Arial"/>
          <w:sz w:val="15"/>
          <w:szCs w:val="15"/>
          <w:i w:val="1"/>
          <w:iCs w:val="1"/>
          <w:color w:val="auto"/>
        </w:rPr>
        <w:t>,</w:t>
      </w:r>
      <w:r>
        <w:rPr>
          <w:rFonts w:ascii="Arial" w:cs="Arial" w:eastAsia="Arial" w:hAnsi="Arial"/>
          <w:sz w:val="15"/>
          <w:szCs w:val="15"/>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42"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that assigned equal weight to the implied volatility of the Company’s Public Warrants, adjusted for the call feature triggered at prices above $18.00 over 20 trading days within any 30- day period, and the historical volatility of the common share price.</w:t>
      </w:r>
    </w:p>
    <w:p>
      <w:pPr>
        <w:spacing w:after="0" w:line="141" w:lineRule="exact"/>
        <w:rPr>
          <w:sz w:val="20"/>
          <w:szCs w:val="20"/>
          <w:color w:val="auto"/>
        </w:rPr>
      </w:pPr>
    </w:p>
    <w:p>
      <w:pPr>
        <w:jc w:val="both"/>
        <w:ind w:left="360" w:right="100" w:firstLine="33"/>
        <w:spacing w:after="0" w:line="299" w:lineRule="auto"/>
        <w:rPr>
          <w:sz w:val="20"/>
          <w:szCs w:val="20"/>
          <w:color w:val="auto"/>
        </w:rPr>
      </w:pPr>
      <w:r>
        <w:rPr>
          <w:rFonts w:ascii="Arial" w:cs="Arial" w:eastAsia="Arial" w:hAnsi="Arial"/>
          <w:sz w:val="15"/>
          <w:szCs w:val="15"/>
          <w:color w:val="auto"/>
        </w:rPr>
        <w:t>As at December 31, 2024, the fair value of outstanding Private Warrants of approximately $0.9 million is recorded as warrants liability. The following table presents the changes in the fair value of warrants liability:</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Private</w:t>
            </w:r>
          </w:p>
        </w:tc>
        <w:tc>
          <w:tcPr>
            <w:tcW w:w="0" w:type="dxa"/>
            <w:vAlign w:val="bottom"/>
          </w:tcPr>
          <w:p>
            <w:pPr>
              <w:spacing w:after="0"/>
              <w:rPr>
                <w:sz w:val="1"/>
                <w:szCs w:val="1"/>
                <w:color w:val="auto"/>
              </w:rPr>
            </w:pPr>
          </w:p>
        </w:tc>
      </w:tr>
      <w:tr>
        <w:trPr>
          <w:trHeight w:val="149"/>
        </w:trPr>
        <w:tc>
          <w:tcPr>
            <w:tcW w:w="4580" w:type="dxa"/>
            <w:vAlign w:val="bottom"/>
            <w:tcBorders>
              <w:bottom w:val="single" w:sz="8" w:color="D2EEF5"/>
            </w:tcBorders>
          </w:tcPr>
          <w:p>
            <w:pPr>
              <w:spacing w:after="0"/>
              <w:rPr>
                <w:sz w:val="12"/>
                <w:szCs w:val="12"/>
                <w:color w:val="auto"/>
              </w:rPr>
            </w:pPr>
          </w:p>
        </w:tc>
        <w:tc>
          <w:tcPr>
            <w:tcW w:w="1840" w:type="dxa"/>
            <w:vAlign w:val="bottom"/>
            <w:tcBorders>
              <w:bottom w:val="single" w:sz="8" w:color="D2EEF5"/>
            </w:tcBorders>
          </w:tcPr>
          <w:p>
            <w:pPr>
              <w:spacing w:after="0"/>
              <w:rPr>
                <w:sz w:val="12"/>
                <w:szCs w:val="12"/>
                <w:color w:val="auto"/>
              </w:rPr>
            </w:pPr>
          </w:p>
        </w:tc>
        <w:tc>
          <w:tcPr>
            <w:tcW w:w="160" w:type="dxa"/>
            <w:vAlign w:val="bottom"/>
            <w:tcBorders>
              <w:bottom w:val="single" w:sz="8" w:color="D2EEF5"/>
            </w:tcBorders>
          </w:tcPr>
          <w:p>
            <w:pPr>
              <w:spacing w:after="0"/>
              <w:rPr>
                <w:sz w:val="12"/>
                <w:szCs w:val="12"/>
                <w:color w:val="auto"/>
              </w:rPr>
            </w:pPr>
          </w:p>
        </w:tc>
        <w:tc>
          <w:tcPr>
            <w:tcW w:w="1120" w:type="dxa"/>
            <w:vAlign w:val="bottom"/>
            <w:tcBorders>
              <w:bottom w:val="single" w:sz="8" w:color="D2EEF5"/>
            </w:tcBorders>
          </w:tcPr>
          <w:p>
            <w:pPr>
              <w:spacing w:after="0"/>
              <w:rPr>
                <w:sz w:val="12"/>
                <w:szCs w:val="12"/>
                <w:color w:val="auto"/>
              </w:rPr>
            </w:pPr>
          </w:p>
        </w:tc>
        <w:tc>
          <w:tcPr>
            <w:tcW w:w="400" w:type="dxa"/>
            <w:vAlign w:val="bottom"/>
            <w:tcBorders>
              <w:bottom w:val="single" w:sz="8" w:color="D2EEF5"/>
            </w:tcBorders>
          </w:tcPr>
          <w:p>
            <w:pPr>
              <w:spacing w:after="0"/>
              <w:rPr>
                <w:sz w:val="12"/>
                <w:szCs w:val="12"/>
                <w:color w:val="auto"/>
              </w:rPr>
            </w:pPr>
          </w:p>
        </w:tc>
        <w:tc>
          <w:tcPr>
            <w:tcW w:w="40" w:type="dxa"/>
            <w:vAlign w:val="bottom"/>
            <w:tcBorders>
              <w:bottom w:val="single" w:sz="8" w:color="D2EEF5"/>
            </w:tcBorders>
          </w:tcPr>
          <w:p>
            <w:pPr>
              <w:spacing w:after="0"/>
              <w:rPr>
                <w:sz w:val="12"/>
                <w:szCs w:val="12"/>
                <w:color w:val="auto"/>
              </w:rPr>
            </w:pPr>
          </w:p>
        </w:tc>
        <w:tc>
          <w:tcPr>
            <w:tcW w:w="160" w:type="dxa"/>
            <w:vAlign w:val="bottom"/>
            <w:tcBorders>
              <w:bottom w:val="single" w:sz="8" w:color="D2EEF5"/>
            </w:tcBorders>
          </w:tcPr>
          <w:p>
            <w:pPr>
              <w:spacing w:after="0"/>
              <w:rPr>
                <w:sz w:val="12"/>
                <w:szCs w:val="12"/>
                <w:color w:val="auto"/>
              </w:rPr>
            </w:pPr>
          </w:p>
        </w:tc>
        <w:tc>
          <w:tcPr>
            <w:tcW w:w="320" w:type="dxa"/>
            <w:vAlign w:val="bottom"/>
            <w:tcBorders>
              <w:bottom w:val="single" w:sz="8" w:color="D2EEF5"/>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Warrants</w:t>
            </w:r>
          </w:p>
        </w:tc>
        <w:tc>
          <w:tcPr>
            <w:tcW w:w="0" w:type="dxa"/>
            <w:vAlign w:val="bottom"/>
          </w:tcPr>
          <w:p>
            <w:pPr>
              <w:spacing w:after="0"/>
              <w:rPr>
                <w:sz w:val="1"/>
                <w:szCs w:val="1"/>
                <w:color w:val="auto"/>
              </w:rPr>
            </w:pPr>
          </w:p>
        </w:tc>
      </w:tr>
      <w:tr>
        <w:trPr>
          <w:trHeight w:val="174"/>
        </w:trPr>
        <w:tc>
          <w:tcPr>
            <w:tcW w:w="4580" w:type="dxa"/>
            <w:vAlign w:val="bottom"/>
            <w:shd w:val="clear" w:color="auto" w:fill="D2EEF5"/>
          </w:tcPr>
          <w:p>
            <w:pPr>
              <w:spacing w:after="0"/>
              <w:rPr>
                <w:sz w:val="20"/>
                <w:szCs w:val="20"/>
                <w:color w:val="auto"/>
              </w:rPr>
            </w:pPr>
            <w:r>
              <w:rPr>
                <w:rFonts w:ascii="Arial" w:cs="Arial" w:eastAsia="Arial" w:hAnsi="Arial"/>
                <w:sz w:val="15"/>
                <w:szCs w:val="15"/>
                <w:color w:val="auto"/>
              </w:rPr>
              <w:t>Warrants liability as at December 31, 2023</w:t>
            </w:r>
          </w:p>
        </w:tc>
        <w:tc>
          <w:tcPr>
            <w:tcW w:w="18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20" w:type="dxa"/>
            <w:vAlign w:val="bottom"/>
            <w:shd w:val="clear" w:color="auto" w:fill="D2EEF5"/>
          </w:tcPr>
          <w:p>
            <w:pPr>
              <w:spacing w:after="0"/>
              <w:rPr>
                <w:sz w:val="15"/>
                <w:szCs w:val="15"/>
                <w:color w:val="auto"/>
              </w:rPr>
            </w:pPr>
          </w:p>
        </w:tc>
        <w:tc>
          <w:tcPr>
            <w:tcW w:w="40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220" w:type="dxa"/>
            <w:vAlign w:val="bottom"/>
            <w:shd w:val="clear" w:color="auto" w:fill="D2EEF5"/>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2EEF5"/>
          </w:tcPr>
          <w:p>
            <w:pPr>
              <w:jc w:val="right"/>
              <w:ind w:right="40"/>
              <w:spacing w:after="0"/>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Decrease in fair value of warrants liability</w:t>
            </w:r>
          </w:p>
        </w:tc>
        <w:tc>
          <w:tcPr>
            <w:tcW w:w="1840" w:type="dxa"/>
            <w:vAlign w:val="bottom"/>
            <w:tcBorders>
              <w:bottom w:val="single" w:sz="8" w:color="D2EEF5"/>
            </w:tcBorders>
          </w:tcPr>
          <w:p>
            <w:pPr>
              <w:spacing w:after="0"/>
              <w:rPr>
                <w:sz w:val="15"/>
                <w:szCs w:val="15"/>
                <w:color w:val="auto"/>
              </w:rPr>
            </w:pPr>
          </w:p>
        </w:tc>
        <w:tc>
          <w:tcPr>
            <w:tcW w:w="160" w:type="dxa"/>
            <w:vAlign w:val="bottom"/>
            <w:tcBorders>
              <w:bottom w:val="single" w:sz="8" w:color="D2EEF5"/>
            </w:tcBorders>
          </w:tcPr>
          <w:p>
            <w:pPr>
              <w:spacing w:after="0"/>
              <w:rPr>
                <w:sz w:val="15"/>
                <w:szCs w:val="15"/>
                <w:color w:val="auto"/>
              </w:rPr>
            </w:pPr>
          </w:p>
        </w:tc>
        <w:tc>
          <w:tcPr>
            <w:tcW w:w="1120" w:type="dxa"/>
            <w:vAlign w:val="bottom"/>
            <w:tcBorders>
              <w:bottom w:val="single" w:sz="8" w:color="D2EEF5"/>
            </w:tcBorders>
          </w:tcPr>
          <w:p>
            <w:pPr>
              <w:spacing w:after="0"/>
              <w:rPr>
                <w:sz w:val="15"/>
                <w:szCs w:val="15"/>
                <w:color w:val="auto"/>
              </w:rPr>
            </w:pPr>
          </w:p>
        </w:tc>
        <w:tc>
          <w:tcPr>
            <w:tcW w:w="400" w:type="dxa"/>
            <w:vAlign w:val="bottom"/>
            <w:tcBorders>
              <w:bottom w:val="single" w:sz="8" w:color="D2EEF5"/>
            </w:tcBorders>
          </w:tcPr>
          <w:p>
            <w:pPr>
              <w:spacing w:after="0"/>
              <w:rPr>
                <w:sz w:val="15"/>
                <w:szCs w:val="15"/>
                <w:color w:val="auto"/>
              </w:rPr>
            </w:pPr>
          </w:p>
        </w:tc>
        <w:tc>
          <w:tcPr>
            <w:tcW w:w="40" w:type="dxa"/>
            <w:vAlign w:val="bottom"/>
            <w:tcBorders>
              <w:bottom w:val="single" w:sz="8" w:color="D2EEF5"/>
            </w:tcBorders>
          </w:tcPr>
          <w:p>
            <w:pPr>
              <w:spacing w:after="0"/>
              <w:rPr>
                <w:sz w:val="15"/>
                <w:szCs w:val="15"/>
                <w:color w:val="auto"/>
              </w:rPr>
            </w:pPr>
          </w:p>
        </w:tc>
        <w:tc>
          <w:tcPr>
            <w:tcW w:w="160" w:type="dxa"/>
            <w:vAlign w:val="bottom"/>
            <w:tcBorders>
              <w:bottom w:val="single" w:sz="8" w:color="D2EEF5"/>
            </w:tcBorders>
          </w:tcPr>
          <w:p>
            <w:pPr>
              <w:spacing w:after="0"/>
              <w:rPr>
                <w:sz w:val="15"/>
                <w:szCs w:val="15"/>
                <w:color w:val="auto"/>
              </w:rPr>
            </w:pPr>
          </w:p>
        </w:tc>
        <w:tc>
          <w:tcPr>
            <w:tcW w:w="320" w:type="dxa"/>
            <w:vAlign w:val="bottom"/>
            <w:tcBorders>
              <w:bottom w:val="single" w:sz="8" w:color="D2EEF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1,057</w:t>
            </w:r>
          </w:p>
        </w:tc>
        <w:tc>
          <w:tcPr>
            <w:tcW w:w="0" w:type="dxa"/>
            <w:vAlign w:val="bottom"/>
          </w:tcPr>
          <w:p>
            <w:pPr>
              <w:spacing w:after="0"/>
              <w:rPr>
                <w:sz w:val="1"/>
                <w:szCs w:val="1"/>
                <w:color w:val="auto"/>
              </w:rPr>
            </w:pPr>
          </w:p>
        </w:tc>
      </w:tr>
      <w:tr>
        <w:trPr>
          <w:trHeight w:val="194"/>
        </w:trPr>
        <w:tc>
          <w:tcPr>
            <w:tcW w:w="45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Warrants liability as at December 31, 2024</w:t>
            </w:r>
          </w:p>
        </w:tc>
        <w:tc>
          <w:tcPr>
            <w:tcW w:w="1840" w:type="dxa"/>
            <w:vAlign w:val="bottom"/>
            <w:tcBorders>
              <w:bottom w:val="single" w:sz="8" w:color="D2EEF5"/>
            </w:tcBorders>
            <w:shd w:val="clear" w:color="auto" w:fill="D2EEF5"/>
          </w:tcPr>
          <w:p>
            <w:pPr>
              <w:spacing w:after="0"/>
              <w:rPr>
                <w:sz w:val="16"/>
                <w:szCs w:val="16"/>
                <w:color w:val="auto"/>
              </w:rPr>
            </w:pPr>
          </w:p>
        </w:tc>
        <w:tc>
          <w:tcPr>
            <w:tcW w:w="160" w:type="dxa"/>
            <w:vAlign w:val="bottom"/>
            <w:tcBorders>
              <w:bottom w:val="single" w:sz="8" w:color="D2EEF5"/>
            </w:tcBorders>
            <w:shd w:val="clear" w:color="auto" w:fill="D2EEF5"/>
          </w:tcPr>
          <w:p>
            <w:pPr>
              <w:spacing w:after="0"/>
              <w:rPr>
                <w:sz w:val="16"/>
                <w:szCs w:val="16"/>
                <w:color w:val="auto"/>
              </w:rPr>
            </w:pPr>
          </w:p>
        </w:tc>
        <w:tc>
          <w:tcPr>
            <w:tcW w:w="1120" w:type="dxa"/>
            <w:vAlign w:val="bottom"/>
            <w:tcBorders>
              <w:bottom w:val="single" w:sz="8" w:color="D2EEF5"/>
            </w:tcBorders>
            <w:shd w:val="clear" w:color="auto" w:fill="D2EEF5"/>
          </w:tcPr>
          <w:p>
            <w:pPr>
              <w:spacing w:after="0"/>
              <w:rPr>
                <w:sz w:val="16"/>
                <w:szCs w:val="16"/>
                <w:color w:val="auto"/>
              </w:rPr>
            </w:pPr>
          </w:p>
        </w:tc>
        <w:tc>
          <w:tcPr>
            <w:tcW w:w="400" w:type="dxa"/>
            <w:vAlign w:val="bottom"/>
            <w:tcBorders>
              <w:bottom w:val="single" w:sz="8" w:color="D2EEF5"/>
            </w:tcBorders>
            <w:shd w:val="clear" w:color="auto" w:fill="D2EEF5"/>
          </w:tcPr>
          <w:p>
            <w:pPr>
              <w:spacing w:after="0"/>
              <w:rPr>
                <w:sz w:val="16"/>
                <w:szCs w:val="16"/>
                <w:color w:val="auto"/>
              </w:rPr>
            </w:pPr>
          </w:p>
        </w:tc>
        <w:tc>
          <w:tcPr>
            <w:tcW w:w="40" w:type="dxa"/>
            <w:vAlign w:val="bottom"/>
            <w:tcBorders>
              <w:bottom w:val="single" w:sz="8" w:color="D2EEF5"/>
            </w:tcBorders>
            <w:shd w:val="clear" w:color="auto" w:fill="D2EEF5"/>
          </w:tcPr>
          <w:p>
            <w:pPr>
              <w:spacing w:after="0"/>
              <w:rPr>
                <w:sz w:val="16"/>
                <w:szCs w:val="16"/>
                <w:color w:val="auto"/>
              </w:rPr>
            </w:pPr>
          </w:p>
        </w:tc>
        <w:tc>
          <w:tcPr>
            <w:tcW w:w="160" w:type="dxa"/>
            <w:vAlign w:val="bottom"/>
            <w:tcBorders>
              <w:bottom w:val="single" w:sz="8" w:color="D2EEF5"/>
            </w:tcBorders>
            <w:shd w:val="clear" w:color="auto" w:fill="D2EEF5"/>
          </w:tcPr>
          <w:p>
            <w:pPr>
              <w:spacing w:after="0"/>
              <w:rPr>
                <w:sz w:val="16"/>
                <w:szCs w:val="16"/>
                <w:color w:val="auto"/>
              </w:rPr>
            </w:pPr>
          </w:p>
        </w:tc>
        <w:tc>
          <w:tcPr>
            <w:tcW w:w="320" w:type="dxa"/>
            <w:vAlign w:val="bottom"/>
            <w:tcBorders>
              <w:bottom w:val="single" w:sz="8" w:color="D2EEF5"/>
            </w:tcBorders>
            <w:shd w:val="clear" w:color="auto" w:fill="D2EEF5"/>
          </w:tcPr>
          <w:p>
            <w:pPr>
              <w:spacing w:after="0"/>
              <w:rPr>
                <w:sz w:val="16"/>
                <w:szCs w:val="16"/>
                <w:color w:val="auto"/>
              </w:rPr>
            </w:pPr>
          </w:p>
        </w:tc>
        <w:tc>
          <w:tcPr>
            <w:tcW w:w="220" w:type="dxa"/>
            <w:vAlign w:val="bottom"/>
            <w:tcBorders>
              <w:bottom w:val="single" w:sz="8" w:color="auto"/>
            </w:tcBorders>
            <w:shd w:val="clear" w:color="auto" w:fill="D2EEF5"/>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D2EEF5"/>
          </w:tcPr>
          <w:p>
            <w:pPr>
              <w:jc w:val="right"/>
              <w:ind w:right="40"/>
              <w:spacing w:after="0"/>
              <w:rPr>
                <w:sz w:val="20"/>
                <w:szCs w:val="20"/>
                <w:color w:val="auto"/>
              </w:rPr>
            </w:pPr>
            <w:r>
              <w:rPr>
                <w:rFonts w:ascii="Arial" w:cs="Arial" w:eastAsia="Arial" w:hAnsi="Arial"/>
                <w:sz w:val="15"/>
                <w:szCs w:val="15"/>
                <w:b w:val="1"/>
                <w:bCs w:val="1"/>
                <w:color w:val="auto"/>
              </w:rPr>
              <w:t>912</w:t>
            </w:r>
          </w:p>
        </w:tc>
        <w:tc>
          <w:tcPr>
            <w:tcW w:w="0" w:type="dxa"/>
            <w:vAlign w:val="bottom"/>
          </w:tcPr>
          <w:p>
            <w:pPr>
              <w:spacing w:after="0"/>
              <w:rPr>
                <w:sz w:val="1"/>
                <w:szCs w:val="1"/>
                <w:color w:val="auto"/>
              </w:rPr>
            </w:pPr>
          </w:p>
        </w:tc>
      </w:tr>
      <w:tr>
        <w:trPr>
          <w:trHeight w:val="20"/>
        </w:trPr>
        <w:tc>
          <w:tcPr>
            <w:tcW w:w="8100" w:type="dxa"/>
            <w:vAlign w:val="bottom"/>
            <w:gridSpan w:val="5"/>
            <w:vMerge w:val="restart"/>
          </w:tcPr>
          <w:p>
            <w:pPr>
              <w:ind w:left="20"/>
              <w:spacing w:after="0"/>
              <w:rPr>
                <w:sz w:val="20"/>
                <w:szCs w:val="20"/>
                <w:color w:val="auto"/>
              </w:rPr>
            </w:pPr>
            <w:r>
              <w:rPr>
                <w:rFonts w:ascii="Arial" w:cs="Arial" w:eastAsia="Arial" w:hAnsi="Arial"/>
                <w:sz w:val="15"/>
                <w:szCs w:val="15"/>
                <w:color w:val="auto"/>
              </w:rPr>
              <w:t>As at December 31, 2024, the fair value of the Private Warrants was estimated using the following assumptions:</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10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8"/>
              </w:rPr>
              <w:t>December 31,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w w:val="98"/>
              </w:rPr>
              <w:t>December 31, 2023</w:t>
            </w:r>
          </w:p>
        </w:tc>
        <w:tc>
          <w:tcPr>
            <w:tcW w:w="0" w:type="dxa"/>
            <w:vAlign w:val="bottom"/>
          </w:tcPr>
          <w:p>
            <w:pPr>
              <w:spacing w:after="0"/>
              <w:rPr>
                <w:sz w:val="1"/>
                <w:szCs w:val="1"/>
                <w:color w:val="auto"/>
              </w:rPr>
            </w:pPr>
          </w:p>
        </w:tc>
      </w:tr>
      <w:tr>
        <w:trPr>
          <w:trHeight w:val="174"/>
        </w:trPr>
        <w:tc>
          <w:tcPr>
            <w:tcW w:w="458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Exercise price</w:t>
            </w:r>
          </w:p>
        </w:tc>
        <w:tc>
          <w:tcPr>
            <w:tcW w:w="18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11.50</w:t>
            </w:r>
          </w:p>
        </w:tc>
        <w:tc>
          <w:tcPr>
            <w:tcW w:w="40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jc w:val="right"/>
              <w:ind w:right="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D2EEF5"/>
          </w:tcPr>
          <w:p>
            <w:pPr>
              <w:spacing w:after="0"/>
              <w:rPr>
                <w:sz w:val="15"/>
                <w:szCs w:val="15"/>
                <w:color w:val="auto"/>
              </w:rPr>
            </w:pPr>
          </w:p>
        </w:tc>
        <w:tc>
          <w:tcPr>
            <w:tcW w:w="220" w:type="dxa"/>
            <w:vAlign w:val="bottom"/>
            <w:tcBorders>
              <w:top w:val="single" w:sz="8" w:color="auto"/>
            </w:tcBorders>
            <w:shd w:val="clear" w:color="auto" w:fill="D2EEF5"/>
          </w:tcPr>
          <w:p>
            <w:pPr>
              <w:spacing w:after="0"/>
              <w:rPr>
                <w:sz w:val="15"/>
                <w:szCs w:val="15"/>
                <w:color w:val="auto"/>
              </w:rPr>
            </w:pPr>
          </w:p>
        </w:tc>
        <w:tc>
          <w:tcPr>
            <w:tcW w:w="5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11.50</w:t>
            </w:r>
          </w:p>
        </w:tc>
        <w:tc>
          <w:tcPr>
            <w:tcW w:w="4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80" w:type="dxa"/>
            <w:vAlign w:val="bottom"/>
          </w:tcPr>
          <w:p>
            <w:pPr>
              <w:spacing w:after="0"/>
              <w:rPr>
                <w:sz w:val="20"/>
                <w:szCs w:val="20"/>
                <w:color w:val="auto"/>
              </w:rPr>
            </w:pPr>
            <w:r>
              <w:rPr>
                <w:rFonts w:ascii="Arial" w:cs="Arial" w:eastAsia="Arial" w:hAnsi="Arial"/>
                <w:sz w:val="15"/>
                <w:szCs w:val="15"/>
                <w:color w:val="auto"/>
              </w:rPr>
              <w:t>Share price</w:t>
            </w:r>
          </w:p>
        </w:tc>
        <w:tc>
          <w:tcPr>
            <w:tcW w:w="184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400" w:type="dxa"/>
            <w:vAlign w:val="bottom"/>
          </w:tcPr>
          <w:p>
            <w:pPr>
              <w:spacing w:after="0"/>
              <w:rPr>
                <w:sz w:val="15"/>
                <w:szCs w:val="15"/>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80" w:type="dxa"/>
            <w:vAlign w:val="bottom"/>
            <w:shd w:val="clear" w:color="auto" w:fill="D2EEF5"/>
          </w:tcPr>
          <w:p>
            <w:pPr>
              <w:spacing w:after="0"/>
              <w:rPr>
                <w:sz w:val="20"/>
                <w:szCs w:val="20"/>
                <w:color w:val="auto"/>
              </w:rPr>
            </w:pPr>
            <w:r>
              <w:rPr>
                <w:rFonts w:ascii="Arial" w:cs="Arial" w:eastAsia="Arial" w:hAnsi="Arial"/>
                <w:sz w:val="15"/>
                <w:szCs w:val="15"/>
                <w:color w:val="auto"/>
              </w:rPr>
              <w:t>Volatility</w:t>
            </w:r>
          </w:p>
        </w:tc>
        <w:tc>
          <w:tcPr>
            <w:tcW w:w="18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520" w:type="dxa"/>
            <w:vAlign w:val="bottom"/>
            <w:gridSpan w:val="2"/>
            <w:shd w:val="clear" w:color="auto" w:fill="D2EEF5"/>
          </w:tcPr>
          <w:p>
            <w:pPr>
              <w:jc w:val="right"/>
              <w:ind w:right="240"/>
              <w:spacing w:after="0"/>
              <w:rPr>
                <w:sz w:val="20"/>
                <w:szCs w:val="20"/>
                <w:color w:val="auto"/>
              </w:rPr>
            </w:pPr>
            <w:r>
              <w:rPr>
                <w:rFonts w:ascii="Arial" w:cs="Arial" w:eastAsia="Arial" w:hAnsi="Arial"/>
                <w:sz w:val="15"/>
                <w:szCs w:val="15"/>
                <w:b w:val="1"/>
                <w:bCs w:val="1"/>
                <w:color w:val="auto"/>
              </w:rPr>
              <w:t>108.97 %</w:t>
            </w: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980" w:type="dxa"/>
            <w:vAlign w:val="bottom"/>
            <w:gridSpan w:val="2"/>
            <w:shd w:val="clear" w:color="auto" w:fill="D2EEF5"/>
          </w:tcPr>
          <w:p>
            <w:pPr>
              <w:jc w:val="right"/>
              <w:ind w:right="260"/>
              <w:spacing w:after="0"/>
              <w:rPr>
                <w:sz w:val="20"/>
                <w:szCs w:val="20"/>
                <w:color w:val="auto"/>
              </w:rPr>
            </w:pPr>
            <w:r>
              <w:rPr>
                <w:rFonts w:ascii="Arial" w:cs="Arial" w:eastAsia="Arial" w:hAnsi="Arial"/>
                <w:sz w:val="15"/>
                <w:szCs w:val="15"/>
                <w:color w:val="auto"/>
              </w:rPr>
              <w:t>105.34 %</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20"/>
                <w:szCs w:val="20"/>
                <w:color w:val="auto"/>
              </w:rPr>
            </w:pPr>
            <w:r>
              <w:rPr>
                <w:rFonts w:ascii="Arial" w:cs="Arial" w:eastAsia="Arial" w:hAnsi="Arial"/>
                <w:sz w:val="15"/>
                <w:szCs w:val="15"/>
                <w:color w:val="auto"/>
              </w:rPr>
              <w:t>Term</w:t>
            </w: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1.69 years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2.69 years</w:t>
            </w:r>
          </w:p>
        </w:tc>
        <w:tc>
          <w:tcPr>
            <w:tcW w:w="0" w:type="dxa"/>
            <w:vAlign w:val="bottom"/>
          </w:tcPr>
          <w:p>
            <w:pPr>
              <w:spacing w:after="0"/>
              <w:rPr>
                <w:sz w:val="1"/>
                <w:szCs w:val="1"/>
                <w:color w:val="auto"/>
              </w:rPr>
            </w:pPr>
          </w:p>
        </w:tc>
      </w:tr>
      <w:tr>
        <w:trPr>
          <w:trHeight w:val="183"/>
        </w:trPr>
        <w:tc>
          <w:tcPr>
            <w:tcW w:w="4580" w:type="dxa"/>
            <w:vAlign w:val="bottom"/>
            <w:shd w:val="clear" w:color="auto" w:fill="D2EEF5"/>
          </w:tcPr>
          <w:p>
            <w:pPr>
              <w:spacing w:after="0"/>
              <w:rPr>
                <w:sz w:val="20"/>
                <w:szCs w:val="20"/>
                <w:color w:val="auto"/>
              </w:rPr>
            </w:pPr>
            <w:r>
              <w:rPr>
                <w:rFonts w:ascii="Arial" w:cs="Arial" w:eastAsia="Arial" w:hAnsi="Arial"/>
                <w:sz w:val="15"/>
                <w:szCs w:val="15"/>
                <w:color w:val="auto"/>
              </w:rPr>
              <w:t>Risk-free rate</w:t>
            </w:r>
          </w:p>
        </w:tc>
        <w:tc>
          <w:tcPr>
            <w:tcW w:w="18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520" w:type="dxa"/>
            <w:vAlign w:val="bottom"/>
            <w:gridSpan w:val="2"/>
            <w:shd w:val="clear" w:color="auto" w:fill="D2EEF5"/>
          </w:tcPr>
          <w:p>
            <w:pPr>
              <w:jc w:val="right"/>
              <w:ind w:right="240"/>
              <w:spacing w:after="0"/>
              <w:rPr>
                <w:sz w:val="20"/>
                <w:szCs w:val="20"/>
                <w:color w:val="auto"/>
              </w:rPr>
            </w:pPr>
            <w:r>
              <w:rPr>
                <w:rFonts w:ascii="Arial" w:cs="Arial" w:eastAsia="Arial" w:hAnsi="Arial"/>
                <w:sz w:val="15"/>
                <w:szCs w:val="15"/>
                <w:b w:val="1"/>
                <w:bCs w:val="1"/>
                <w:color w:val="auto"/>
              </w:rPr>
              <w:t>4.14 %</w:t>
            </w:r>
          </w:p>
        </w:tc>
        <w:tc>
          <w:tcPr>
            <w:tcW w:w="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980" w:type="dxa"/>
            <w:vAlign w:val="bottom"/>
            <w:gridSpan w:val="2"/>
            <w:shd w:val="clear" w:color="auto" w:fill="D2EEF5"/>
          </w:tcPr>
          <w:p>
            <w:pPr>
              <w:jc w:val="right"/>
              <w:ind w:right="260"/>
              <w:spacing w:after="0"/>
              <w:rPr>
                <w:sz w:val="20"/>
                <w:szCs w:val="20"/>
                <w:color w:val="auto"/>
              </w:rPr>
            </w:pPr>
            <w:r>
              <w:rPr>
                <w:rFonts w:ascii="Arial" w:cs="Arial" w:eastAsia="Arial" w:hAnsi="Arial"/>
                <w:sz w:val="15"/>
                <w:szCs w:val="15"/>
                <w:color w:val="auto"/>
              </w:rPr>
              <w:t>3.98 %</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5"/>
                <w:szCs w:val="15"/>
                <w:color w:val="auto"/>
              </w:rPr>
              <w:t>Dividend yield</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0.0 %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0.0 %</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Class A Warrants</w:t>
      </w:r>
    </w:p>
    <w:p>
      <w:pPr>
        <w:spacing w:after="0" w:line="192" w:lineRule="exact"/>
        <w:rPr>
          <w:sz w:val="20"/>
          <w:szCs w:val="20"/>
          <w:color w:val="auto"/>
        </w:rPr>
      </w:pPr>
    </w:p>
    <w:p>
      <w:pPr>
        <w:jc w:val="both"/>
        <w:ind w:left="360" w:right="80"/>
        <w:spacing w:after="0" w:line="337" w:lineRule="auto"/>
        <w:rPr>
          <w:sz w:val="20"/>
          <w:szCs w:val="20"/>
          <w:color w:val="auto"/>
        </w:rPr>
      </w:pPr>
      <w:r>
        <w:rPr>
          <w:rFonts w:ascii="Arial" w:cs="Arial" w:eastAsia="Arial" w:hAnsi="Arial"/>
          <w:sz w:val="14"/>
          <w:szCs w:val="14"/>
          <w:color w:val="auto"/>
        </w:rPr>
        <w:t>Under the 2023 Registered Direct Offering (Note 13) which closed on August 14, 2023, the Company issued 3,980,770 Class A Warrants to purchase common shares at an exercise price of $3.00 per share. These Class A Warrants were valued on August 14, 2023, at a fair value of $0.80 per warrant, using a Monte Carlo valuation.</w:t>
      </w:r>
    </w:p>
    <w:p>
      <w:pPr>
        <w:spacing w:after="0" w:line="97" w:lineRule="exact"/>
        <w:rPr>
          <w:sz w:val="20"/>
          <w:szCs w:val="20"/>
          <w:color w:val="auto"/>
        </w:rPr>
      </w:pPr>
    </w:p>
    <w:p>
      <w:pPr>
        <w:jc w:val="both"/>
        <w:ind w:left="360" w:right="100"/>
        <w:spacing w:after="0" w:line="337" w:lineRule="auto"/>
        <w:rPr>
          <w:sz w:val="20"/>
          <w:szCs w:val="20"/>
          <w:color w:val="auto"/>
        </w:rPr>
      </w:pPr>
      <w:r>
        <w:rPr>
          <w:rFonts w:ascii="Arial" w:cs="Arial" w:eastAsia="Arial" w:hAnsi="Arial"/>
          <w:sz w:val="13"/>
          <w:szCs w:val="13"/>
          <w:color w:val="auto"/>
        </w:rPr>
        <w:t>The Class A Warrants contain a call provision under which if the Volume Weighted Average Price “VWAP” for 30 consecutive trading days exceeds $6.50, and the warrant holder does not possess material non-public information provided by the Company, the Company may call for cancellation of the unexercised warrants, offering $0.0001 per Warrant Share. If conditions for the call are met, the unexercised portion of these warrants will be cancelled ten trading days after the call notice is received.</w:t>
      </w:r>
    </w:p>
    <w:p>
      <w:pPr>
        <w:spacing w:after="0" w:line="102"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The Class A Warrants were not determined to be liabilities under ASC 480 as they were not required to be redeemed. The Company classified the Class A Warrants as equity (per ASC 815), as the warrants entailed physical settlement and were also considered to be indexed to the Company’s share, wherein, upon exercise, a fixed number of common shares would be issued on payment of 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fixed exercise price. As at December 31, 2023, the Company recorded the total fair value of these Class A Warrants amounting to $3.2 million as additional paid in capital.</w:t>
      </w:r>
    </w:p>
    <w:p>
      <w:pPr>
        <w:spacing w:after="0" w:line="119"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On January 30, 2024, the Company received the final balance of the committed funding under the 2023 Registered Direct Offering (Note 13) and on January 31, 2024, issued 2,250,000 Class A Warrants to purchase common shares at an exercise price of $3.00 per share. The Class A Warrants issued on January 31, 2024 had the same terms as the Class A Warrants issued in 2023.</w:t>
      </w:r>
    </w:p>
    <w:p>
      <w:pPr>
        <w:spacing w:after="0" w:line="137"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The remaining 2,250,000 Class A Warrants were valued on January 31, 2024, using a Monte Carlo simulation, resulting in a fair value of $0.69 per warrant, with the total fair value of these warrants amounting to $1.6 million which was recorded as additional paid in capital.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the Class A Warrants issued on January 31, 2024 was estimated using the following assumptions: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January 31,</w:t>
            </w:r>
          </w:p>
        </w:tc>
      </w:tr>
      <w:tr>
        <w:trPr>
          <w:trHeight w:val="149"/>
        </w:trPr>
        <w:tc>
          <w:tcPr>
            <w:tcW w:w="4860" w:type="dxa"/>
            <w:vAlign w:val="bottom"/>
            <w:tcBorders>
              <w:bottom w:val="single" w:sz="8" w:color="D2EEF5"/>
            </w:tcBorders>
          </w:tcPr>
          <w:p>
            <w:pPr>
              <w:spacing w:after="0"/>
              <w:rPr>
                <w:sz w:val="12"/>
                <w:szCs w:val="12"/>
                <w:color w:val="auto"/>
              </w:rPr>
            </w:pPr>
          </w:p>
        </w:tc>
        <w:tc>
          <w:tcPr>
            <w:tcW w:w="3660" w:type="dxa"/>
            <w:vAlign w:val="bottom"/>
            <w:tcBorders>
              <w:bottom w:val="single" w:sz="8" w:color="D2EEF5"/>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bottom w:val="single" w:sz="8" w:color="D2EEF5"/>
            </w:tcBorders>
          </w:tcPr>
          <w:p>
            <w:pPr>
              <w:spacing w:after="0"/>
              <w:rPr>
                <w:sz w:val="12"/>
                <w:szCs w:val="12"/>
                <w:color w:val="auto"/>
              </w:rPr>
            </w:pPr>
          </w:p>
        </w:tc>
      </w:tr>
      <w:tr>
        <w:trPr>
          <w:trHeight w:val="174"/>
        </w:trPr>
        <w:tc>
          <w:tcPr>
            <w:tcW w:w="4860" w:type="dxa"/>
            <w:vAlign w:val="bottom"/>
            <w:shd w:val="clear" w:color="auto" w:fill="D2EEF5"/>
          </w:tcPr>
          <w:p>
            <w:pPr>
              <w:spacing w:after="0"/>
              <w:rPr>
                <w:sz w:val="20"/>
                <w:szCs w:val="20"/>
                <w:color w:val="auto"/>
              </w:rPr>
            </w:pPr>
            <w:r>
              <w:rPr>
                <w:rFonts w:ascii="Arial" w:cs="Arial" w:eastAsia="Arial" w:hAnsi="Arial"/>
                <w:sz w:val="15"/>
                <w:szCs w:val="15"/>
                <w:color w:val="auto"/>
              </w:rPr>
              <w:t>Exercise price</w:t>
            </w:r>
          </w:p>
        </w:tc>
        <w:tc>
          <w:tcPr>
            <w:tcW w:w="3660" w:type="dxa"/>
            <w:vAlign w:val="bottom"/>
            <w:shd w:val="clear" w:color="auto" w:fill="D2EEF5"/>
          </w:tcPr>
          <w:p>
            <w:pPr>
              <w:spacing w:after="0"/>
              <w:rPr>
                <w:sz w:val="15"/>
                <w:szCs w:val="15"/>
                <w:color w:val="auto"/>
              </w:rPr>
            </w:pPr>
          </w:p>
        </w:tc>
        <w:tc>
          <w:tcPr>
            <w:tcW w:w="280" w:type="dxa"/>
            <w:vAlign w:val="bottom"/>
            <w:shd w:val="clear" w:color="auto" w:fill="D2EEF5"/>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3.00</w:t>
            </w:r>
          </w:p>
        </w:tc>
        <w:tc>
          <w:tcPr>
            <w:tcW w:w="140" w:type="dxa"/>
            <w:vAlign w:val="bottom"/>
            <w:shd w:val="clear" w:color="auto" w:fill="D2EEF5"/>
          </w:tcPr>
          <w:p>
            <w:pPr>
              <w:spacing w:after="0"/>
              <w:rPr>
                <w:sz w:val="15"/>
                <w:szCs w:val="15"/>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5"/>
                <w:szCs w:val="15"/>
                <w:color w:val="auto"/>
              </w:rPr>
              <w:t>Share price</w:t>
            </w:r>
          </w:p>
        </w:tc>
        <w:tc>
          <w:tcPr>
            <w:tcW w:w="39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1.31</w:t>
            </w:r>
          </w:p>
        </w:tc>
        <w:tc>
          <w:tcPr>
            <w:tcW w:w="140" w:type="dxa"/>
            <w:vAlign w:val="bottom"/>
          </w:tcPr>
          <w:p>
            <w:pPr>
              <w:spacing w:after="0"/>
              <w:rPr>
                <w:sz w:val="15"/>
                <w:szCs w:val="15"/>
                <w:color w:val="auto"/>
              </w:rPr>
            </w:pPr>
          </w:p>
        </w:tc>
      </w:tr>
      <w:tr>
        <w:trPr>
          <w:trHeight w:val="183"/>
        </w:trPr>
        <w:tc>
          <w:tcPr>
            <w:tcW w:w="4860" w:type="dxa"/>
            <w:vAlign w:val="bottom"/>
            <w:shd w:val="clear" w:color="auto" w:fill="D2EEF5"/>
          </w:tcPr>
          <w:p>
            <w:pPr>
              <w:spacing w:after="0"/>
              <w:rPr>
                <w:sz w:val="20"/>
                <w:szCs w:val="20"/>
                <w:color w:val="auto"/>
              </w:rPr>
            </w:pPr>
            <w:r>
              <w:rPr>
                <w:rFonts w:ascii="Arial" w:cs="Arial" w:eastAsia="Arial" w:hAnsi="Arial"/>
                <w:sz w:val="15"/>
                <w:szCs w:val="15"/>
                <w:color w:val="auto"/>
              </w:rPr>
              <w:t>Call price threshold</w:t>
            </w:r>
          </w:p>
        </w:tc>
        <w:tc>
          <w:tcPr>
            <w:tcW w:w="3940" w:type="dxa"/>
            <w:vAlign w:val="bottom"/>
            <w:gridSpan w:val="2"/>
            <w:shd w:val="clear" w:color="auto" w:fill="D2EEF5"/>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6.50</w:t>
            </w:r>
          </w:p>
        </w:tc>
        <w:tc>
          <w:tcPr>
            <w:tcW w:w="140" w:type="dxa"/>
            <w:vAlign w:val="bottom"/>
            <w:shd w:val="clear" w:color="auto" w:fill="D2EEF5"/>
          </w:tcPr>
          <w:p>
            <w:pPr>
              <w:spacing w:after="0"/>
              <w:rPr>
                <w:sz w:val="15"/>
                <w:szCs w:val="15"/>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5"/>
                <w:szCs w:val="15"/>
                <w:color w:val="auto"/>
              </w:rPr>
              <w:t>Volatility</w:t>
            </w: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105.08 %</w:t>
            </w:r>
          </w:p>
        </w:tc>
      </w:tr>
      <w:tr>
        <w:trPr>
          <w:trHeight w:val="183"/>
        </w:trPr>
        <w:tc>
          <w:tcPr>
            <w:tcW w:w="4860" w:type="dxa"/>
            <w:vAlign w:val="bottom"/>
            <w:shd w:val="clear" w:color="auto" w:fill="D2EEF5"/>
          </w:tcPr>
          <w:p>
            <w:pPr>
              <w:spacing w:after="0"/>
              <w:rPr>
                <w:sz w:val="20"/>
                <w:szCs w:val="20"/>
                <w:color w:val="auto"/>
              </w:rPr>
            </w:pPr>
            <w:r>
              <w:rPr>
                <w:rFonts w:ascii="Arial" w:cs="Arial" w:eastAsia="Arial" w:hAnsi="Arial"/>
                <w:sz w:val="15"/>
                <w:szCs w:val="15"/>
                <w:color w:val="auto"/>
              </w:rPr>
              <w:t>Term (years)</w:t>
            </w:r>
          </w:p>
        </w:tc>
        <w:tc>
          <w:tcPr>
            <w:tcW w:w="36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3.92</w:t>
            </w:r>
          </w:p>
        </w:tc>
        <w:tc>
          <w:tcPr>
            <w:tcW w:w="140" w:type="dxa"/>
            <w:vAlign w:val="bottom"/>
            <w:shd w:val="clear" w:color="auto" w:fill="D2EEF5"/>
          </w:tcPr>
          <w:p>
            <w:pPr>
              <w:spacing w:after="0"/>
              <w:rPr>
                <w:sz w:val="15"/>
                <w:szCs w:val="15"/>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5"/>
                <w:szCs w:val="15"/>
                <w:color w:val="auto"/>
              </w:rPr>
              <w:t>Risk-free rate</w:t>
            </w: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3.89 %</w:t>
            </w:r>
          </w:p>
        </w:tc>
      </w:tr>
      <w:tr>
        <w:trPr>
          <w:trHeight w:val="183"/>
        </w:trPr>
        <w:tc>
          <w:tcPr>
            <w:tcW w:w="4860" w:type="dxa"/>
            <w:vAlign w:val="bottom"/>
            <w:shd w:val="clear" w:color="auto" w:fill="D2EEF5"/>
          </w:tcPr>
          <w:p>
            <w:pPr>
              <w:spacing w:after="0"/>
              <w:rPr>
                <w:sz w:val="20"/>
                <w:szCs w:val="20"/>
                <w:color w:val="auto"/>
              </w:rPr>
            </w:pPr>
            <w:r>
              <w:rPr>
                <w:rFonts w:ascii="Arial" w:cs="Arial" w:eastAsia="Arial" w:hAnsi="Arial"/>
                <w:sz w:val="15"/>
                <w:szCs w:val="15"/>
                <w:color w:val="auto"/>
              </w:rPr>
              <w:t>Dividend yield</w:t>
            </w:r>
          </w:p>
        </w:tc>
        <w:tc>
          <w:tcPr>
            <w:tcW w:w="36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20" w:type="dxa"/>
            <w:vAlign w:val="bottom"/>
            <w:gridSpan w:val="2"/>
            <w:shd w:val="clear" w:color="auto" w:fill="D2EEF5"/>
          </w:tcPr>
          <w:p>
            <w:pPr>
              <w:jc w:val="right"/>
              <w:ind w:right="20"/>
              <w:spacing w:after="0"/>
              <w:rPr>
                <w:sz w:val="20"/>
                <w:szCs w:val="20"/>
                <w:color w:val="auto"/>
              </w:rPr>
            </w:pPr>
            <w:r>
              <w:rPr>
                <w:rFonts w:ascii="Arial" w:cs="Arial" w:eastAsia="Arial" w:hAnsi="Arial"/>
                <w:sz w:val="15"/>
                <w:szCs w:val="15"/>
                <w:color w:val="auto"/>
              </w:rPr>
              <w:t>0.0 %</w:t>
            </w:r>
          </w:p>
        </w:tc>
      </w:tr>
    </w:tbl>
    <w:p>
      <w:pPr>
        <w:spacing w:after="0" w:line="162" w:lineRule="exact"/>
        <w:rPr>
          <w:sz w:val="20"/>
          <w:szCs w:val="20"/>
          <w:color w:val="auto"/>
        </w:rPr>
      </w:pPr>
    </w:p>
    <w:p>
      <w:pPr>
        <w:jc w:val="both"/>
        <w:ind w:left="360" w:right="80"/>
        <w:spacing w:after="0" w:line="282" w:lineRule="auto"/>
        <w:rPr>
          <w:sz w:val="20"/>
          <w:szCs w:val="20"/>
          <w:color w:val="auto"/>
        </w:rPr>
      </w:pPr>
      <w:r>
        <w:rPr>
          <w:rFonts w:ascii="Arial" w:cs="Arial" w:eastAsia="Arial" w:hAnsi="Arial"/>
          <w:sz w:val="14"/>
          <w:szCs w:val="14"/>
          <w:color w:val="auto"/>
        </w:rPr>
        <w:t xml:space="preserve">The 2023 Purchase Agreement stipulates a down round feature wherein if between August 14, 2023, and December 31, 2024, the Company, or its subsidiaries issue, sell, or grant options or rights to purchase common shares or equivalents at a price lower than either i) $2.00 or ii) the exercise price in effect, the exercise price of the outstanding Class A Warrants will automatically reset to the lower of these two amounts. On reset of the exercise price, the number of shares issuable will not change. On November 14, 2024, the Company entered into the 2024 Purchase Agreement (Note 13), pursuant to which the Company agreed to sell and issue one common share and the accompanying Class B Warrant to purchase one half of a common share at a price of $1.00. As the issuance under the 2024 Purchase Agreement was less than $2.00 per common share, the down round feature of the Class A Warrants was triggered on November 14, 2024 (the “Trigger date”) and the exercise price was reset from $3.00 per share to $2.00 per share. In accordance with ASC 260, </w:t>
      </w:r>
      <w:r>
        <w:rPr>
          <w:rFonts w:ascii="Arial" w:cs="Arial" w:eastAsia="Arial" w:hAnsi="Arial"/>
          <w:sz w:val="14"/>
          <w:szCs w:val="14"/>
          <w:i w:val="1"/>
          <w:iCs w:val="1"/>
          <w:color w:val="auto"/>
        </w:rPr>
        <w:t>Earnings per Share</w:t>
      </w:r>
      <w:r>
        <w:rPr>
          <w:rFonts w:ascii="Arial" w:cs="Arial" w:eastAsia="Arial" w:hAnsi="Arial"/>
          <w:sz w:val="14"/>
          <w:szCs w:val="14"/>
          <w:color w:val="auto"/>
        </w:rPr>
        <w:t>, on the Trigger date, the Company measured the difference between the fair values of the Class A Warrants using an exercise price of $3.00 per share and an exercise price of $2.00 per share.</w:t>
      </w:r>
    </w:p>
    <w:p>
      <w:pPr>
        <w:spacing w:after="0" w:line="134" w:lineRule="exact"/>
        <w:rPr>
          <w:sz w:val="20"/>
          <w:szCs w:val="20"/>
          <w:color w:val="auto"/>
        </w:rPr>
      </w:pPr>
    </w:p>
    <w:p>
      <w:pPr>
        <w:jc w:val="both"/>
        <w:ind w:left="360" w:right="100" w:firstLine="1"/>
        <w:spacing w:after="0" w:line="299" w:lineRule="auto"/>
        <w:rPr>
          <w:sz w:val="20"/>
          <w:szCs w:val="20"/>
          <w:color w:val="auto"/>
        </w:rPr>
      </w:pPr>
      <w:r>
        <w:rPr>
          <w:rFonts w:ascii="Arial" w:cs="Arial" w:eastAsia="Arial" w:hAnsi="Arial"/>
          <w:sz w:val="15"/>
          <w:szCs w:val="15"/>
          <w:color w:val="auto"/>
        </w:rPr>
        <w:t>The fair values of the Class A Warrants on November 14, 2024, with an exercise price of $2.00 per share and an exercise price of $3.00 per share were $0.50 per warrant and $0.41 per warrant, respectively, and were estimated using Monte Carlo simulations based on the following assumptions:</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9"/>
              </w:rPr>
              <w:t>November 14,</w:t>
            </w:r>
          </w:p>
        </w:tc>
      </w:tr>
      <w:tr>
        <w:trPr>
          <w:trHeight w:val="149"/>
        </w:trPr>
        <w:tc>
          <w:tcPr>
            <w:tcW w:w="4840" w:type="dxa"/>
            <w:vAlign w:val="bottom"/>
            <w:tcBorders>
              <w:bottom w:val="single" w:sz="8" w:color="D2EEF5"/>
            </w:tcBorders>
          </w:tcPr>
          <w:p>
            <w:pPr>
              <w:spacing w:after="0"/>
              <w:rPr>
                <w:sz w:val="12"/>
                <w:szCs w:val="12"/>
                <w:color w:val="auto"/>
              </w:rPr>
            </w:pPr>
          </w:p>
        </w:tc>
        <w:tc>
          <w:tcPr>
            <w:tcW w:w="3640" w:type="dxa"/>
            <w:vAlign w:val="bottom"/>
            <w:tcBorders>
              <w:bottom w:val="single" w:sz="8" w:color="D2EEF5"/>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2024</w:t>
            </w:r>
          </w:p>
        </w:tc>
        <w:tc>
          <w:tcPr>
            <w:tcW w:w="160" w:type="dxa"/>
            <w:vAlign w:val="bottom"/>
            <w:tcBorders>
              <w:bottom w:val="single" w:sz="8" w:color="D2EEF5"/>
            </w:tcBorders>
          </w:tcPr>
          <w:p>
            <w:pPr>
              <w:spacing w:after="0"/>
              <w:rPr>
                <w:sz w:val="12"/>
                <w:szCs w:val="12"/>
                <w:color w:val="auto"/>
              </w:rPr>
            </w:pPr>
          </w:p>
        </w:tc>
      </w:tr>
      <w:tr>
        <w:trPr>
          <w:trHeight w:val="174"/>
        </w:trPr>
        <w:tc>
          <w:tcPr>
            <w:tcW w:w="4840" w:type="dxa"/>
            <w:vAlign w:val="bottom"/>
            <w:shd w:val="clear" w:color="auto" w:fill="D2EEF5"/>
          </w:tcPr>
          <w:p>
            <w:pPr>
              <w:spacing w:after="0"/>
              <w:rPr>
                <w:sz w:val="20"/>
                <w:szCs w:val="20"/>
                <w:color w:val="auto"/>
              </w:rPr>
            </w:pPr>
            <w:r>
              <w:rPr>
                <w:rFonts w:ascii="Arial" w:cs="Arial" w:eastAsia="Arial" w:hAnsi="Arial"/>
                <w:sz w:val="15"/>
                <w:szCs w:val="15"/>
                <w:color w:val="auto"/>
              </w:rPr>
              <w:t>Share price</w:t>
            </w:r>
          </w:p>
        </w:tc>
        <w:tc>
          <w:tcPr>
            <w:tcW w:w="3640" w:type="dxa"/>
            <w:vAlign w:val="bottom"/>
            <w:shd w:val="clear" w:color="auto" w:fill="D2EEF5"/>
          </w:tcPr>
          <w:p>
            <w:pPr>
              <w:spacing w:after="0"/>
              <w:rPr>
                <w:sz w:val="15"/>
                <w:szCs w:val="15"/>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0.96</w:t>
            </w:r>
          </w:p>
        </w:tc>
        <w:tc>
          <w:tcPr>
            <w:tcW w:w="160" w:type="dxa"/>
            <w:vAlign w:val="bottom"/>
            <w:shd w:val="clear" w:color="auto" w:fill="D2EEF5"/>
          </w:tcPr>
          <w:p>
            <w:pPr>
              <w:spacing w:after="0"/>
              <w:rPr>
                <w:sz w:val="15"/>
                <w:szCs w:val="15"/>
                <w:color w:val="auto"/>
              </w:rPr>
            </w:pPr>
          </w:p>
        </w:tc>
      </w:tr>
      <w:tr>
        <w:trPr>
          <w:trHeight w:val="183"/>
        </w:trPr>
        <w:tc>
          <w:tcPr>
            <w:tcW w:w="4840" w:type="dxa"/>
            <w:vAlign w:val="bottom"/>
          </w:tcPr>
          <w:p>
            <w:pPr>
              <w:spacing w:after="0"/>
              <w:rPr>
                <w:sz w:val="20"/>
                <w:szCs w:val="20"/>
                <w:color w:val="auto"/>
              </w:rPr>
            </w:pPr>
            <w:r>
              <w:rPr>
                <w:rFonts w:ascii="Arial" w:cs="Arial" w:eastAsia="Arial" w:hAnsi="Arial"/>
                <w:sz w:val="15"/>
                <w:szCs w:val="15"/>
                <w:color w:val="auto"/>
              </w:rPr>
              <w:t>Call price threshold</w:t>
            </w:r>
          </w:p>
        </w:tc>
        <w:tc>
          <w:tcPr>
            <w:tcW w:w="37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6.50</w:t>
            </w:r>
          </w:p>
        </w:tc>
        <w:tc>
          <w:tcPr>
            <w:tcW w:w="160" w:type="dxa"/>
            <w:vAlign w:val="bottom"/>
          </w:tcPr>
          <w:p>
            <w:pPr>
              <w:spacing w:after="0"/>
              <w:rPr>
                <w:sz w:val="15"/>
                <w:szCs w:val="15"/>
                <w:color w:val="auto"/>
              </w:rPr>
            </w:pPr>
          </w:p>
        </w:tc>
      </w:tr>
      <w:tr>
        <w:trPr>
          <w:trHeight w:val="183"/>
        </w:trPr>
        <w:tc>
          <w:tcPr>
            <w:tcW w:w="4840" w:type="dxa"/>
            <w:vAlign w:val="bottom"/>
            <w:shd w:val="clear" w:color="auto" w:fill="D2EEF5"/>
          </w:tcPr>
          <w:p>
            <w:pPr>
              <w:spacing w:after="0"/>
              <w:rPr>
                <w:sz w:val="20"/>
                <w:szCs w:val="20"/>
                <w:color w:val="auto"/>
              </w:rPr>
            </w:pPr>
            <w:r>
              <w:rPr>
                <w:rFonts w:ascii="Arial" w:cs="Arial" w:eastAsia="Arial" w:hAnsi="Arial"/>
                <w:sz w:val="15"/>
                <w:szCs w:val="15"/>
                <w:color w:val="auto"/>
              </w:rPr>
              <w:t>Volatility</w:t>
            </w:r>
          </w:p>
        </w:tc>
        <w:tc>
          <w:tcPr>
            <w:tcW w:w="364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200" w:type="dxa"/>
            <w:vAlign w:val="bottom"/>
            <w:gridSpan w:val="2"/>
            <w:shd w:val="clear" w:color="auto" w:fill="D2EEF5"/>
          </w:tcPr>
          <w:p>
            <w:pPr>
              <w:jc w:val="right"/>
              <w:ind w:right="40"/>
              <w:spacing w:after="0"/>
              <w:rPr>
                <w:sz w:val="20"/>
                <w:szCs w:val="20"/>
                <w:color w:val="auto"/>
              </w:rPr>
            </w:pPr>
            <w:r>
              <w:rPr>
                <w:rFonts w:ascii="Arial" w:cs="Arial" w:eastAsia="Arial" w:hAnsi="Arial"/>
                <w:sz w:val="15"/>
                <w:szCs w:val="15"/>
                <w:color w:val="auto"/>
              </w:rPr>
              <w:t>106.81 %</w:t>
            </w:r>
          </w:p>
        </w:tc>
      </w:tr>
      <w:tr>
        <w:trPr>
          <w:trHeight w:val="183"/>
        </w:trPr>
        <w:tc>
          <w:tcPr>
            <w:tcW w:w="4840" w:type="dxa"/>
            <w:vAlign w:val="bottom"/>
          </w:tcPr>
          <w:p>
            <w:pPr>
              <w:spacing w:after="0"/>
              <w:rPr>
                <w:sz w:val="20"/>
                <w:szCs w:val="20"/>
                <w:color w:val="auto"/>
              </w:rPr>
            </w:pPr>
            <w:r>
              <w:rPr>
                <w:rFonts w:ascii="Arial" w:cs="Arial" w:eastAsia="Arial" w:hAnsi="Arial"/>
                <w:sz w:val="15"/>
                <w:szCs w:val="15"/>
                <w:color w:val="auto"/>
              </w:rPr>
              <w:t>Term (years)</w:t>
            </w: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3.13</w:t>
            </w:r>
          </w:p>
        </w:tc>
        <w:tc>
          <w:tcPr>
            <w:tcW w:w="160" w:type="dxa"/>
            <w:vAlign w:val="bottom"/>
          </w:tcPr>
          <w:p>
            <w:pPr>
              <w:spacing w:after="0"/>
              <w:rPr>
                <w:sz w:val="15"/>
                <w:szCs w:val="15"/>
                <w:color w:val="auto"/>
              </w:rPr>
            </w:pPr>
          </w:p>
        </w:tc>
      </w:tr>
      <w:tr>
        <w:trPr>
          <w:trHeight w:val="183"/>
        </w:trPr>
        <w:tc>
          <w:tcPr>
            <w:tcW w:w="4840" w:type="dxa"/>
            <w:vAlign w:val="bottom"/>
            <w:shd w:val="clear" w:color="auto" w:fill="D2EEF5"/>
          </w:tcPr>
          <w:p>
            <w:pPr>
              <w:spacing w:after="0"/>
              <w:rPr>
                <w:sz w:val="20"/>
                <w:szCs w:val="20"/>
                <w:color w:val="auto"/>
              </w:rPr>
            </w:pPr>
            <w:r>
              <w:rPr>
                <w:rFonts w:ascii="Arial" w:cs="Arial" w:eastAsia="Arial" w:hAnsi="Arial"/>
                <w:sz w:val="15"/>
                <w:szCs w:val="15"/>
                <w:color w:val="auto"/>
              </w:rPr>
              <w:t>Risk-free rate</w:t>
            </w:r>
          </w:p>
        </w:tc>
        <w:tc>
          <w:tcPr>
            <w:tcW w:w="364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200" w:type="dxa"/>
            <w:vAlign w:val="bottom"/>
            <w:gridSpan w:val="2"/>
            <w:shd w:val="clear" w:color="auto" w:fill="D2EEF5"/>
          </w:tcPr>
          <w:p>
            <w:pPr>
              <w:jc w:val="right"/>
              <w:ind w:right="40"/>
              <w:spacing w:after="0"/>
              <w:rPr>
                <w:sz w:val="20"/>
                <w:szCs w:val="20"/>
                <w:color w:val="auto"/>
              </w:rPr>
            </w:pPr>
            <w:r>
              <w:rPr>
                <w:rFonts w:ascii="Arial" w:cs="Arial" w:eastAsia="Arial" w:hAnsi="Arial"/>
                <w:sz w:val="15"/>
                <w:szCs w:val="15"/>
                <w:color w:val="auto"/>
              </w:rPr>
              <w:t>4.21 %</w:t>
            </w:r>
          </w:p>
        </w:tc>
      </w:tr>
      <w:tr>
        <w:trPr>
          <w:trHeight w:val="205"/>
        </w:trPr>
        <w:tc>
          <w:tcPr>
            <w:tcW w:w="4840" w:type="dxa"/>
            <w:vAlign w:val="bottom"/>
          </w:tcPr>
          <w:p>
            <w:pPr>
              <w:spacing w:after="0"/>
              <w:rPr>
                <w:sz w:val="20"/>
                <w:szCs w:val="20"/>
                <w:color w:val="auto"/>
              </w:rPr>
            </w:pPr>
            <w:r>
              <w:rPr>
                <w:rFonts w:ascii="Arial" w:cs="Arial" w:eastAsia="Arial" w:hAnsi="Arial"/>
                <w:sz w:val="15"/>
                <w:szCs w:val="15"/>
                <w:color w:val="auto"/>
              </w:rPr>
              <w:t>Dividend yield</w:t>
            </w:r>
          </w:p>
        </w:tc>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0.0 %</w:t>
            </w:r>
          </w:p>
        </w:tc>
      </w:tr>
    </w:tbl>
    <w:p>
      <w:pPr>
        <w:spacing w:after="0" w:line="140" w:lineRule="exact"/>
        <w:rPr>
          <w:sz w:val="20"/>
          <w:szCs w:val="20"/>
          <w:color w:val="auto"/>
        </w:rPr>
      </w:pPr>
    </w:p>
    <w:p>
      <w:pPr>
        <w:ind w:left="360" w:right="100"/>
        <w:spacing w:after="0" w:line="299" w:lineRule="auto"/>
        <w:rPr>
          <w:sz w:val="20"/>
          <w:szCs w:val="20"/>
          <w:color w:val="auto"/>
        </w:rPr>
      </w:pPr>
      <w:r>
        <w:rPr>
          <w:rFonts w:ascii="Arial" w:cs="Arial" w:eastAsia="Arial" w:hAnsi="Arial"/>
          <w:sz w:val="15"/>
          <w:szCs w:val="15"/>
          <w:color w:val="auto"/>
        </w:rPr>
        <w:t>The difference in the above-mentioned fair values was $0.09 per warrant, or $0.6 million in aggregate. In accordance with ASC 260, the difference in the fair values was considered to be a deemed dividend and was recorded as additional paid in capital on November 14, 2024.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at December 31, 2024, 6,230,770 Class A Warrants were outstanding.</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Class B Warrants</w:t>
      </w:r>
    </w:p>
    <w:p>
      <w:pPr>
        <w:spacing w:after="0" w:line="192" w:lineRule="exact"/>
        <w:rPr>
          <w:sz w:val="20"/>
          <w:szCs w:val="20"/>
          <w:color w:val="auto"/>
        </w:rPr>
      </w:pPr>
    </w:p>
    <w:p>
      <w:pPr>
        <w:jc w:val="both"/>
        <w:ind w:left="360" w:right="100"/>
        <w:spacing w:after="0" w:line="337" w:lineRule="auto"/>
        <w:rPr>
          <w:sz w:val="20"/>
          <w:szCs w:val="20"/>
          <w:color w:val="auto"/>
        </w:rPr>
      </w:pPr>
      <w:r>
        <w:rPr>
          <w:rFonts w:ascii="Arial" w:cs="Arial" w:eastAsia="Arial" w:hAnsi="Arial"/>
          <w:sz w:val="14"/>
          <w:szCs w:val="14"/>
          <w:color w:val="auto"/>
        </w:rPr>
        <w:t>As a part of the 2024 Registered Direct Offering (Note 13), the Company issued 7,450,000 Class B Warrants for the purchase of common shares at an exercise price of $2.00 per share. The Class B Warrants expire on November 14, 2029. The valuation of these Class B Warrants was determined using a Monte Carlo simulation.</w:t>
      </w:r>
    </w:p>
    <w:p>
      <w:pPr>
        <w:spacing w:after="0" w:line="97"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The Class B Warrants were valued on November 14, 2024 at a fair value of $0.60 per warrant. The fair value of the Class B Warrants was estimated using the following assumptions:</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9"/>
              </w:rPr>
              <w:t>November 14,</w:t>
            </w:r>
          </w:p>
        </w:tc>
      </w:tr>
      <w:tr>
        <w:trPr>
          <w:trHeight w:val="148"/>
        </w:trPr>
        <w:tc>
          <w:tcPr>
            <w:tcW w:w="4840" w:type="dxa"/>
            <w:vAlign w:val="bottom"/>
            <w:tcBorders>
              <w:bottom w:val="single" w:sz="8" w:color="D2EEF5"/>
            </w:tcBorders>
          </w:tcPr>
          <w:p>
            <w:pPr>
              <w:spacing w:after="0"/>
              <w:rPr>
                <w:sz w:val="12"/>
                <w:szCs w:val="12"/>
                <w:color w:val="auto"/>
              </w:rPr>
            </w:pPr>
          </w:p>
        </w:tc>
        <w:tc>
          <w:tcPr>
            <w:tcW w:w="3640" w:type="dxa"/>
            <w:vAlign w:val="bottom"/>
            <w:tcBorders>
              <w:bottom w:val="single" w:sz="8" w:color="D2EEF5"/>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160" w:type="dxa"/>
            <w:vAlign w:val="bottom"/>
            <w:tcBorders>
              <w:bottom w:val="single" w:sz="8" w:color="D2EEF5"/>
            </w:tcBorders>
          </w:tcPr>
          <w:p>
            <w:pPr>
              <w:spacing w:after="0"/>
              <w:rPr>
                <w:sz w:val="12"/>
                <w:szCs w:val="12"/>
                <w:color w:val="auto"/>
              </w:rPr>
            </w:pPr>
          </w:p>
        </w:tc>
      </w:tr>
      <w:tr>
        <w:trPr>
          <w:trHeight w:val="174"/>
        </w:trPr>
        <w:tc>
          <w:tcPr>
            <w:tcW w:w="4840" w:type="dxa"/>
            <w:vAlign w:val="bottom"/>
            <w:shd w:val="clear" w:color="auto" w:fill="D2EEF5"/>
          </w:tcPr>
          <w:p>
            <w:pPr>
              <w:spacing w:after="0"/>
              <w:rPr>
                <w:sz w:val="20"/>
                <w:szCs w:val="20"/>
                <w:color w:val="auto"/>
              </w:rPr>
            </w:pPr>
            <w:r>
              <w:rPr>
                <w:rFonts w:ascii="Arial" w:cs="Arial" w:eastAsia="Arial" w:hAnsi="Arial"/>
                <w:sz w:val="15"/>
                <w:szCs w:val="15"/>
                <w:color w:val="auto"/>
              </w:rPr>
              <w:t>Exercise price</w:t>
            </w:r>
          </w:p>
        </w:tc>
        <w:tc>
          <w:tcPr>
            <w:tcW w:w="3640" w:type="dxa"/>
            <w:vAlign w:val="bottom"/>
            <w:shd w:val="clear" w:color="auto" w:fill="D2EEF5"/>
          </w:tcPr>
          <w:p>
            <w:pPr>
              <w:spacing w:after="0"/>
              <w:rPr>
                <w:sz w:val="15"/>
                <w:szCs w:val="15"/>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2.00</w:t>
            </w:r>
          </w:p>
        </w:tc>
        <w:tc>
          <w:tcPr>
            <w:tcW w:w="160" w:type="dxa"/>
            <w:vAlign w:val="bottom"/>
            <w:shd w:val="clear" w:color="auto" w:fill="D2EEF5"/>
          </w:tcPr>
          <w:p>
            <w:pPr>
              <w:spacing w:after="0"/>
              <w:rPr>
                <w:sz w:val="15"/>
                <w:szCs w:val="15"/>
                <w:color w:val="auto"/>
              </w:rPr>
            </w:pPr>
          </w:p>
        </w:tc>
      </w:tr>
      <w:tr>
        <w:trPr>
          <w:trHeight w:val="183"/>
        </w:trPr>
        <w:tc>
          <w:tcPr>
            <w:tcW w:w="4840" w:type="dxa"/>
            <w:vAlign w:val="bottom"/>
          </w:tcPr>
          <w:p>
            <w:pPr>
              <w:spacing w:after="0"/>
              <w:rPr>
                <w:sz w:val="20"/>
                <w:szCs w:val="20"/>
                <w:color w:val="auto"/>
              </w:rPr>
            </w:pPr>
            <w:r>
              <w:rPr>
                <w:rFonts w:ascii="Arial" w:cs="Arial" w:eastAsia="Arial" w:hAnsi="Arial"/>
                <w:sz w:val="15"/>
                <w:szCs w:val="15"/>
                <w:color w:val="auto"/>
              </w:rPr>
              <w:t>Share price</w:t>
            </w:r>
          </w:p>
        </w:tc>
        <w:tc>
          <w:tcPr>
            <w:tcW w:w="37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0.96</w:t>
            </w:r>
          </w:p>
        </w:tc>
        <w:tc>
          <w:tcPr>
            <w:tcW w:w="160" w:type="dxa"/>
            <w:vAlign w:val="bottom"/>
          </w:tcPr>
          <w:p>
            <w:pPr>
              <w:spacing w:after="0"/>
              <w:rPr>
                <w:sz w:val="15"/>
                <w:szCs w:val="15"/>
                <w:color w:val="auto"/>
              </w:rPr>
            </w:pPr>
          </w:p>
        </w:tc>
      </w:tr>
      <w:tr>
        <w:trPr>
          <w:trHeight w:val="183"/>
        </w:trPr>
        <w:tc>
          <w:tcPr>
            <w:tcW w:w="4840" w:type="dxa"/>
            <w:vAlign w:val="bottom"/>
            <w:shd w:val="clear" w:color="auto" w:fill="D2EEF5"/>
          </w:tcPr>
          <w:p>
            <w:pPr>
              <w:spacing w:after="0"/>
              <w:rPr>
                <w:sz w:val="20"/>
                <w:szCs w:val="20"/>
                <w:color w:val="auto"/>
              </w:rPr>
            </w:pPr>
            <w:r>
              <w:rPr>
                <w:rFonts w:ascii="Arial" w:cs="Arial" w:eastAsia="Arial" w:hAnsi="Arial"/>
                <w:sz w:val="15"/>
                <w:szCs w:val="15"/>
                <w:color w:val="auto"/>
              </w:rPr>
              <w:t>Call price threshold</w:t>
            </w:r>
          </w:p>
        </w:tc>
        <w:tc>
          <w:tcPr>
            <w:tcW w:w="378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5.00</w:t>
            </w:r>
          </w:p>
        </w:tc>
        <w:tc>
          <w:tcPr>
            <w:tcW w:w="160" w:type="dxa"/>
            <w:vAlign w:val="bottom"/>
            <w:shd w:val="clear" w:color="auto" w:fill="D2EEF5"/>
          </w:tcPr>
          <w:p>
            <w:pPr>
              <w:spacing w:after="0"/>
              <w:rPr>
                <w:sz w:val="15"/>
                <w:szCs w:val="15"/>
                <w:color w:val="auto"/>
              </w:rPr>
            </w:pPr>
          </w:p>
        </w:tc>
      </w:tr>
      <w:tr>
        <w:trPr>
          <w:trHeight w:val="183"/>
        </w:trPr>
        <w:tc>
          <w:tcPr>
            <w:tcW w:w="4840" w:type="dxa"/>
            <w:vAlign w:val="bottom"/>
          </w:tcPr>
          <w:p>
            <w:pPr>
              <w:spacing w:after="0"/>
              <w:rPr>
                <w:sz w:val="20"/>
                <w:szCs w:val="20"/>
                <w:color w:val="auto"/>
              </w:rPr>
            </w:pPr>
            <w:r>
              <w:rPr>
                <w:rFonts w:ascii="Arial" w:cs="Arial" w:eastAsia="Arial" w:hAnsi="Arial"/>
                <w:sz w:val="15"/>
                <w:szCs w:val="15"/>
                <w:color w:val="auto"/>
              </w:rPr>
              <w:t>Volatility</w:t>
            </w: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109.38 %</w:t>
            </w:r>
          </w:p>
        </w:tc>
      </w:tr>
      <w:tr>
        <w:trPr>
          <w:trHeight w:val="183"/>
        </w:trPr>
        <w:tc>
          <w:tcPr>
            <w:tcW w:w="4840" w:type="dxa"/>
            <w:vAlign w:val="bottom"/>
            <w:shd w:val="clear" w:color="auto" w:fill="D2EEF5"/>
          </w:tcPr>
          <w:p>
            <w:pPr>
              <w:spacing w:after="0"/>
              <w:rPr>
                <w:sz w:val="20"/>
                <w:szCs w:val="20"/>
                <w:color w:val="auto"/>
              </w:rPr>
            </w:pPr>
            <w:r>
              <w:rPr>
                <w:rFonts w:ascii="Arial" w:cs="Arial" w:eastAsia="Arial" w:hAnsi="Arial"/>
                <w:sz w:val="15"/>
                <w:szCs w:val="15"/>
                <w:color w:val="auto"/>
              </w:rPr>
              <w:t>Term (years)</w:t>
            </w:r>
          </w:p>
        </w:tc>
        <w:tc>
          <w:tcPr>
            <w:tcW w:w="364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5.00</w:t>
            </w:r>
          </w:p>
        </w:tc>
        <w:tc>
          <w:tcPr>
            <w:tcW w:w="160" w:type="dxa"/>
            <w:vAlign w:val="bottom"/>
            <w:shd w:val="clear" w:color="auto" w:fill="D2EEF5"/>
          </w:tcPr>
          <w:p>
            <w:pPr>
              <w:spacing w:after="0"/>
              <w:rPr>
                <w:sz w:val="15"/>
                <w:szCs w:val="15"/>
                <w:color w:val="auto"/>
              </w:rPr>
            </w:pPr>
          </w:p>
        </w:tc>
      </w:tr>
      <w:tr>
        <w:trPr>
          <w:trHeight w:val="183"/>
        </w:trPr>
        <w:tc>
          <w:tcPr>
            <w:tcW w:w="4840" w:type="dxa"/>
            <w:vAlign w:val="bottom"/>
          </w:tcPr>
          <w:p>
            <w:pPr>
              <w:spacing w:after="0"/>
              <w:rPr>
                <w:sz w:val="20"/>
                <w:szCs w:val="20"/>
                <w:color w:val="auto"/>
              </w:rPr>
            </w:pPr>
            <w:r>
              <w:rPr>
                <w:rFonts w:ascii="Arial" w:cs="Arial" w:eastAsia="Arial" w:hAnsi="Arial"/>
                <w:sz w:val="15"/>
                <w:szCs w:val="15"/>
                <w:color w:val="auto"/>
              </w:rPr>
              <w:t>Risk-free rate</w:t>
            </w: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4.23 %</w:t>
            </w:r>
          </w:p>
        </w:tc>
      </w:tr>
      <w:tr>
        <w:trPr>
          <w:trHeight w:val="183"/>
        </w:trPr>
        <w:tc>
          <w:tcPr>
            <w:tcW w:w="4840" w:type="dxa"/>
            <w:vAlign w:val="bottom"/>
            <w:shd w:val="clear" w:color="auto" w:fill="D2EEF5"/>
          </w:tcPr>
          <w:p>
            <w:pPr>
              <w:spacing w:after="0"/>
              <w:rPr>
                <w:sz w:val="20"/>
                <w:szCs w:val="20"/>
                <w:color w:val="auto"/>
              </w:rPr>
            </w:pPr>
            <w:r>
              <w:rPr>
                <w:rFonts w:ascii="Arial" w:cs="Arial" w:eastAsia="Arial" w:hAnsi="Arial"/>
                <w:sz w:val="15"/>
                <w:szCs w:val="15"/>
                <w:color w:val="auto"/>
              </w:rPr>
              <w:t>Dividend yield</w:t>
            </w:r>
          </w:p>
        </w:tc>
        <w:tc>
          <w:tcPr>
            <w:tcW w:w="364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200" w:type="dxa"/>
            <w:vAlign w:val="bottom"/>
            <w:gridSpan w:val="2"/>
            <w:shd w:val="clear" w:color="auto" w:fill="D2EEF5"/>
          </w:tcPr>
          <w:p>
            <w:pPr>
              <w:jc w:val="right"/>
              <w:ind w:right="40"/>
              <w:spacing w:after="0"/>
              <w:rPr>
                <w:sz w:val="20"/>
                <w:szCs w:val="20"/>
                <w:color w:val="auto"/>
              </w:rPr>
            </w:pPr>
            <w:r>
              <w:rPr>
                <w:rFonts w:ascii="Arial" w:cs="Arial" w:eastAsia="Arial" w:hAnsi="Arial"/>
                <w:sz w:val="15"/>
                <w:szCs w:val="15"/>
                <w:color w:val="auto"/>
              </w:rPr>
              <w:t>0.0 %</w:t>
            </w:r>
          </w:p>
        </w:tc>
      </w:tr>
    </w:tbl>
    <w:p>
      <w:pPr>
        <w:spacing w:after="0" w:line="162" w:lineRule="exact"/>
        <w:rPr>
          <w:sz w:val="20"/>
          <w:szCs w:val="20"/>
          <w:color w:val="auto"/>
        </w:rPr>
      </w:pPr>
    </w:p>
    <w:p>
      <w:pPr>
        <w:jc w:val="both"/>
        <w:ind w:left="360" w:right="80"/>
        <w:spacing w:after="0" w:line="338" w:lineRule="auto"/>
        <w:rPr>
          <w:sz w:val="20"/>
          <w:szCs w:val="20"/>
          <w:color w:val="auto"/>
        </w:rPr>
      </w:pPr>
      <w:r>
        <w:rPr>
          <w:rFonts w:ascii="Arial" w:cs="Arial" w:eastAsia="Arial" w:hAnsi="Arial"/>
          <w:sz w:val="13"/>
          <w:szCs w:val="13"/>
          <w:color w:val="auto"/>
        </w:rPr>
        <w:t>The Class B Warrants contain a call provision under which if the Volume Weighted Average Price “VWAP” for 30 consecutive trading days exceeds $5.00, and the warrant holder does not possess material non-public information provided by the Company, the Company may call for cancellation the unexercised warrants, offering $0.0001 per Warrant Share. If conditions for the call are met, the unexercised portion of these warrants will be cancelled ten trading days after the call notice is received.</w:t>
      </w:r>
    </w:p>
    <w:p>
      <w:pPr>
        <w:spacing w:after="0" w:line="101"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As the Class B Warrants had the same features as the above-mentioned Class A Warrants, the Company classified the Class B Warrants as equity (per ASC 815) and on November 14, 2024, recorded the fair value of the Class B Warrants amounting to $4.5 million as additional paid in capital.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were no exercises or redemptions of the Public Warrants, Private Warrants, Class A Warrants and Class B Warrants during the year ended December 31, 2024.</w:t>
      </w:r>
    </w:p>
    <w:p>
      <w:pPr>
        <w:spacing w:after="0" w:line="205"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As on December 31, 2024, 7,450,000 Class B Warrants were outstanding. On February 6, 2025, the Company received the final balance of committed funding and issued the remaining 2,500,000 Class B Warrants.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360" w:right="8980" w:hanging="280"/>
        <w:spacing w:after="0" w:line="589" w:lineRule="auto"/>
        <w:tabs>
          <w:tab w:leader="none" w:pos="36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Common Shares Authorized and Issued</w:t>
      </w:r>
    </w:p>
    <w:p>
      <w:pPr>
        <w:ind w:left="360"/>
        <w:spacing w:after="0"/>
        <w:rPr>
          <w:rFonts w:ascii="Arial" w:cs="Arial" w:eastAsia="Arial" w:hAnsi="Arial"/>
          <w:sz w:val="13"/>
          <w:szCs w:val="13"/>
          <w:b w:val="1"/>
          <w:bCs w:val="1"/>
          <w:color w:val="auto"/>
        </w:rPr>
      </w:pPr>
      <w:r>
        <w:rPr>
          <w:rFonts w:ascii="Arial" w:cs="Arial" w:eastAsia="Arial" w:hAnsi="Arial"/>
          <w:sz w:val="15"/>
          <w:szCs w:val="15"/>
          <w:color w:val="auto"/>
        </w:rPr>
        <w:t>As at December 31, 2024, the authorized, issued and outstanding common shares and Special Shares of the Company are as follows: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26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Authorized</w:t>
            </w:r>
          </w:p>
        </w:tc>
        <w:tc>
          <w:tcPr>
            <w:tcW w:w="1640" w:type="dxa"/>
            <w:vAlign w:val="bottom"/>
          </w:tcPr>
          <w:p>
            <w:pPr>
              <w:jc w:val="right"/>
              <w:spacing w:after="0"/>
              <w:rPr>
                <w:sz w:val="20"/>
                <w:szCs w:val="20"/>
                <w:color w:val="auto"/>
              </w:rPr>
            </w:pPr>
            <w:r>
              <w:rPr>
                <w:rFonts w:ascii="Arial" w:cs="Arial" w:eastAsia="Arial" w:hAnsi="Arial"/>
                <w:sz w:val="12"/>
                <w:szCs w:val="12"/>
                <w:b w:val="1"/>
                <w:bCs w:val="1"/>
                <w:color w:val="auto"/>
              </w:rPr>
              <w:t>Issued and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2"/>
                <w:szCs w:val="12"/>
                <w:b w:val="1"/>
                <w:bCs w:val="1"/>
                <w:color w:val="auto"/>
              </w:rPr>
              <w:t>Outstanding</w:t>
            </w:r>
          </w:p>
        </w:tc>
        <w:tc>
          <w:tcPr>
            <w:tcW w:w="0" w:type="dxa"/>
            <w:vAlign w:val="bottom"/>
          </w:tcPr>
          <w:p>
            <w:pPr>
              <w:spacing w:after="0"/>
              <w:rPr>
                <w:sz w:val="1"/>
                <w:szCs w:val="1"/>
                <w:color w:val="auto"/>
              </w:rPr>
            </w:pPr>
          </w:p>
        </w:tc>
      </w:tr>
      <w:tr>
        <w:trPr>
          <w:trHeight w:val="174"/>
        </w:trPr>
        <w:tc>
          <w:tcPr>
            <w:tcW w:w="55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Common shares</w:t>
            </w:r>
          </w:p>
        </w:tc>
        <w:tc>
          <w:tcPr>
            <w:tcW w:w="246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5"/>
              </w:rPr>
              <w:t>Unlimited, with no par value</w:t>
            </w:r>
          </w:p>
        </w:tc>
        <w:tc>
          <w:tcPr>
            <w:tcW w:w="220" w:type="dxa"/>
            <w:vAlign w:val="bottom"/>
            <w:tcBorders>
              <w:top w:val="single" w:sz="8" w:color="D2EEF5"/>
            </w:tcBorders>
            <w:shd w:val="clear" w:color="auto" w:fill="D2EEF5"/>
          </w:tcPr>
          <w:p>
            <w:pPr>
              <w:spacing w:after="0"/>
              <w:rPr>
                <w:sz w:val="15"/>
                <w:szCs w:val="15"/>
                <w:color w:val="auto"/>
              </w:rPr>
            </w:pPr>
          </w:p>
        </w:tc>
        <w:tc>
          <w:tcPr>
            <w:tcW w:w="16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340,708,460</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20"/>
                <w:szCs w:val="20"/>
                <w:color w:val="auto"/>
              </w:rPr>
            </w:pPr>
            <w:r>
              <w:rPr>
                <w:rFonts w:ascii="Arial" w:cs="Arial" w:eastAsia="Arial" w:hAnsi="Arial"/>
                <w:sz w:val="15"/>
                <w:szCs w:val="15"/>
                <w:color w:val="auto"/>
              </w:rPr>
              <w:t>Class A Special Shares</w:t>
            </w: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5,000,000,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4,448,259</w:t>
            </w:r>
          </w:p>
        </w:tc>
        <w:tc>
          <w:tcPr>
            <w:tcW w:w="0" w:type="dxa"/>
            <w:vAlign w:val="bottom"/>
          </w:tcPr>
          <w:p>
            <w:pPr>
              <w:spacing w:after="0"/>
              <w:rPr>
                <w:sz w:val="1"/>
                <w:szCs w:val="1"/>
                <w:color w:val="auto"/>
              </w:rPr>
            </w:pPr>
          </w:p>
        </w:tc>
      </w:tr>
      <w:tr>
        <w:trPr>
          <w:trHeight w:val="183"/>
        </w:trPr>
        <w:tc>
          <w:tcPr>
            <w:tcW w:w="5500" w:type="dxa"/>
            <w:vAlign w:val="bottom"/>
            <w:shd w:val="clear" w:color="auto" w:fill="D2EEF5"/>
          </w:tcPr>
          <w:p>
            <w:pPr>
              <w:spacing w:after="0"/>
              <w:rPr>
                <w:sz w:val="20"/>
                <w:szCs w:val="20"/>
                <w:color w:val="auto"/>
              </w:rPr>
            </w:pPr>
            <w:r>
              <w:rPr>
                <w:rFonts w:ascii="Arial" w:cs="Arial" w:eastAsia="Arial" w:hAnsi="Arial"/>
                <w:sz w:val="15"/>
                <w:szCs w:val="15"/>
                <w:color w:val="auto"/>
              </w:rPr>
              <w:t>Class B Special Shares</w:t>
            </w:r>
          </w:p>
        </w:tc>
        <w:tc>
          <w:tcPr>
            <w:tcW w:w="2680" w:type="dxa"/>
            <w:vAlign w:val="bottom"/>
            <w:gridSpan w:val="2"/>
            <w:shd w:val="clear" w:color="auto" w:fill="D2EEF5"/>
          </w:tcPr>
          <w:p>
            <w:pPr>
              <w:jc w:val="center"/>
              <w:ind w:right="220"/>
              <w:spacing w:after="0"/>
              <w:rPr>
                <w:sz w:val="20"/>
                <w:szCs w:val="20"/>
                <w:color w:val="auto"/>
              </w:rPr>
            </w:pPr>
            <w:r>
              <w:rPr>
                <w:rFonts w:ascii="Arial" w:cs="Arial" w:eastAsia="Arial" w:hAnsi="Arial"/>
                <w:sz w:val="15"/>
                <w:szCs w:val="15"/>
                <w:color w:val="auto"/>
                <w:w w:val="92"/>
              </w:rPr>
              <w:t>10,000,000, with no par value</w:t>
            </w:r>
          </w:p>
        </w:tc>
        <w:tc>
          <w:tcPr>
            <w:tcW w:w="1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8,896,399</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20"/>
                <w:szCs w:val="20"/>
                <w:color w:val="auto"/>
              </w:rPr>
            </w:pPr>
            <w:r>
              <w:rPr>
                <w:rFonts w:ascii="Arial" w:cs="Arial" w:eastAsia="Arial" w:hAnsi="Arial"/>
                <w:sz w:val="15"/>
                <w:szCs w:val="15"/>
                <w:color w:val="auto"/>
              </w:rPr>
              <w:t>Class C Special Shares</w:t>
            </w: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10,000,000,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8,896,399</w:t>
            </w:r>
          </w:p>
        </w:tc>
        <w:tc>
          <w:tcPr>
            <w:tcW w:w="0" w:type="dxa"/>
            <w:vAlign w:val="bottom"/>
          </w:tcPr>
          <w:p>
            <w:pPr>
              <w:spacing w:after="0"/>
              <w:rPr>
                <w:sz w:val="1"/>
                <w:szCs w:val="1"/>
                <w:color w:val="auto"/>
              </w:rPr>
            </w:pPr>
          </w:p>
        </w:tc>
      </w:tr>
      <w:tr>
        <w:trPr>
          <w:trHeight w:val="183"/>
        </w:trPr>
        <w:tc>
          <w:tcPr>
            <w:tcW w:w="5500" w:type="dxa"/>
            <w:vAlign w:val="bottom"/>
            <w:shd w:val="clear" w:color="auto" w:fill="D2EEF5"/>
          </w:tcPr>
          <w:p>
            <w:pPr>
              <w:spacing w:after="0"/>
              <w:rPr>
                <w:sz w:val="20"/>
                <w:szCs w:val="20"/>
                <w:color w:val="auto"/>
              </w:rPr>
            </w:pPr>
            <w:r>
              <w:rPr>
                <w:rFonts w:ascii="Arial" w:cs="Arial" w:eastAsia="Arial" w:hAnsi="Arial"/>
                <w:sz w:val="15"/>
                <w:szCs w:val="15"/>
                <w:color w:val="auto"/>
              </w:rPr>
              <w:t>Class D Special Shares</w:t>
            </w:r>
          </w:p>
        </w:tc>
        <w:tc>
          <w:tcPr>
            <w:tcW w:w="2680" w:type="dxa"/>
            <w:vAlign w:val="bottom"/>
            <w:gridSpan w:val="2"/>
            <w:shd w:val="clear" w:color="auto" w:fill="D2EEF5"/>
          </w:tcPr>
          <w:p>
            <w:pPr>
              <w:jc w:val="center"/>
              <w:ind w:right="220"/>
              <w:spacing w:after="0"/>
              <w:rPr>
                <w:sz w:val="20"/>
                <w:szCs w:val="20"/>
                <w:color w:val="auto"/>
              </w:rPr>
            </w:pPr>
            <w:r>
              <w:rPr>
                <w:rFonts w:ascii="Arial" w:cs="Arial" w:eastAsia="Arial" w:hAnsi="Arial"/>
                <w:sz w:val="15"/>
                <w:szCs w:val="15"/>
                <w:color w:val="auto"/>
                <w:w w:val="92"/>
              </w:rPr>
              <w:t>20,000,000, with no par value</w:t>
            </w:r>
          </w:p>
        </w:tc>
        <w:tc>
          <w:tcPr>
            <w:tcW w:w="1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17,792,922</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20"/>
                <w:szCs w:val="20"/>
                <w:color w:val="auto"/>
              </w:rPr>
            </w:pPr>
            <w:r>
              <w:rPr>
                <w:rFonts w:ascii="Arial" w:cs="Arial" w:eastAsia="Arial" w:hAnsi="Arial"/>
                <w:sz w:val="15"/>
                <w:szCs w:val="15"/>
                <w:color w:val="auto"/>
              </w:rPr>
              <w:t>Class E Special Shares</w:t>
            </w: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20,000,000,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17,792,922</w:t>
            </w:r>
          </w:p>
        </w:tc>
        <w:tc>
          <w:tcPr>
            <w:tcW w:w="0" w:type="dxa"/>
            <w:vAlign w:val="bottom"/>
          </w:tcPr>
          <w:p>
            <w:pPr>
              <w:spacing w:after="0"/>
              <w:rPr>
                <w:sz w:val="1"/>
                <w:szCs w:val="1"/>
                <w:color w:val="auto"/>
              </w:rPr>
            </w:pPr>
          </w:p>
        </w:tc>
      </w:tr>
      <w:tr>
        <w:trPr>
          <w:trHeight w:val="183"/>
        </w:trPr>
        <w:tc>
          <w:tcPr>
            <w:tcW w:w="5500" w:type="dxa"/>
            <w:vAlign w:val="bottom"/>
            <w:shd w:val="clear" w:color="auto" w:fill="D2EEF5"/>
          </w:tcPr>
          <w:p>
            <w:pPr>
              <w:spacing w:after="0"/>
              <w:rPr>
                <w:sz w:val="20"/>
                <w:szCs w:val="20"/>
                <w:color w:val="auto"/>
              </w:rPr>
            </w:pPr>
            <w:r>
              <w:rPr>
                <w:rFonts w:ascii="Arial" w:cs="Arial" w:eastAsia="Arial" w:hAnsi="Arial"/>
                <w:sz w:val="15"/>
                <w:szCs w:val="15"/>
                <w:color w:val="auto"/>
              </w:rPr>
              <w:t>Class F Special Shares</w:t>
            </w:r>
          </w:p>
        </w:tc>
        <w:tc>
          <w:tcPr>
            <w:tcW w:w="2680" w:type="dxa"/>
            <w:vAlign w:val="bottom"/>
            <w:gridSpan w:val="2"/>
            <w:shd w:val="clear" w:color="auto" w:fill="D2EEF5"/>
          </w:tcPr>
          <w:p>
            <w:pPr>
              <w:jc w:val="center"/>
              <w:ind w:right="220"/>
              <w:spacing w:after="0"/>
              <w:rPr>
                <w:sz w:val="20"/>
                <w:szCs w:val="20"/>
                <w:color w:val="auto"/>
              </w:rPr>
            </w:pPr>
            <w:r>
              <w:rPr>
                <w:rFonts w:ascii="Arial" w:cs="Arial" w:eastAsia="Arial" w:hAnsi="Arial"/>
                <w:sz w:val="15"/>
                <w:szCs w:val="15"/>
                <w:color w:val="auto"/>
                <w:w w:val="92"/>
              </w:rPr>
              <w:t>20,000,000, with no par value</w:t>
            </w:r>
          </w:p>
        </w:tc>
        <w:tc>
          <w:tcPr>
            <w:tcW w:w="1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17,792,922</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20"/>
                <w:szCs w:val="20"/>
                <w:color w:val="auto"/>
              </w:rPr>
            </w:pPr>
            <w:r>
              <w:rPr>
                <w:rFonts w:ascii="Arial" w:cs="Arial" w:eastAsia="Arial" w:hAnsi="Arial"/>
                <w:sz w:val="15"/>
                <w:szCs w:val="15"/>
                <w:color w:val="auto"/>
              </w:rPr>
              <w:t>Class G Special Shares</w:t>
            </w: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25,000,000,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22,241,179</w:t>
            </w:r>
          </w:p>
        </w:tc>
        <w:tc>
          <w:tcPr>
            <w:tcW w:w="0" w:type="dxa"/>
            <w:vAlign w:val="bottom"/>
          </w:tcPr>
          <w:p>
            <w:pPr>
              <w:spacing w:after="0"/>
              <w:rPr>
                <w:sz w:val="1"/>
                <w:szCs w:val="1"/>
                <w:color w:val="auto"/>
              </w:rPr>
            </w:pPr>
          </w:p>
        </w:tc>
      </w:tr>
      <w:tr>
        <w:trPr>
          <w:trHeight w:val="183"/>
        </w:trPr>
        <w:tc>
          <w:tcPr>
            <w:tcW w:w="5500" w:type="dxa"/>
            <w:vAlign w:val="bottom"/>
            <w:shd w:val="clear" w:color="auto" w:fill="D2EEF5"/>
          </w:tcPr>
          <w:p>
            <w:pPr>
              <w:spacing w:after="0"/>
              <w:rPr>
                <w:sz w:val="20"/>
                <w:szCs w:val="20"/>
                <w:color w:val="auto"/>
              </w:rPr>
            </w:pPr>
            <w:r>
              <w:rPr>
                <w:rFonts w:ascii="Arial" w:cs="Arial" w:eastAsia="Arial" w:hAnsi="Arial"/>
                <w:sz w:val="15"/>
                <w:szCs w:val="15"/>
                <w:color w:val="auto"/>
              </w:rPr>
              <w:t>Class H Special Shares</w:t>
            </w:r>
          </w:p>
        </w:tc>
        <w:tc>
          <w:tcPr>
            <w:tcW w:w="2680" w:type="dxa"/>
            <w:vAlign w:val="bottom"/>
            <w:gridSpan w:val="2"/>
            <w:shd w:val="clear" w:color="auto" w:fill="D2EEF5"/>
          </w:tcPr>
          <w:p>
            <w:pPr>
              <w:jc w:val="center"/>
              <w:ind w:right="220"/>
              <w:spacing w:after="0"/>
              <w:rPr>
                <w:sz w:val="20"/>
                <w:szCs w:val="20"/>
                <w:color w:val="auto"/>
              </w:rPr>
            </w:pPr>
            <w:r>
              <w:rPr>
                <w:rFonts w:ascii="Arial" w:cs="Arial" w:eastAsia="Arial" w:hAnsi="Arial"/>
                <w:sz w:val="15"/>
                <w:szCs w:val="15"/>
                <w:color w:val="auto"/>
                <w:w w:val="92"/>
              </w:rPr>
              <w:t>25,000,000, with no par value</w:t>
            </w:r>
          </w:p>
        </w:tc>
        <w:tc>
          <w:tcPr>
            <w:tcW w:w="1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22,241,179</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20"/>
                <w:szCs w:val="20"/>
                <w:color w:val="auto"/>
              </w:rPr>
            </w:pPr>
            <w:r>
              <w:rPr>
                <w:rFonts w:ascii="Arial" w:cs="Arial" w:eastAsia="Arial" w:hAnsi="Arial"/>
                <w:sz w:val="15"/>
                <w:szCs w:val="15"/>
                <w:color w:val="auto"/>
              </w:rPr>
              <w:t>Class I Special Shares</w:t>
            </w:r>
          </w:p>
        </w:tc>
        <w:tc>
          <w:tcPr>
            <w:tcW w:w="2680" w:type="dxa"/>
            <w:vAlign w:val="bottom"/>
            <w:gridSpan w:val="2"/>
          </w:tcPr>
          <w:p>
            <w:pPr>
              <w:jc w:val="center"/>
              <w:ind w:right="240"/>
              <w:spacing w:after="0"/>
              <w:rPr>
                <w:sz w:val="20"/>
                <w:szCs w:val="20"/>
                <w:color w:val="auto"/>
              </w:rPr>
            </w:pPr>
            <w:r>
              <w:rPr>
                <w:rFonts w:ascii="Arial" w:cs="Arial" w:eastAsia="Arial" w:hAnsi="Arial"/>
                <w:sz w:val="15"/>
                <w:szCs w:val="15"/>
                <w:color w:val="auto"/>
                <w:w w:val="93"/>
              </w:rPr>
              <w:t>500,000,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83"/>
        </w:trPr>
        <w:tc>
          <w:tcPr>
            <w:tcW w:w="5500" w:type="dxa"/>
            <w:vAlign w:val="bottom"/>
            <w:shd w:val="clear" w:color="auto" w:fill="D2EEF5"/>
          </w:tcPr>
          <w:p>
            <w:pPr>
              <w:spacing w:after="0"/>
              <w:rPr>
                <w:sz w:val="20"/>
                <w:szCs w:val="20"/>
                <w:color w:val="auto"/>
              </w:rPr>
            </w:pPr>
            <w:r>
              <w:rPr>
                <w:rFonts w:ascii="Arial" w:cs="Arial" w:eastAsia="Arial" w:hAnsi="Arial"/>
                <w:sz w:val="15"/>
                <w:szCs w:val="15"/>
                <w:color w:val="auto"/>
              </w:rPr>
              <w:t>Class J Special Shares</w:t>
            </w:r>
          </w:p>
        </w:tc>
        <w:tc>
          <w:tcPr>
            <w:tcW w:w="2680" w:type="dxa"/>
            <w:vAlign w:val="bottom"/>
            <w:gridSpan w:val="2"/>
            <w:shd w:val="clear" w:color="auto" w:fill="D2EEF5"/>
          </w:tcPr>
          <w:p>
            <w:pPr>
              <w:jc w:val="center"/>
              <w:ind w:right="240"/>
              <w:spacing w:after="0"/>
              <w:rPr>
                <w:sz w:val="20"/>
                <w:szCs w:val="20"/>
                <w:color w:val="auto"/>
              </w:rPr>
            </w:pPr>
            <w:r>
              <w:rPr>
                <w:rFonts w:ascii="Arial" w:cs="Arial" w:eastAsia="Arial" w:hAnsi="Arial"/>
                <w:sz w:val="15"/>
                <w:szCs w:val="15"/>
                <w:color w:val="auto"/>
                <w:w w:val="93"/>
              </w:rPr>
              <w:t>741,000, with no par value</w:t>
            </w:r>
          </w:p>
        </w:tc>
        <w:tc>
          <w:tcPr>
            <w:tcW w:w="1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741,000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holders of the Company’s common shares are entitled to one vote for each common share held.</w:t>
      </w:r>
    </w:p>
    <w:p>
      <w:pPr>
        <w:spacing w:after="0" w:line="194"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Below is a summary of the Special Shares and their respective vesting thresholds, assuming the full number of Special Shares from Rollover Options are issued:</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53"/>
        </w:trPr>
        <w:tc>
          <w:tcPr>
            <w:tcW w:w="2720" w:type="dxa"/>
            <w:vAlign w:val="bottom"/>
          </w:tcPr>
          <w:p>
            <w:pPr>
              <w:spacing w:after="0"/>
              <w:rPr>
                <w:sz w:val="20"/>
                <w:szCs w:val="20"/>
                <w:color w:val="auto"/>
              </w:rPr>
            </w:pPr>
            <w:r>
              <w:rPr>
                <w:rFonts w:ascii="Arial" w:cs="Arial" w:eastAsia="Arial" w:hAnsi="Arial"/>
                <w:sz w:val="12"/>
                <w:szCs w:val="12"/>
                <w:b w:val="1"/>
                <w:bCs w:val="1"/>
                <w:color w:val="auto"/>
              </w:rPr>
              <w:t>Special Share Class</w:t>
            </w:r>
          </w:p>
        </w:tc>
        <w:tc>
          <w:tcPr>
            <w:tcW w:w="1620" w:type="dxa"/>
            <w:vAlign w:val="bottom"/>
          </w:tcPr>
          <w:p>
            <w:pPr>
              <w:ind w:left="126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1"/>
              </w:rPr>
              <w:t>C</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9"/>
              </w:rPr>
              <w:t>E</w:t>
            </w:r>
          </w:p>
        </w:tc>
        <w:tc>
          <w:tcPr>
            <w:tcW w:w="620" w:type="dxa"/>
            <w:vAlign w:val="bottom"/>
          </w:tcPr>
          <w:p>
            <w:pPr>
              <w:ind w:left="280"/>
              <w:spacing w:after="0"/>
              <w:rPr>
                <w:sz w:val="20"/>
                <w:szCs w:val="20"/>
                <w:color w:val="auto"/>
              </w:rPr>
            </w:pPr>
            <w:r>
              <w:rPr>
                <w:rFonts w:ascii="Arial" w:cs="Arial" w:eastAsia="Arial" w:hAnsi="Arial"/>
                <w:sz w:val="12"/>
                <w:szCs w:val="12"/>
                <w:b w:val="1"/>
                <w:bCs w:val="1"/>
                <w:color w:val="auto"/>
              </w:rPr>
              <w:t>F</w:t>
            </w:r>
          </w:p>
        </w:tc>
        <w:tc>
          <w:tcPr>
            <w:tcW w:w="620" w:type="dxa"/>
            <w:vAlign w:val="bottom"/>
          </w:tcPr>
          <w:p>
            <w:pPr>
              <w:ind w:left="260"/>
              <w:spacing w:after="0"/>
              <w:rPr>
                <w:sz w:val="20"/>
                <w:szCs w:val="20"/>
                <w:color w:val="auto"/>
              </w:rPr>
            </w:pPr>
            <w:r>
              <w:rPr>
                <w:rFonts w:ascii="Arial" w:cs="Arial" w:eastAsia="Arial" w:hAnsi="Arial"/>
                <w:sz w:val="12"/>
                <w:szCs w:val="12"/>
                <w:b w:val="1"/>
                <w:bCs w:val="1"/>
                <w:color w:val="auto"/>
              </w:rPr>
              <w:t>G</w:t>
            </w:r>
          </w:p>
        </w:tc>
        <w:tc>
          <w:tcPr>
            <w:tcW w:w="620" w:type="dxa"/>
            <w:vAlign w:val="bottom"/>
          </w:tcPr>
          <w:p>
            <w:pPr>
              <w:ind w:left="260"/>
              <w:spacing w:after="0"/>
              <w:rPr>
                <w:sz w:val="20"/>
                <w:szCs w:val="20"/>
                <w:color w:val="auto"/>
              </w:rPr>
            </w:pPr>
            <w:r>
              <w:rPr>
                <w:rFonts w:ascii="Arial" w:cs="Arial" w:eastAsia="Arial" w:hAnsi="Arial"/>
                <w:sz w:val="12"/>
                <w:szCs w:val="12"/>
                <w:b w:val="1"/>
                <w:bCs w:val="1"/>
                <w:color w:val="auto"/>
              </w:rPr>
              <w:t>H</w:t>
            </w:r>
          </w:p>
        </w:tc>
        <w:tc>
          <w:tcPr>
            <w:tcW w:w="600" w:type="dxa"/>
            <w:vAlign w:val="bottom"/>
          </w:tcPr>
          <w:p>
            <w:pPr>
              <w:ind w:left="280"/>
              <w:spacing w:after="0"/>
              <w:rPr>
                <w:sz w:val="20"/>
                <w:szCs w:val="20"/>
                <w:color w:val="auto"/>
              </w:rPr>
            </w:pPr>
            <w:r>
              <w:rPr>
                <w:rFonts w:ascii="Arial" w:cs="Arial" w:eastAsia="Arial" w:hAnsi="Arial"/>
                <w:sz w:val="12"/>
                <w:szCs w:val="12"/>
                <w:b w:val="1"/>
                <w:bCs w:val="1"/>
                <w:color w:val="auto"/>
              </w:rPr>
              <w:t>I</w:t>
            </w:r>
          </w:p>
        </w:tc>
        <w:tc>
          <w:tcPr>
            <w:tcW w:w="420" w:type="dxa"/>
            <w:vAlign w:val="bottom"/>
          </w:tcPr>
          <w:p>
            <w:pPr>
              <w:ind w:left="280"/>
              <w:spacing w:after="0"/>
              <w:rPr>
                <w:sz w:val="20"/>
                <w:szCs w:val="20"/>
                <w:color w:val="auto"/>
              </w:rPr>
            </w:pPr>
            <w:r>
              <w:rPr>
                <w:rFonts w:ascii="Arial" w:cs="Arial" w:eastAsia="Arial" w:hAnsi="Arial"/>
                <w:sz w:val="12"/>
                <w:szCs w:val="12"/>
                <w:b w:val="1"/>
                <w:bCs w:val="1"/>
                <w:color w:val="auto"/>
              </w:rPr>
              <w:t>J</w:t>
            </w:r>
          </w:p>
        </w:tc>
      </w:tr>
      <w:tr>
        <w:trPr>
          <w:trHeight w:val="194"/>
        </w:trPr>
        <w:tc>
          <w:tcPr>
            <w:tcW w:w="2720" w:type="dxa"/>
            <w:vAlign w:val="bottom"/>
          </w:tcPr>
          <w:p>
            <w:pPr>
              <w:spacing w:after="0"/>
              <w:rPr>
                <w:sz w:val="20"/>
                <w:szCs w:val="20"/>
                <w:color w:val="auto"/>
              </w:rPr>
            </w:pPr>
            <w:r>
              <w:rPr>
                <w:rFonts w:ascii="Arial" w:cs="Arial" w:eastAsia="Arial" w:hAnsi="Arial"/>
                <w:sz w:val="15"/>
                <w:szCs w:val="15"/>
                <w:color w:val="auto"/>
              </w:rPr>
              <w:t>Share Trigger price ($)</w:t>
            </w:r>
          </w:p>
        </w:tc>
        <w:tc>
          <w:tcPr>
            <w:tcW w:w="1620" w:type="dxa"/>
            <w:vAlign w:val="bottom"/>
          </w:tcPr>
          <w:p>
            <w:pPr>
              <w:jc w:val="right"/>
              <w:ind w:right="169"/>
              <w:spacing w:after="0"/>
              <w:rPr>
                <w:sz w:val="20"/>
                <w:szCs w:val="20"/>
                <w:color w:val="auto"/>
              </w:rPr>
            </w:pPr>
            <w:r>
              <w:rPr>
                <w:rFonts w:ascii="Arial" w:cs="Arial" w:eastAsia="Arial" w:hAnsi="Arial"/>
                <w:sz w:val="15"/>
                <w:szCs w:val="15"/>
                <w:color w:val="auto"/>
              </w:rPr>
              <w:t>15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25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35</w:t>
            </w:r>
          </w:p>
        </w:tc>
        <w:tc>
          <w:tcPr>
            <w:tcW w:w="620" w:type="dxa"/>
            <w:vAlign w:val="bottom"/>
          </w:tcPr>
          <w:p>
            <w:pPr>
              <w:jc w:val="center"/>
              <w:spacing w:after="0"/>
              <w:rPr>
                <w:sz w:val="20"/>
                <w:szCs w:val="20"/>
                <w:color w:val="auto"/>
              </w:rPr>
            </w:pPr>
            <w:r>
              <w:rPr>
                <w:rFonts w:ascii="Arial" w:cs="Arial" w:eastAsia="Arial" w:hAnsi="Arial"/>
                <w:sz w:val="15"/>
                <w:szCs w:val="15"/>
                <w:color w:val="auto"/>
                <w:w w:val="83"/>
              </w:rPr>
              <w:t>50</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75</w:t>
            </w:r>
          </w:p>
        </w:tc>
        <w:tc>
          <w:tcPr>
            <w:tcW w:w="620" w:type="dxa"/>
            <w:vAlign w:val="bottom"/>
          </w:tcPr>
          <w:p>
            <w:pPr>
              <w:jc w:val="right"/>
              <w:ind w:right="109"/>
              <w:spacing w:after="0"/>
              <w:rPr>
                <w:sz w:val="20"/>
                <w:szCs w:val="20"/>
                <w:color w:val="auto"/>
              </w:rPr>
            </w:pPr>
            <w:r>
              <w:rPr>
                <w:rFonts w:ascii="Arial" w:cs="Arial" w:eastAsia="Arial" w:hAnsi="Arial"/>
                <w:sz w:val="15"/>
                <w:szCs w:val="15"/>
                <w:color w:val="auto"/>
              </w:rPr>
              <w:t>100</w:t>
            </w:r>
          </w:p>
        </w:tc>
        <w:tc>
          <w:tcPr>
            <w:tcW w:w="620" w:type="dxa"/>
            <w:vAlign w:val="bottom"/>
          </w:tcPr>
          <w:p>
            <w:pPr>
              <w:jc w:val="right"/>
              <w:ind w:right="129"/>
              <w:spacing w:after="0"/>
              <w:rPr>
                <w:sz w:val="20"/>
                <w:szCs w:val="20"/>
                <w:color w:val="auto"/>
              </w:rPr>
            </w:pPr>
            <w:r>
              <w:rPr>
                <w:rFonts w:ascii="Arial" w:cs="Arial" w:eastAsia="Arial" w:hAnsi="Arial"/>
                <w:sz w:val="15"/>
                <w:szCs w:val="15"/>
                <w:color w:val="auto"/>
              </w:rPr>
              <w:t>150</w:t>
            </w:r>
          </w:p>
        </w:tc>
        <w:tc>
          <w:tcPr>
            <w:tcW w:w="620" w:type="dxa"/>
            <w:vAlign w:val="bottom"/>
          </w:tcPr>
          <w:p>
            <w:pPr>
              <w:jc w:val="right"/>
              <w:ind w:right="129"/>
              <w:spacing w:after="0"/>
              <w:rPr>
                <w:sz w:val="20"/>
                <w:szCs w:val="20"/>
                <w:color w:val="auto"/>
              </w:rPr>
            </w:pPr>
            <w:r>
              <w:rPr>
                <w:rFonts w:ascii="Arial" w:cs="Arial" w:eastAsia="Arial" w:hAnsi="Arial"/>
                <w:sz w:val="15"/>
                <w:szCs w:val="15"/>
                <w:color w:val="auto"/>
              </w:rPr>
              <w:t>200</w:t>
            </w:r>
          </w:p>
        </w:tc>
        <w:tc>
          <w:tcPr>
            <w:tcW w:w="600" w:type="dxa"/>
            <w:vAlign w:val="bottom"/>
          </w:tcPr>
          <w:p>
            <w:pPr>
              <w:jc w:val="right"/>
              <w:ind w:right="149"/>
              <w:spacing w:after="0"/>
              <w:rPr>
                <w:sz w:val="20"/>
                <w:szCs w:val="20"/>
                <w:color w:val="auto"/>
              </w:rPr>
            </w:pPr>
            <w:r>
              <w:rPr>
                <w:rFonts w:ascii="Arial" w:cs="Arial" w:eastAsia="Arial" w:hAnsi="Arial"/>
                <w:sz w:val="15"/>
                <w:szCs w:val="15"/>
                <w:color w:val="auto"/>
              </w:rPr>
              <w:t>50</w:t>
            </w:r>
          </w:p>
        </w:tc>
        <w:tc>
          <w:tcPr>
            <w:tcW w:w="4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5"/>
        </w:trPr>
        <w:tc>
          <w:tcPr>
            <w:tcW w:w="2720" w:type="dxa"/>
            <w:vAlign w:val="bottom"/>
          </w:tcPr>
          <w:p>
            <w:pPr>
              <w:spacing w:after="0"/>
              <w:rPr>
                <w:sz w:val="20"/>
                <w:szCs w:val="20"/>
                <w:color w:val="auto"/>
              </w:rPr>
            </w:pPr>
            <w:r>
              <w:rPr>
                <w:rFonts w:ascii="Arial" w:cs="Arial" w:eastAsia="Arial" w:hAnsi="Arial"/>
                <w:sz w:val="15"/>
                <w:szCs w:val="15"/>
                <w:color w:val="auto"/>
              </w:rPr>
              <w:t>Special Shares (million)</w:t>
            </w:r>
          </w:p>
        </w:tc>
        <w:tc>
          <w:tcPr>
            <w:tcW w:w="1620" w:type="dxa"/>
            <w:vAlign w:val="bottom"/>
          </w:tcPr>
          <w:p>
            <w:pPr>
              <w:jc w:val="right"/>
              <w:ind w:right="209"/>
              <w:spacing w:after="0"/>
              <w:rPr>
                <w:sz w:val="20"/>
                <w:szCs w:val="20"/>
                <w:color w:val="auto"/>
              </w:rPr>
            </w:pPr>
            <w:r>
              <w:rPr>
                <w:rFonts w:ascii="Arial" w:cs="Arial" w:eastAsia="Arial" w:hAnsi="Arial"/>
                <w:sz w:val="15"/>
                <w:szCs w:val="15"/>
                <w:color w:val="auto"/>
              </w:rPr>
              <w:t>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620" w:type="dxa"/>
            <w:vAlign w:val="bottom"/>
          </w:tcPr>
          <w:p>
            <w:pPr>
              <w:jc w:val="center"/>
              <w:spacing w:after="0"/>
              <w:rPr>
                <w:sz w:val="20"/>
                <w:szCs w:val="20"/>
                <w:color w:val="auto"/>
              </w:rPr>
            </w:pPr>
            <w:r>
              <w:rPr>
                <w:rFonts w:ascii="Arial" w:cs="Arial" w:eastAsia="Arial" w:hAnsi="Arial"/>
                <w:sz w:val="15"/>
                <w:szCs w:val="15"/>
                <w:color w:val="auto"/>
                <w:w w:val="83"/>
              </w:rPr>
              <w:t>20</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20</w:t>
            </w:r>
          </w:p>
        </w:tc>
        <w:tc>
          <w:tcPr>
            <w:tcW w:w="620" w:type="dxa"/>
            <w:vAlign w:val="bottom"/>
          </w:tcPr>
          <w:p>
            <w:pPr>
              <w:jc w:val="right"/>
              <w:ind w:right="149"/>
              <w:spacing w:after="0"/>
              <w:rPr>
                <w:sz w:val="20"/>
                <w:szCs w:val="20"/>
                <w:color w:val="auto"/>
              </w:rPr>
            </w:pPr>
            <w:r>
              <w:rPr>
                <w:rFonts w:ascii="Arial" w:cs="Arial" w:eastAsia="Arial" w:hAnsi="Arial"/>
                <w:sz w:val="15"/>
                <w:szCs w:val="15"/>
                <w:color w:val="auto"/>
              </w:rPr>
              <w:t>20</w:t>
            </w:r>
          </w:p>
        </w:tc>
        <w:tc>
          <w:tcPr>
            <w:tcW w:w="620" w:type="dxa"/>
            <w:vAlign w:val="bottom"/>
          </w:tcPr>
          <w:p>
            <w:pPr>
              <w:jc w:val="right"/>
              <w:ind w:right="169"/>
              <w:spacing w:after="0"/>
              <w:rPr>
                <w:sz w:val="20"/>
                <w:szCs w:val="20"/>
                <w:color w:val="auto"/>
              </w:rPr>
            </w:pPr>
            <w:r>
              <w:rPr>
                <w:rFonts w:ascii="Arial" w:cs="Arial" w:eastAsia="Arial" w:hAnsi="Arial"/>
                <w:sz w:val="15"/>
                <w:szCs w:val="15"/>
                <w:color w:val="auto"/>
              </w:rPr>
              <w:t>25</w:t>
            </w:r>
          </w:p>
        </w:tc>
        <w:tc>
          <w:tcPr>
            <w:tcW w:w="620" w:type="dxa"/>
            <w:vAlign w:val="bottom"/>
          </w:tcPr>
          <w:p>
            <w:pPr>
              <w:jc w:val="right"/>
              <w:ind w:right="169"/>
              <w:spacing w:after="0"/>
              <w:rPr>
                <w:sz w:val="20"/>
                <w:szCs w:val="20"/>
                <w:color w:val="auto"/>
              </w:rPr>
            </w:pPr>
            <w:r>
              <w:rPr>
                <w:rFonts w:ascii="Arial" w:cs="Arial" w:eastAsia="Arial" w:hAnsi="Arial"/>
                <w:sz w:val="15"/>
                <w:szCs w:val="15"/>
                <w:color w:val="auto"/>
              </w:rPr>
              <w:t>25</w:t>
            </w:r>
          </w:p>
        </w:tc>
        <w:tc>
          <w:tcPr>
            <w:tcW w:w="600" w:type="dxa"/>
            <w:vAlign w:val="bottom"/>
          </w:tcPr>
          <w:p>
            <w:pPr>
              <w:jc w:val="right"/>
              <w:ind w:right="129"/>
              <w:spacing w:after="0"/>
              <w:rPr>
                <w:sz w:val="20"/>
                <w:szCs w:val="20"/>
                <w:color w:val="auto"/>
              </w:rPr>
            </w:pPr>
            <w:r>
              <w:rPr>
                <w:rFonts w:ascii="Arial" w:cs="Arial" w:eastAsia="Arial" w:hAnsi="Arial"/>
                <w:sz w:val="15"/>
                <w:szCs w:val="15"/>
                <w:color w:val="auto"/>
              </w:rPr>
              <w:t>0.5</w:t>
            </w:r>
          </w:p>
        </w:tc>
        <w:tc>
          <w:tcPr>
            <w:tcW w:w="420" w:type="dxa"/>
            <w:vAlign w:val="bottom"/>
          </w:tcPr>
          <w:p>
            <w:pPr>
              <w:jc w:val="right"/>
              <w:spacing w:after="0"/>
              <w:rPr>
                <w:sz w:val="20"/>
                <w:szCs w:val="20"/>
                <w:color w:val="auto"/>
              </w:rPr>
            </w:pPr>
            <w:r>
              <w:rPr>
                <w:rFonts w:ascii="Arial" w:cs="Arial" w:eastAsia="Arial" w:hAnsi="Arial"/>
                <w:sz w:val="15"/>
                <w:szCs w:val="15"/>
                <w:color w:val="auto"/>
              </w:rPr>
              <w:t>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224790</wp:posOffset>
                </wp:positionH>
                <wp:positionV relativeFrom="paragraph">
                  <wp:posOffset>-247015</wp:posOffset>
                </wp:positionV>
                <wp:extent cx="5454015" cy="12382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4015" cy="123825"/>
                        </a:xfrm>
                        <a:prstGeom prst="rect">
                          <a:avLst/>
                        </a:prstGeom>
                        <a:solidFill>
                          <a:srgbClr val="D2EEF5"/>
                        </a:solidFill>
                      </wps:spPr>
                      <wps:bodyPr/>
                    </wps:wsp>
                  </a:graphicData>
                </a:graphic>
              </wp:anchor>
            </w:drawing>
          </mc:Choice>
          <mc:Fallback>
            <w:pict>
              <v:rect id="Shape 179" o:spid="_x0000_s1204" style="position:absolute;margin-left:17.7pt;margin-top:-19.4499pt;width:429.4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5678805</wp:posOffset>
                </wp:positionH>
                <wp:positionV relativeFrom="paragraph">
                  <wp:posOffset>-247015</wp:posOffset>
                </wp:positionV>
                <wp:extent cx="784225" cy="12382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123825"/>
                        </a:xfrm>
                        <a:prstGeom prst="rect">
                          <a:avLst/>
                        </a:prstGeom>
                        <a:solidFill>
                          <a:srgbClr val="D2EEF5"/>
                        </a:solidFill>
                      </wps:spPr>
                      <wps:bodyPr/>
                    </wps:wsp>
                  </a:graphicData>
                </a:graphic>
              </wp:anchor>
            </w:drawing>
          </mc:Choice>
          <mc:Fallback>
            <w:pict>
              <v:rect id="Shape 180" o:spid="_x0000_s1205" style="position:absolute;margin-left:447.15pt;margin-top:-19.4499pt;width:61.7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224790</wp:posOffset>
                </wp:positionH>
                <wp:positionV relativeFrom="paragraph">
                  <wp:posOffset>3175</wp:posOffset>
                </wp:positionV>
                <wp:extent cx="624522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0.25pt" to="509.45pt,0.25pt" o:allowincell="f" strokecolor="#000000" strokeweight="0.578pt"/>
            </w:pict>
          </mc:Fallback>
        </mc:AlternateContent>
        <mc:AlternateContent>
          <mc:Choice Requires="wps">
            <w:drawing>
              <wp:anchor simplePos="0" relativeHeight="251657728" behindDoc="1" locked="0" layoutInCell="0" allowOverlap="1">
                <wp:simplePos x="0" y="0"/>
                <wp:positionH relativeFrom="column">
                  <wp:posOffset>224790</wp:posOffset>
                </wp:positionH>
                <wp:positionV relativeFrom="paragraph">
                  <wp:posOffset>-119380</wp:posOffset>
                </wp:positionV>
                <wp:extent cx="624522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9.3999pt" to="509.45pt,-9.3999pt" o:allowincell="f" strokecolor="#000000" strokeweight="0.57pt"/>
            </w:pict>
          </mc:Fallback>
        </mc:AlternateContent>
        <mc:AlternateContent>
          <mc:Choice Requires="wps">
            <w:drawing>
              <wp:anchor simplePos="0" relativeHeight="251657728" behindDoc="1" locked="0" layoutInCell="0" allowOverlap="1">
                <wp:simplePos x="0" y="0"/>
                <wp:positionH relativeFrom="column">
                  <wp:posOffset>224790</wp:posOffset>
                </wp:positionH>
                <wp:positionV relativeFrom="paragraph">
                  <wp:posOffset>-344805</wp:posOffset>
                </wp:positionV>
                <wp:extent cx="624522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27.1499pt" to="509.45pt,-27.1499pt" o:allowincell="f" strokecolor="#000000" strokeweight="0.5709pt"/>
            </w:pict>
          </mc:Fallback>
        </mc:AlternateContent>
        <mc:AlternateContent>
          <mc:Choice Requires="wps">
            <w:drawing>
              <wp:anchor simplePos="0" relativeHeight="251657728" behindDoc="1" locked="0" layoutInCell="0" allowOverlap="1">
                <wp:simplePos x="0" y="0"/>
                <wp:positionH relativeFrom="column">
                  <wp:posOffset>224790</wp:posOffset>
                </wp:positionH>
                <wp:positionV relativeFrom="paragraph">
                  <wp:posOffset>-243205</wp:posOffset>
                </wp:positionV>
                <wp:extent cx="624522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19.1499pt" to="509.45pt,-19.1499pt" o:allowincell="f" strokecolor="#000000" strokeweight="0.57pt"/>
            </w:pict>
          </mc:Fallback>
        </mc:AlternateContent>
        <mc:AlternateContent>
          <mc:Choice Requires="wps">
            <w:drawing>
              <wp:anchor simplePos="0" relativeHeight="251657728" behindDoc="1" locked="0" layoutInCell="0" allowOverlap="1">
                <wp:simplePos x="0" y="0"/>
                <wp:positionH relativeFrom="column">
                  <wp:posOffset>6466205</wp:posOffset>
                </wp:positionH>
                <wp:positionV relativeFrom="paragraph">
                  <wp:posOffset>-348615</wp:posOffset>
                </wp:positionV>
                <wp:extent cx="0" cy="35560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3">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9.15pt,-27.4499pt" to="509.15pt,0.55pt" o:allowincell="f" strokecolor="#000000" strokeweight="0.5719pt"/>
            </w:pict>
          </mc:Fallback>
        </mc:AlternateContent>
        <mc:AlternateContent>
          <mc:Choice Requires="wps">
            <w:drawing>
              <wp:anchor simplePos="0" relativeHeight="251657728" behindDoc="1" locked="0" layoutInCell="0" allowOverlap="1">
                <wp:simplePos x="0" y="0"/>
                <wp:positionH relativeFrom="column">
                  <wp:posOffset>6074410</wp:posOffset>
                </wp:positionH>
                <wp:positionV relativeFrom="paragraph">
                  <wp:posOffset>-348615</wp:posOffset>
                </wp:positionV>
                <wp:extent cx="0" cy="35560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3pt,-27.4499pt" to="478.3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5681980</wp:posOffset>
                </wp:positionH>
                <wp:positionV relativeFrom="paragraph">
                  <wp:posOffset>-348615</wp:posOffset>
                </wp:positionV>
                <wp:extent cx="0" cy="35560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4pt,-27.4499pt" to="447.4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5290185</wp:posOffset>
                </wp:positionH>
                <wp:positionV relativeFrom="paragraph">
                  <wp:posOffset>-348615</wp:posOffset>
                </wp:positionV>
                <wp:extent cx="0" cy="35560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55pt,-27.4499pt" to="416.5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4905375</wp:posOffset>
                </wp:positionH>
                <wp:positionV relativeFrom="paragraph">
                  <wp:posOffset>-348615</wp:posOffset>
                </wp:positionV>
                <wp:extent cx="0" cy="35560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25pt,-27.4499pt" to="386.2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-348615</wp:posOffset>
                </wp:positionV>
                <wp:extent cx="0" cy="35560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27.4499pt" to="355.9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4135755</wp:posOffset>
                </wp:positionH>
                <wp:positionV relativeFrom="paragraph">
                  <wp:posOffset>-348615</wp:posOffset>
                </wp:positionV>
                <wp:extent cx="0" cy="35560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65pt,-27.4499pt" to="325.6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3750310</wp:posOffset>
                </wp:positionH>
                <wp:positionV relativeFrom="paragraph">
                  <wp:posOffset>-348615</wp:posOffset>
                </wp:positionV>
                <wp:extent cx="0" cy="35560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3pt,-27.4499pt" to="295.3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3365500</wp:posOffset>
                </wp:positionH>
                <wp:positionV relativeFrom="paragraph">
                  <wp:posOffset>-348615</wp:posOffset>
                </wp:positionV>
                <wp:extent cx="0" cy="35560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27.4499pt" to="26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2980690</wp:posOffset>
                </wp:positionH>
                <wp:positionV relativeFrom="paragraph">
                  <wp:posOffset>-348615</wp:posOffset>
                </wp:positionV>
                <wp:extent cx="0" cy="35560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pt,-27.4499pt" to="234.7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-348615</wp:posOffset>
                </wp:positionV>
                <wp:extent cx="0" cy="35560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7.4499pt" to="18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2595880</wp:posOffset>
                </wp:positionH>
                <wp:positionV relativeFrom="paragraph">
                  <wp:posOffset>-348615</wp:posOffset>
                </wp:positionV>
                <wp:extent cx="0" cy="35560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4pt,-27.4499pt" to="204.4pt,0.55pt" o:allowincell="f" strokecolor="#000000" strokeweight="0.572pt"/>
            </w:pict>
          </mc:Fallback>
        </mc:AlternateConten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 the Special Shares meet the indexation and equity classification criteria under ASC 815-40, the Special Shares have been classified as equity instruments at issuance.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Common Share Continuity</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52"/>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Common shares</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r>
      <w:tr>
        <w:trPr>
          <w:trHeight w:val="174"/>
        </w:trPr>
        <w:tc>
          <w:tcPr>
            <w:tcW w:w="714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December 31, 2022</w:t>
            </w:r>
          </w:p>
        </w:tc>
        <w:tc>
          <w:tcPr>
            <w:tcW w:w="200" w:type="dxa"/>
            <w:vAlign w:val="bottom"/>
            <w:tcBorders>
              <w:top w:val="single" w:sz="8" w:color="D2EEF5"/>
            </w:tcBorders>
            <w:shd w:val="clear" w:color="auto" w:fill="D2EEF5"/>
          </w:tcPr>
          <w:p>
            <w:pPr>
              <w:spacing w:after="0"/>
              <w:rPr>
                <w:sz w:val="15"/>
                <w:szCs w:val="15"/>
                <w:color w:val="auto"/>
              </w:rPr>
            </w:pPr>
          </w:p>
        </w:tc>
        <w:tc>
          <w:tcPr>
            <w:tcW w:w="10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266,812,131</w:t>
            </w:r>
          </w:p>
        </w:tc>
        <w:tc>
          <w:tcPr>
            <w:tcW w:w="2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332,882</w:t>
            </w:r>
          </w:p>
        </w:tc>
      </w:tr>
      <w:tr>
        <w:trPr>
          <w:trHeight w:val="183"/>
        </w:trPr>
        <w:tc>
          <w:tcPr>
            <w:tcW w:w="7340" w:type="dxa"/>
            <w:vAlign w:val="bottom"/>
            <w:gridSpan w:val="2"/>
          </w:tcPr>
          <w:p>
            <w:pPr>
              <w:spacing w:after="0"/>
              <w:rPr>
                <w:sz w:val="20"/>
                <w:szCs w:val="20"/>
                <w:color w:val="auto"/>
              </w:rPr>
            </w:pPr>
            <w:r>
              <w:rPr>
                <w:rFonts w:ascii="Arial" w:cs="Arial" w:eastAsia="Arial" w:hAnsi="Arial"/>
                <w:sz w:val="15"/>
                <w:szCs w:val="15"/>
                <w:color w:val="auto"/>
              </w:rPr>
              <w:t xml:space="preserve">Issuance of shares under 2023 Registered Direct Offering </w:t>
            </w:r>
            <w:r>
              <w:rPr>
                <w:rFonts w:ascii="Arial" w:cs="Arial" w:eastAsia="Arial" w:hAnsi="Arial"/>
                <w:sz w:val="15"/>
                <w:szCs w:val="15"/>
                <w:i w:val="1"/>
                <w:iCs w:val="1"/>
                <w:color w:val="auto"/>
              </w:rPr>
              <w:t>(Note 13)</w:t>
            </w:r>
          </w:p>
        </w:tc>
        <w:tc>
          <w:tcPr>
            <w:tcW w:w="1060" w:type="dxa"/>
            <w:vAlign w:val="bottom"/>
          </w:tcPr>
          <w:p>
            <w:pPr>
              <w:jc w:val="right"/>
              <w:spacing w:after="0"/>
              <w:rPr>
                <w:sz w:val="20"/>
                <w:szCs w:val="20"/>
                <w:color w:val="auto"/>
              </w:rPr>
            </w:pPr>
            <w:r>
              <w:rPr>
                <w:rFonts w:ascii="Arial" w:cs="Arial" w:eastAsia="Arial" w:hAnsi="Arial"/>
                <w:sz w:val="15"/>
                <w:szCs w:val="15"/>
                <w:color w:val="auto"/>
              </w:rPr>
              <w:t>7,961,540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11,420</w:t>
            </w:r>
          </w:p>
        </w:tc>
      </w:tr>
      <w:tr>
        <w:trPr>
          <w:trHeight w:val="183"/>
        </w:trPr>
        <w:tc>
          <w:tcPr>
            <w:tcW w:w="73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Exercise of warrant by Allseas</w:t>
            </w: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11,578,620</w:t>
            </w:r>
          </w:p>
        </w:tc>
        <w:tc>
          <w:tcPr>
            <w:tcW w:w="2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70,016</w:t>
            </w:r>
          </w:p>
        </w:tc>
      </w:tr>
      <w:tr>
        <w:trPr>
          <w:trHeight w:val="183"/>
        </w:trPr>
        <w:tc>
          <w:tcPr>
            <w:tcW w:w="7340" w:type="dxa"/>
            <w:vAlign w:val="bottom"/>
            <w:gridSpan w:val="2"/>
          </w:tcPr>
          <w:p>
            <w:pPr>
              <w:spacing w:after="0"/>
              <w:rPr>
                <w:sz w:val="20"/>
                <w:szCs w:val="20"/>
                <w:color w:val="auto"/>
              </w:rPr>
            </w:pPr>
            <w:r>
              <w:rPr>
                <w:rFonts w:ascii="Arial" w:cs="Arial" w:eastAsia="Arial" w:hAnsi="Arial"/>
                <w:sz w:val="15"/>
                <w:szCs w:val="15"/>
                <w:color w:val="auto"/>
              </w:rPr>
              <w:t>Shares issued to Allseas</w:t>
            </w:r>
          </w:p>
        </w:tc>
        <w:tc>
          <w:tcPr>
            <w:tcW w:w="1060" w:type="dxa"/>
            <w:vAlign w:val="bottom"/>
          </w:tcPr>
          <w:p>
            <w:pPr>
              <w:jc w:val="right"/>
              <w:spacing w:after="0"/>
              <w:rPr>
                <w:sz w:val="20"/>
                <w:szCs w:val="20"/>
                <w:color w:val="auto"/>
              </w:rPr>
            </w:pPr>
            <w:r>
              <w:rPr>
                <w:rFonts w:ascii="Arial" w:cs="Arial" w:eastAsia="Arial" w:hAnsi="Arial"/>
                <w:sz w:val="15"/>
                <w:szCs w:val="15"/>
                <w:color w:val="auto"/>
              </w:rPr>
              <w:t>15,000,000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15,910</w:t>
            </w:r>
          </w:p>
        </w:tc>
      </w:tr>
      <w:tr>
        <w:trPr>
          <w:trHeight w:val="183"/>
        </w:trPr>
        <w:tc>
          <w:tcPr>
            <w:tcW w:w="73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 xml:space="preserve">Exercise of stock options </w:t>
            </w:r>
            <w:r>
              <w:rPr>
                <w:rFonts w:ascii="Arial" w:cs="Arial" w:eastAsia="Arial" w:hAnsi="Arial"/>
                <w:sz w:val="15"/>
                <w:szCs w:val="15"/>
                <w:i w:val="1"/>
                <w:iCs w:val="1"/>
                <w:color w:val="auto"/>
              </w:rPr>
              <w:t>(Note 17)</w:t>
            </w: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120,000</w:t>
            </w:r>
          </w:p>
        </w:tc>
        <w:tc>
          <w:tcPr>
            <w:tcW w:w="2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144</w:t>
            </w:r>
          </w:p>
        </w:tc>
      </w:tr>
      <w:tr>
        <w:trPr>
          <w:trHeight w:val="183"/>
        </w:trPr>
        <w:tc>
          <w:tcPr>
            <w:tcW w:w="7340" w:type="dxa"/>
            <w:vAlign w:val="bottom"/>
            <w:gridSpan w:val="2"/>
          </w:tcPr>
          <w:p>
            <w:pPr>
              <w:spacing w:after="0"/>
              <w:rPr>
                <w:sz w:val="20"/>
                <w:szCs w:val="20"/>
                <w:color w:val="auto"/>
              </w:rPr>
            </w:pPr>
            <w:r>
              <w:rPr>
                <w:rFonts w:ascii="Arial" w:cs="Arial" w:eastAsia="Arial" w:hAnsi="Arial"/>
                <w:sz w:val="15"/>
                <w:szCs w:val="15"/>
                <w:color w:val="auto"/>
              </w:rPr>
              <w:t xml:space="preserve">Conversion of restricted share units </w:t>
            </w:r>
            <w:r>
              <w:rPr>
                <w:rFonts w:ascii="Arial" w:cs="Arial" w:eastAsia="Arial" w:hAnsi="Arial"/>
                <w:sz w:val="15"/>
                <w:szCs w:val="15"/>
                <w:i w:val="1"/>
                <w:iCs w:val="1"/>
                <w:color w:val="auto"/>
              </w:rPr>
              <w:t>(Note 17)</w:t>
            </w:r>
          </w:p>
        </w:tc>
        <w:tc>
          <w:tcPr>
            <w:tcW w:w="1060" w:type="dxa"/>
            <w:vAlign w:val="bottom"/>
          </w:tcPr>
          <w:p>
            <w:pPr>
              <w:jc w:val="right"/>
              <w:spacing w:after="0"/>
              <w:rPr>
                <w:sz w:val="20"/>
                <w:szCs w:val="20"/>
                <w:color w:val="auto"/>
              </w:rPr>
            </w:pPr>
            <w:r>
              <w:rPr>
                <w:rFonts w:ascii="Arial" w:cs="Arial" w:eastAsia="Arial" w:hAnsi="Arial"/>
                <w:sz w:val="15"/>
                <w:szCs w:val="15"/>
                <w:color w:val="auto"/>
              </w:rPr>
              <w:t>4,912,747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7,720</w:t>
            </w:r>
          </w:p>
        </w:tc>
      </w:tr>
      <w:tr>
        <w:trPr>
          <w:trHeight w:val="183"/>
        </w:trPr>
        <w:tc>
          <w:tcPr>
            <w:tcW w:w="73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 xml:space="preserve">Share purchase under Employee Stock Purchase Plan </w:t>
            </w:r>
            <w:r>
              <w:rPr>
                <w:rFonts w:ascii="Arial" w:cs="Arial" w:eastAsia="Arial" w:hAnsi="Arial"/>
                <w:sz w:val="15"/>
                <w:szCs w:val="15"/>
                <w:i w:val="1"/>
                <w:iCs w:val="1"/>
                <w:color w:val="auto"/>
              </w:rPr>
              <w:t>(Note 17)</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173,672</w:t>
            </w:r>
          </w:p>
        </w:tc>
        <w:tc>
          <w:tcPr>
            <w:tcW w:w="22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spacing w:after="0"/>
              <w:rPr>
                <w:sz w:val="15"/>
                <w:szCs w:val="15"/>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147</w:t>
            </w:r>
          </w:p>
        </w:tc>
      </w:tr>
      <w:tr>
        <w:trPr>
          <w:trHeight w:val="174"/>
        </w:trPr>
        <w:tc>
          <w:tcPr>
            <w:tcW w:w="7340" w:type="dxa"/>
            <w:vAlign w:val="bottom"/>
            <w:gridSpan w:val="2"/>
          </w:tcPr>
          <w:p>
            <w:pPr>
              <w:spacing w:after="0"/>
              <w:rPr>
                <w:sz w:val="20"/>
                <w:szCs w:val="20"/>
                <w:color w:val="auto"/>
              </w:rPr>
            </w:pPr>
            <w:r>
              <w:rPr>
                <w:rFonts w:ascii="Arial" w:cs="Arial" w:eastAsia="Arial" w:hAnsi="Arial"/>
                <w:sz w:val="15"/>
                <w:szCs w:val="15"/>
                <w:b w:val="1"/>
                <w:bCs w:val="1"/>
                <w:color w:val="auto"/>
              </w:rPr>
              <w:t>December 31, 2023</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306,558,710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438,239</w:t>
            </w:r>
          </w:p>
        </w:tc>
      </w:tr>
      <w:tr>
        <w:trPr>
          <w:trHeight w:val="183"/>
        </w:trPr>
        <w:tc>
          <w:tcPr>
            <w:tcW w:w="73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 xml:space="preserve">Issuance of shares under 2023 Registered Direct Offering </w:t>
            </w:r>
            <w:r>
              <w:rPr>
                <w:rFonts w:ascii="Arial" w:cs="Arial" w:eastAsia="Arial" w:hAnsi="Arial"/>
                <w:sz w:val="15"/>
                <w:szCs w:val="15"/>
                <w:i w:val="1"/>
                <w:iCs w:val="1"/>
                <w:color w:val="auto"/>
              </w:rPr>
              <w:t>(Note 13)</w:t>
            </w: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4,500,000</w:t>
            </w:r>
          </w:p>
        </w:tc>
        <w:tc>
          <w:tcPr>
            <w:tcW w:w="2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7,447</w:t>
            </w:r>
          </w:p>
        </w:tc>
      </w:tr>
      <w:tr>
        <w:trPr>
          <w:trHeight w:val="183"/>
        </w:trPr>
        <w:tc>
          <w:tcPr>
            <w:tcW w:w="7340" w:type="dxa"/>
            <w:vAlign w:val="bottom"/>
            <w:gridSpan w:val="2"/>
          </w:tcPr>
          <w:p>
            <w:pPr>
              <w:spacing w:after="0"/>
              <w:rPr>
                <w:sz w:val="20"/>
                <w:szCs w:val="20"/>
                <w:color w:val="auto"/>
              </w:rPr>
            </w:pPr>
            <w:r>
              <w:rPr>
                <w:rFonts w:ascii="Arial" w:cs="Arial" w:eastAsia="Arial" w:hAnsi="Arial"/>
                <w:sz w:val="15"/>
                <w:szCs w:val="15"/>
                <w:color w:val="auto"/>
              </w:rPr>
              <w:t xml:space="preserve">Issuance of shares under 2024 Registered Direct Offering </w:t>
            </w:r>
            <w:r>
              <w:rPr>
                <w:rFonts w:ascii="Arial" w:cs="Arial" w:eastAsia="Arial" w:hAnsi="Arial"/>
                <w:sz w:val="15"/>
                <w:szCs w:val="15"/>
                <w:i w:val="1"/>
                <w:iCs w:val="1"/>
                <w:color w:val="auto"/>
              </w:rPr>
              <w:t>(Note 13)</w:t>
            </w:r>
          </w:p>
        </w:tc>
        <w:tc>
          <w:tcPr>
            <w:tcW w:w="1060" w:type="dxa"/>
            <w:vAlign w:val="bottom"/>
          </w:tcPr>
          <w:p>
            <w:pPr>
              <w:jc w:val="right"/>
              <w:spacing w:after="0"/>
              <w:rPr>
                <w:sz w:val="20"/>
                <w:szCs w:val="20"/>
                <w:color w:val="auto"/>
              </w:rPr>
            </w:pPr>
            <w:r>
              <w:rPr>
                <w:rFonts w:ascii="Arial" w:cs="Arial" w:eastAsia="Arial" w:hAnsi="Arial"/>
                <w:sz w:val="15"/>
                <w:szCs w:val="15"/>
                <w:color w:val="auto"/>
              </w:rPr>
              <w:t>14,900,000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9,743</w:t>
            </w:r>
          </w:p>
        </w:tc>
      </w:tr>
      <w:tr>
        <w:trPr>
          <w:trHeight w:val="183"/>
        </w:trPr>
        <w:tc>
          <w:tcPr>
            <w:tcW w:w="73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 xml:space="preserve">Shares issued as per At-the Market Equity Distribution Agreement </w:t>
            </w:r>
            <w:r>
              <w:rPr>
                <w:rFonts w:ascii="Arial" w:cs="Arial" w:eastAsia="Arial" w:hAnsi="Arial"/>
                <w:sz w:val="15"/>
                <w:szCs w:val="15"/>
                <w:i w:val="1"/>
                <w:iCs w:val="1"/>
                <w:color w:val="auto"/>
              </w:rPr>
              <w:t>(Note 14)</w:t>
            </w: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3,251,588</w:t>
            </w:r>
          </w:p>
        </w:tc>
        <w:tc>
          <w:tcPr>
            <w:tcW w:w="2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4,866</w:t>
            </w:r>
          </w:p>
        </w:tc>
      </w:tr>
      <w:tr>
        <w:trPr>
          <w:trHeight w:val="183"/>
        </w:trPr>
        <w:tc>
          <w:tcPr>
            <w:tcW w:w="7340" w:type="dxa"/>
            <w:vAlign w:val="bottom"/>
            <w:gridSpan w:val="2"/>
          </w:tcPr>
          <w:p>
            <w:pPr>
              <w:spacing w:after="0"/>
              <w:rPr>
                <w:sz w:val="20"/>
                <w:szCs w:val="20"/>
                <w:color w:val="auto"/>
              </w:rPr>
            </w:pPr>
            <w:r>
              <w:rPr>
                <w:rFonts w:ascii="Arial" w:cs="Arial" w:eastAsia="Arial" w:hAnsi="Arial"/>
                <w:sz w:val="15"/>
                <w:szCs w:val="15"/>
                <w:color w:val="auto"/>
              </w:rPr>
              <w:t xml:space="preserve">Conversion of restricted share units </w:t>
            </w:r>
            <w:r>
              <w:rPr>
                <w:rFonts w:ascii="Arial" w:cs="Arial" w:eastAsia="Arial" w:hAnsi="Arial"/>
                <w:sz w:val="15"/>
                <w:szCs w:val="15"/>
                <w:i w:val="1"/>
                <w:iCs w:val="1"/>
                <w:color w:val="auto"/>
              </w:rPr>
              <w:t>(Note 17)</w:t>
            </w:r>
          </w:p>
        </w:tc>
        <w:tc>
          <w:tcPr>
            <w:tcW w:w="1060" w:type="dxa"/>
            <w:vAlign w:val="bottom"/>
          </w:tcPr>
          <w:p>
            <w:pPr>
              <w:jc w:val="right"/>
              <w:spacing w:after="0"/>
              <w:rPr>
                <w:sz w:val="20"/>
                <w:szCs w:val="20"/>
                <w:color w:val="auto"/>
              </w:rPr>
            </w:pPr>
            <w:r>
              <w:rPr>
                <w:rFonts w:ascii="Arial" w:cs="Arial" w:eastAsia="Arial" w:hAnsi="Arial"/>
                <w:sz w:val="15"/>
                <w:szCs w:val="15"/>
                <w:color w:val="auto"/>
              </w:rPr>
              <w:t>10,734,581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14,954</w:t>
            </w:r>
          </w:p>
        </w:tc>
      </w:tr>
      <w:tr>
        <w:trPr>
          <w:trHeight w:val="183"/>
        </w:trPr>
        <w:tc>
          <w:tcPr>
            <w:tcW w:w="734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 xml:space="preserve">Exercise of stock options </w:t>
            </w:r>
            <w:r>
              <w:rPr>
                <w:rFonts w:ascii="Arial" w:cs="Arial" w:eastAsia="Arial" w:hAnsi="Arial"/>
                <w:sz w:val="15"/>
                <w:szCs w:val="15"/>
                <w:i w:val="1"/>
                <w:iCs w:val="1"/>
                <w:color w:val="auto"/>
              </w:rPr>
              <w:t>(Note 17)</w:t>
            </w: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715,772</w:t>
            </w:r>
          </w:p>
        </w:tc>
        <w:tc>
          <w:tcPr>
            <w:tcW w:w="2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1,891</w:t>
            </w:r>
          </w:p>
        </w:tc>
      </w:tr>
      <w:tr>
        <w:trPr>
          <w:trHeight w:val="183"/>
        </w:trPr>
        <w:tc>
          <w:tcPr>
            <w:tcW w:w="7340" w:type="dxa"/>
            <w:vAlign w:val="bottom"/>
            <w:tcBorders>
              <w:bottom w:val="single" w:sz="8" w:color="D2EEF5"/>
            </w:tcBorders>
            <w:gridSpan w:val="2"/>
          </w:tcPr>
          <w:p>
            <w:pPr>
              <w:spacing w:after="0"/>
              <w:rPr>
                <w:sz w:val="20"/>
                <w:szCs w:val="20"/>
                <w:color w:val="auto"/>
              </w:rPr>
            </w:pPr>
            <w:r>
              <w:rPr>
                <w:rFonts w:ascii="Arial" w:cs="Arial" w:eastAsia="Arial" w:hAnsi="Arial"/>
                <w:sz w:val="15"/>
                <w:szCs w:val="15"/>
                <w:color w:val="auto"/>
              </w:rPr>
              <w:t xml:space="preserve">Share purchase under Employee Stock Purchase Plan </w:t>
            </w:r>
            <w:r>
              <w:rPr>
                <w:rFonts w:ascii="Arial" w:cs="Arial" w:eastAsia="Arial" w:hAnsi="Arial"/>
                <w:sz w:val="15"/>
                <w:szCs w:val="15"/>
                <w:i w:val="1"/>
                <w:iCs w:val="1"/>
                <w:color w:val="auto"/>
              </w:rPr>
              <w:t>(Note 17)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47,809</w:t>
            </w:r>
          </w:p>
        </w:tc>
        <w:tc>
          <w:tcPr>
            <w:tcW w:w="2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r>
      <w:tr>
        <w:trPr>
          <w:trHeight w:val="174"/>
        </w:trPr>
        <w:tc>
          <w:tcPr>
            <w:tcW w:w="73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5"/>
                <w:szCs w:val="15"/>
                <w:b w:val="1"/>
                <w:bCs w:val="1"/>
                <w:color w:val="auto"/>
              </w:rPr>
              <w:t>December 31, 2024</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340,708,460</w:t>
            </w:r>
          </w:p>
        </w:tc>
        <w:tc>
          <w:tcPr>
            <w:tcW w:w="220" w:type="dxa"/>
            <w:vAlign w:val="bottom"/>
            <w:tcBorders>
              <w:bottom w:val="single" w:sz="8" w:color="D2EEF5"/>
            </w:tcBorders>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477,217</w:t>
            </w:r>
          </w:p>
        </w:tc>
      </w:tr>
      <w:tr>
        <w:trPr>
          <w:trHeight w:val="20"/>
        </w:trPr>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60" w:hanging="280"/>
        <w:spacing w:after="0"/>
        <w:tabs>
          <w:tab w:leader="none" w:pos="36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w:t>
      </w:r>
    </w:p>
    <w:p>
      <w:pPr>
        <w:spacing w:after="0" w:line="195" w:lineRule="exact"/>
        <w:rPr>
          <w:rFonts w:ascii="Arial" w:cs="Arial" w:eastAsia="Arial" w:hAnsi="Arial"/>
          <w:sz w:val="15"/>
          <w:szCs w:val="15"/>
          <w:b w:val="1"/>
          <w:bCs w:val="1"/>
          <w:color w:val="auto"/>
        </w:rPr>
      </w:pPr>
    </w:p>
    <w:p>
      <w:pPr>
        <w:jc w:val="both"/>
        <w:ind w:left="360" w:right="80"/>
        <w:spacing w:after="0" w:line="311" w:lineRule="auto"/>
        <w:rPr>
          <w:rFonts w:ascii="Arial" w:cs="Arial" w:eastAsia="Arial" w:hAnsi="Arial"/>
          <w:sz w:val="15"/>
          <w:szCs w:val="15"/>
          <w:b w:val="1"/>
          <w:bCs w:val="1"/>
          <w:color w:val="auto"/>
        </w:rPr>
      </w:pPr>
      <w:r>
        <w:rPr>
          <w:rFonts w:ascii="Arial" w:cs="Arial" w:eastAsia="Arial" w:hAnsi="Arial"/>
          <w:sz w:val="13"/>
          <w:szCs w:val="13"/>
          <w:color w:val="auto"/>
        </w:rPr>
        <w:t>The Company’s 2021 Incentive Equity Plan (the “ Incentive Plan”) provides that the aggregate number of common shares reserved for future issuance under the Incentive Plan. As of December 31, 2024, there were a total of 56,634,518 common shares reserved for issuance under the Incentive Plan out of which 37,870,371 common shares remained available for future issuances. These amounts include 12,262,348 shares added to the Incentive Plan in January 2024 pursuant to the Incentive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board of directors.</w:t>
      </w:r>
    </w:p>
    <w:p>
      <w:pPr>
        <w:spacing w:after="0" w:line="118" w:lineRule="exact"/>
        <w:rPr>
          <w:rFonts w:ascii="Arial" w:cs="Arial" w:eastAsia="Arial" w:hAnsi="Arial"/>
          <w:sz w:val="15"/>
          <w:szCs w:val="15"/>
          <w:b w:val="1"/>
          <w:bCs w:val="1"/>
          <w:color w:val="auto"/>
        </w:rPr>
      </w:pPr>
    </w:p>
    <w:p>
      <w:pPr>
        <w:ind w:left="360" w:right="10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Share-based awards consisting of Restricted Share Units (“RSU”) and options under the Short-Term Incentives Plan (“STIP”) and Long-Term Incentives Plan (“LTIP”) have been issued under the 2021 Incentive Equity Plan.</w:t>
      </w:r>
    </w:p>
    <w:p>
      <w:pPr>
        <w:spacing w:after="0" w:line="119"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color w:val="auto"/>
        </w:rPr>
        <w:t>Prior to the 2021 Incentive Plan, the Company had granted share-based awards under the 2018 Stock Option Plan (“2018 Plan”).</w:t>
      </w:r>
    </w:p>
    <w:p>
      <w:pPr>
        <w:spacing w:after="0" w:line="194"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Stock options</w:t>
      </w:r>
    </w:p>
    <w:p>
      <w:pPr>
        <w:spacing w:after="0" w:line="193"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Outstanding under the Incentive Plan.</w:t>
      </w:r>
    </w:p>
    <w:p>
      <w:pPr>
        <w:spacing w:after="0" w:line="192" w:lineRule="exact"/>
        <w:rPr>
          <w:rFonts w:ascii="Arial" w:cs="Arial" w:eastAsia="Arial" w:hAnsi="Arial"/>
          <w:sz w:val="15"/>
          <w:szCs w:val="15"/>
          <w:b w:val="1"/>
          <w:bCs w:val="1"/>
          <w:color w:val="auto"/>
        </w:rPr>
      </w:pPr>
    </w:p>
    <w:p>
      <w:pPr>
        <w:jc w:val="both"/>
        <w:ind w:left="360" w:right="8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On April 9, 2024, the Company entered into a consulting agreement with Mr. Jurvetson, a director of the Company. As per the agreement, Mr. Jurvetson would serve as a special advisor to the Company’s Chief Executive Officer for a term of five years. As the sole compensation for his advisory services, Mr. Jurvetson was granted stock options to purchase 3,440,000 of the Company’s common shares, with an exercise price equal to $1.71, under the Incentive Plan. The options vest in thirds on each anniversary of the grant date of the options provided that Mr. Jurvetson is still providing services to the Company at such time and expire on April 9, 2031.</w:t>
      </w:r>
    </w:p>
    <w:p>
      <w:pPr>
        <w:spacing w:after="0" w:line="126" w:lineRule="exact"/>
        <w:rPr>
          <w:rFonts w:ascii="Arial" w:cs="Arial" w:eastAsia="Arial" w:hAnsi="Arial"/>
          <w:sz w:val="15"/>
          <w:szCs w:val="15"/>
          <w:b w:val="1"/>
          <w:bCs w:val="1"/>
          <w:color w:val="auto"/>
        </w:rPr>
      </w:pPr>
    </w:p>
    <w:p>
      <w:pPr>
        <w:ind w:left="360" w:right="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On April 9, 2024, the Company also granted stock options to purchase 500,000 shares to a consultant in exchange for advisory services over a 5-year period ending April 9, 2029.</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360" w:right="80"/>
        <w:spacing w:after="0" w:line="299" w:lineRule="auto"/>
        <w:rPr>
          <w:sz w:val="20"/>
          <w:szCs w:val="20"/>
          <w:color w:val="auto"/>
        </w:rPr>
      </w:pPr>
      <w:r>
        <w:rPr>
          <w:rFonts w:ascii="Arial" w:cs="Arial" w:eastAsia="Arial" w:hAnsi="Arial"/>
          <w:sz w:val="15"/>
          <w:szCs w:val="15"/>
          <w:color w:val="auto"/>
        </w:rPr>
        <w:t>The Company determined the fair value of the options to be $1.36 per unit using the Black-Scholes valuation method. The fair value was estimated using the following assumptions:</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April 9,</w:t>
            </w:r>
          </w:p>
        </w:tc>
      </w:tr>
      <w:tr>
        <w:trPr>
          <w:trHeight w:val="149"/>
        </w:trPr>
        <w:tc>
          <w:tcPr>
            <w:tcW w:w="4660" w:type="dxa"/>
            <w:vAlign w:val="bottom"/>
            <w:tcBorders>
              <w:bottom w:val="single" w:sz="8" w:color="D2EEF5"/>
            </w:tcBorders>
          </w:tcPr>
          <w:p>
            <w:pPr>
              <w:spacing w:after="0"/>
              <w:rPr>
                <w:sz w:val="12"/>
                <w:szCs w:val="12"/>
                <w:color w:val="auto"/>
              </w:rPr>
            </w:pPr>
          </w:p>
        </w:tc>
        <w:tc>
          <w:tcPr>
            <w:tcW w:w="3760" w:type="dxa"/>
            <w:vAlign w:val="bottom"/>
            <w:tcBorders>
              <w:bottom w:val="single" w:sz="8" w:color="D2EEF5"/>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D2EEF5"/>
            </w:tcBorders>
          </w:tcPr>
          <w:p>
            <w:pPr>
              <w:spacing w:after="0"/>
              <w:rPr>
                <w:sz w:val="12"/>
                <w:szCs w:val="12"/>
                <w:color w:val="auto"/>
              </w:rPr>
            </w:pPr>
          </w:p>
        </w:tc>
      </w:tr>
      <w:tr>
        <w:trPr>
          <w:trHeight w:val="174"/>
        </w:trPr>
        <w:tc>
          <w:tcPr>
            <w:tcW w:w="4660" w:type="dxa"/>
            <w:vAlign w:val="bottom"/>
            <w:shd w:val="clear" w:color="auto" w:fill="D2EEF5"/>
          </w:tcPr>
          <w:p>
            <w:pPr>
              <w:spacing w:after="0"/>
              <w:rPr>
                <w:sz w:val="20"/>
                <w:szCs w:val="20"/>
                <w:color w:val="auto"/>
              </w:rPr>
            </w:pPr>
            <w:r>
              <w:rPr>
                <w:rFonts w:ascii="Arial" w:cs="Arial" w:eastAsia="Arial" w:hAnsi="Arial"/>
                <w:sz w:val="15"/>
                <w:szCs w:val="15"/>
                <w:color w:val="auto"/>
              </w:rPr>
              <w:t>Exercise price</w:t>
            </w:r>
          </w:p>
        </w:tc>
        <w:tc>
          <w:tcPr>
            <w:tcW w:w="3760" w:type="dxa"/>
            <w:vAlign w:val="bottom"/>
            <w:shd w:val="clear" w:color="auto" w:fill="D2EEF5"/>
          </w:tcPr>
          <w:p>
            <w:pPr>
              <w:spacing w:after="0"/>
              <w:rPr>
                <w:sz w:val="15"/>
                <w:szCs w:val="15"/>
                <w:color w:val="auto"/>
              </w:rPr>
            </w:pPr>
          </w:p>
        </w:tc>
        <w:tc>
          <w:tcPr>
            <w:tcW w:w="320" w:type="dxa"/>
            <w:vAlign w:val="bottom"/>
            <w:shd w:val="clear" w:color="auto" w:fill="D2EEF5"/>
          </w:tcPr>
          <w:p>
            <w:pPr>
              <w:jc w:val="right"/>
              <w:ind w:right="1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1.71</w:t>
            </w:r>
          </w:p>
        </w:tc>
        <w:tc>
          <w:tcPr>
            <w:tcW w:w="220" w:type="dxa"/>
            <w:vAlign w:val="bottom"/>
            <w:shd w:val="clear" w:color="auto" w:fill="D2EEF5"/>
          </w:tcPr>
          <w:p>
            <w:pPr>
              <w:spacing w:after="0"/>
              <w:rPr>
                <w:sz w:val="15"/>
                <w:szCs w:val="15"/>
                <w:color w:val="auto"/>
              </w:rPr>
            </w:pPr>
          </w:p>
        </w:tc>
      </w:tr>
      <w:tr>
        <w:trPr>
          <w:trHeight w:val="183"/>
        </w:trPr>
        <w:tc>
          <w:tcPr>
            <w:tcW w:w="4660" w:type="dxa"/>
            <w:vAlign w:val="bottom"/>
          </w:tcPr>
          <w:p>
            <w:pPr>
              <w:spacing w:after="0"/>
              <w:rPr>
                <w:sz w:val="20"/>
                <w:szCs w:val="20"/>
                <w:color w:val="auto"/>
              </w:rPr>
            </w:pPr>
            <w:r>
              <w:rPr>
                <w:rFonts w:ascii="Arial" w:cs="Arial" w:eastAsia="Arial" w:hAnsi="Arial"/>
                <w:sz w:val="15"/>
                <w:szCs w:val="15"/>
                <w:color w:val="auto"/>
              </w:rPr>
              <w:t>Share price</w:t>
            </w:r>
          </w:p>
        </w:tc>
        <w:tc>
          <w:tcPr>
            <w:tcW w:w="408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1.71</w:t>
            </w:r>
          </w:p>
        </w:tc>
        <w:tc>
          <w:tcPr>
            <w:tcW w:w="220" w:type="dxa"/>
            <w:vAlign w:val="bottom"/>
          </w:tcPr>
          <w:p>
            <w:pPr>
              <w:spacing w:after="0"/>
              <w:rPr>
                <w:sz w:val="15"/>
                <w:szCs w:val="15"/>
                <w:color w:val="auto"/>
              </w:rPr>
            </w:pPr>
          </w:p>
        </w:tc>
      </w:tr>
      <w:tr>
        <w:trPr>
          <w:trHeight w:val="183"/>
        </w:trPr>
        <w:tc>
          <w:tcPr>
            <w:tcW w:w="4660" w:type="dxa"/>
            <w:vAlign w:val="bottom"/>
            <w:shd w:val="clear" w:color="auto" w:fill="D2EEF5"/>
          </w:tcPr>
          <w:p>
            <w:pPr>
              <w:spacing w:after="0"/>
              <w:rPr>
                <w:sz w:val="20"/>
                <w:szCs w:val="20"/>
                <w:color w:val="auto"/>
              </w:rPr>
            </w:pPr>
            <w:r>
              <w:rPr>
                <w:rFonts w:ascii="Arial" w:cs="Arial" w:eastAsia="Arial" w:hAnsi="Arial"/>
                <w:sz w:val="15"/>
                <w:szCs w:val="15"/>
                <w:color w:val="auto"/>
              </w:rPr>
              <w:t>Volatility</w:t>
            </w:r>
          </w:p>
        </w:tc>
        <w:tc>
          <w:tcPr>
            <w:tcW w:w="376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080" w:type="dxa"/>
            <w:vAlign w:val="bottom"/>
            <w:gridSpan w:val="2"/>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114.32 %</w:t>
            </w:r>
          </w:p>
        </w:tc>
      </w:tr>
      <w:tr>
        <w:trPr>
          <w:trHeight w:val="183"/>
        </w:trPr>
        <w:tc>
          <w:tcPr>
            <w:tcW w:w="4660" w:type="dxa"/>
            <w:vAlign w:val="bottom"/>
          </w:tcPr>
          <w:p>
            <w:pPr>
              <w:spacing w:after="0" w:line="183" w:lineRule="exact"/>
              <w:rPr>
                <w:sz w:val="20"/>
                <w:szCs w:val="20"/>
                <w:color w:val="auto"/>
              </w:rPr>
            </w:pPr>
            <w:r>
              <w:rPr>
                <w:rFonts w:ascii="Arial" w:cs="Arial" w:eastAsia="Arial" w:hAnsi="Arial"/>
                <w:sz w:val="15"/>
                <w:szCs w:val="15"/>
                <w:color w:val="auto"/>
              </w:rPr>
              <w:t>Term</w:t>
            </w:r>
            <w:r>
              <w:rPr>
                <w:rFonts w:ascii="Arial" w:cs="Arial" w:eastAsia="Arial" w:hAnsi="Arial"/>
                <w:sz w:val="21"/>
                <w:szCs w:val="21"/>
                <w:color w:val="auto"/>
                <w:vertAlign w:val="superscript"/>
              </w:rPr>
              <w:t>(1)</w:t>
            </w: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4.5 years</w:t>
            </w:r>
          </w:p>
        </w:tc>
      </w:tr>
      <w:tr>
        <w:trPr>
          <w:trHeight w:val="183"/>
        </w:trPr>
        <w:tc>
          <w:tcPr>
            <w:tcW w:w="4660" w:type="dxa"/>
            <w:vAlign w:val="bottom"/>
            <w:shd w:val="clear" w:color="auto" w:fill="D2EEF5"/>
          </w:tcPr>
          <w:p>
            <w:pPr>
              <w:spacing w:after="0"/>
              <w:rPr>
                <w:sz w:val="20"/>
                <w:szCs w:val="20"/>
                <w:color w:val="auto"/>
              </w:rPr>
            </w:pPr>
            <w:r>
              <w:rPr>
                <w:rFonts w:ascii="Arial" w:cs="Arial" w:eastAsia="Arial" w:hAnsi="Arial"/>
                <w:sz w:val="15"/>
                <w:szCs w:val="15"/>
                <w:color w:val="auto"/>
              </w:rPr>
              <w:t>Risk-free rate</w:t>
            </w:r>
          </w:p>
        </w:tc>
        <w:tc>
          <w:tcPr>
            <w:tcW w:w="376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1080" w:type="dxa"/>
            <w:vAlign w:val="bottom"/>
            <w:gridSpan w:val="2"/>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4.29 %</w:t>
            </w:r>
          </w:p>
        </w:tc>
      </w:tr>
      <w:tr>
        <w:trPr>
          <w:trHeight w:val="211"/>
        </w:trPr>
        <w:tc>
          <w:tcPr>
            <w:tcW w:w="4660" w:type="dxa"/>
            <w:vAlign w:val="bottom"/>
          </w:tcPr>
          <w:p>
            <w:pPr>
              <w:spacing w:after="0"/>
              <w:rPr>
                <w:sz w:val="20"/>
                <w:szCs w:val="20"/>
                <w:color w:val="auto"/>
              </w:rPr>
            </w:pPr>
            <w:r>
              <w:rPr>
                <w:rFonts w:ascii="Arial" w:cs="Arial" w:eastAsia="Arial" w:hAnsi="Arial"/>
                <w:sz w:val="15"/>
                <w:szCs w:val="15"/>
                <w:color w:val="auto"/>
              </w:rPr>
              <w:t>Dividend yield</w:t>
            </w: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0.0 %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224790</wp:posOffset>
                </wp:positionH>
                <wp:positionV relativeFrom="paragraph">
                  <wp:posOffset>43815</wp:posOffset>
                </wp:positionV>
                <wp:extent cx="168529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290" cy="4763"/>
                        </a:xfrm>
                        <a:prstGeom prst="line">
                          <a:avLst/>
                        </a:prstGeom>
                        <a:solidFill>
                          <a:srgbClr val="FFFFFF"/>
                        </a:solidFill>
                        <a:ln w="7252">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3.45pt" to="150.4pt,3.45pt" o:allowincell="f" strokecolor="#000000" strokeweight="0.571pt"/>
            </w:pict>
          </mc:Fallback>
        </mc:AlternateContent>
      </w:r>
    </w:p>
    <w:p>
      <w:pPr>
        <w:spacing w:after="0" w:line="114" w:lineRule="exact"/>
        <w:rPr>
          <w:sz w:val="20"/>
          <w:szCs w:val="20"/>
          <w:color w:val="auto"/>
        </w:rPr>
      </w:pPr>
    </w:p>
    <w:p>
      <w:pPr>
        <w:ind w:left="660" w:right="100" w:hanging="283"/>
        <w:spacing w:after="0" w:line="212" w:lineRule="auto"/>
        <w:tabs>
          <w:tab w:leader="none" w:pos="660" w:val="left"/>
        </w:tabs>
        <w:numPr>
          <w:ilvl w:val="0"/>
          <w:numId w:val="70"/>
        </w:numPr>
        <w:rPr>
          <w:rFonts w:ascii="Arial" w:cs="Arial" w:eastAsia="Arial" w:hAnsi="Arial"/>
          <w:sz w:val="23"/>
          <w:szCs w:val="23"/>
          <w:color w:val="auto"/>
          <w:vertAlign w:val="superscript"/>
        </w:rPr>
      </w:pPr>
      <w:r>
        <w:rPr>
          <w:rFonts w:ascii="Arial" w:cs="Arial" w:eastAsia="Arial" w:hAnsi="Arial"/>
          <w:sz w:val="15"/>
          <w:szCs w:val="15"/>
          <w:color w:val="auto"/>
        </w:rPr>
        <w:t>As these were the first options granted under the Incentive Plan, the expected term was estimated using the simplified method which is calculated as the average of the time to vest for each tranche from the grant date and the 7-year contractual term.</w:t>
      </w:r>
    </w:p>
    <w:p>
      <w:pPr>
        <w:spacing w:after="0" w:line="163"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During the year, the Company recognized $1.3 million of share-based compensation expense related to the amortization of stock options, reported under general and administrative expenses in the statement of loss and comprehensive loss.</w:t>
      </w:r>
    </w:p>
    <w:p>
      <w:pPr>
        <w:spacing w:after="0" w:line="119"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There were no forfeitures and exercises during the year and as at December 31, 2024, there were 3,940,000 options outstanding under the Company’s 2021 Incentive Plan (2023: Nil). The intrinsic value of the outstanding stock options was $ nil and was calculated by considering the closing market price of the Company’s common shares as the fair value of the Company’s common share.</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total unrecognized share-based compensation expense of $4 million is expected to be recognized over a period of approximately two years.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Outstanding under the Company’s 2018 Plan.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 new stock options were granted by the Company as STIPs or LTIPs under the 2018 Plan during 2024 and 2023.</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Outstanding STIPs under the 2018 plan: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continuity schedule summarizing the movements in the Company’s stock options under the STIP plan is as follows: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Weighted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Aggregate</w:t>
            </w:r>
          </w:p>
        </w:tc>
        <w:tc>
          <w:tcPr>
            <w:tcW w:w="14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intrinsic</w:t>
            </w:r>
          </w:p>
        </w:tc>
        <w:tc>
          <w:tcPr>
            <w:tcW w:w="1420" w:type="dxa"/>
            <w:vAlign w:val="bottom"/>
            <w:gridSpan w:val="2"/>
          </w:tcPr>
          <w:p>
            <w:pPr>
              <w:jc w:val="right"/>
              <w:ind w:right="580"/>
              <w:spacing w:after="0" w:line="126" w:lineRule="exact"/>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exercise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value of</w:t>
            </w:r>
          </w:p>
        </w:tc>
        <w:tc>
          <w:tcPr>
            <w:tcW w:w="1420" w:type="dxa"/>
            <w:vAlign w:val="bottom"/>
            <w:gridSpan w:val="2"/>
          </w:tcPr>
          <w:p>
            <w:pPr>
              <w:jc w:val="right"/>
              <w:ind w:right="580"/>
              <w:spacing w:after="0" w:line="126" w:lineRule="exact"/>
              <w:rPr>
                <w:sz w:val="20"/>
                <w:szCs w:val="20"/>
                <w:color w:val="auto"/>
              </w:rPr>
            </w:pPr>
            <w:r>
              <w:rPr>
                <w:rFonts w:ascii="Arial" w:cs="Arial" w:eastAsia="Arial" w:hAnsi="Arial"/>
                <w:sz w:val="12"/>
                <w:szCs w:val="12"/>
                <w:b w:val="1"/>
                <w:bCs w:val="1"/>
                <w:color w:val="auto"/>
              </w:rPr>
              <w:t>contractual</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price per</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stock</w:t>
            </w:r>
          </w:p>
        </w:tc>
        <w:tc>
          <w:tcPr>
            <w:tcW w:w="1420" w:type="dxa"/>
            <w:vAlign w:val="bottom"/>
            <w:gridSpan w:val="2"/>
          </w:tcPr>
          <w:p>
            <w:pPr>
              <w:jc w:val="right"/>
              <w:ind w:right="580"/>
              <w:spacing w:after="0" w:line="126" w:lineRule="exact"/>
              <w:rPr>
                <w:sz w:val="20"/>
                <w:szCs w:val="20"/>
                <w:color w:val="auto"/>
              </w:rPr>
            </w:pPr>
            <w:r>
              <w:rPr>
                <w:rFonts w:ascii="Arial" w:cs="Arial" w:eastAsia="Arial" w:hAnsi="Arial"/>
                <w:sz w:val="12"/>
                <w:szCs w:val="12"/>
                <w:b w:val="1"/>
                <w:bCs w:val="1"/>
                <w:color w:val="auto"/>
              </w:rPr>
              <w:t>life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Outstanding</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option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options</w:t>
            </w:r>
          </w:p>
        </w:tc>
        <w:tc>
          <w:tcPr>
            <w:tcW w:w="14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3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Outstanding – December 31, 2022</w:t>
            </w:r>
          </w:p>
        </w:tc>
        <w:tc>
          <w:tcPr>
            <w:tcW w:w="1180" w:type="dxa"/>
            <w:vAlign w:val="bottom"/>
            <w:tcBorders>
              <w:top w:val="single" w:sz="8" w:color="D2EEF5"/>
            </w:tcBorders>
            <w:shd w:val="clear" w:color="auto" w:fill="D2EEF5"/>
          </w:tcPr>
          <w:p>
            <w:pPr>
              <w:spacing w:after="0"/>
              <w:rPr>
                <w:sz w:val="15"/>
                <w:szCs w:val="15"/>
                <w:color w:val="auto"/>
              </w:rPr>
            </w:pPr>
          </w:p>
        </w:tc>
        <w:tc>
          <w:tcPr>
            <w:tcW w:w="9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15,356,340</w:t>
            </w:r>
          </w:p>
        </w:tc>
        <w:tc>
          <w:tcPr>
            <w:tcW w:w="8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260" w:type="dxa"/>
            <w:vAlign w:val="bottom"/>
            <w:tcBorders>
              <w:top w:val="single" w:sz="8" w:color="auto"/>
            </w:tcBorders>
            <w:shd w:val="clear" w:color="auto" w:fill="D2EEF5"/>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1.40</w:t>
            </w:r>
          </w:p>
        </w:tc>
        <w:tc>
          <w:tcPr>
            <w:tcW w:w="160" w:type="dxa"/>
            <w:vAlign w:val="bottom"/>
            <w:tcBorders>
              <w:top w:val="single" w:sz="8" w:color="D2EEF5"/>
            </w:tcBorders>
            <w:shd w:val="clear" w:color="auto" w:fill="D2EEF5"/>
          </w:tcPr>
          <w:p>
            <w:pPr>
              <w:spacing w:after="0"/>
              <w:rPr>
                <w:sz w:val="15"/>
                <w:szCs w:val="15"/>
                <w:color w:val="auto"/>
              </w:rPr>
            </w:pPr>
          </w:p>
        </w:tc>
        <w:tc>
          <w:tcPr>
            <w:tcW w:w="240" w:type="dxa"/>
            <w:vAlign w:val="bottom"/>
            <w:tcBorders>
              <w:top w:val="single" w:sz="8" w:color="auto"/>
            </w:tcBorders>
            <w:shd w:val="clear" w:color="auto" w:fill="D2EEF5"/>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1,582</w:t>
            </w:r>
          </w:p>
        </w:tc>
        <w:tc>
          <w:tcPr>
            <w:tcW w:w="180" w:type="dxa"/>
            <w:vAlign w:val="bottom"/>
            <w:tcBorders>
              <w:top w:val="single" w:sz="8" w:color="D2EEF5"/>
            </w:tcBorders>
            <w:shd w:val="clear" w:color="auto" w:fill="D2EEF5"/>
          </w:tcPr>
          <w:p>
            <w:pPr>
              <w:spacing w:after="0"/>
              <w:rPr>
                <w:sz w:val="15"/>
                <w:szCs w:val="15"/>
                <w:color w:val="auto"/>
              </w:rPr>
            </w:pPr>
          </w:p>
        </w:tc>
        <w:tc>
          <w:tcPr>
            <w:tcW w:w="8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5.11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Expired</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(162,100)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0.87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300" w:type="dxa"/>
            <w:vAlign w:val="bottom"/>
            <w:shd w:val="clear" w:color="auto" w:fill="D2EEF5"/>
          </w:tcPr>
          <w:p>
            <w:pPr>
              <w:spacing w:after="0"/>
              <w:rPr>
                <w:sz w:val="20"/>
                <w:szCs w:val="20"/>
                <w:color w:val="auto"/>
              </w:rPr>
            </w:pPr>
            <w:r>
              <w:rPr>
                <w:rFonts w:ascii="Arial" w:cs="Arial" w:eastAsia="Arial" w:hAnsi="Arial"/>
                <w:sz w:val="15"/>
                <w:szCs w:val="15"/>
                <w:color w:val="auto"/>
              </w:rPr>
              <w:t>Exercised</w:t>
            </w:r>
          </w:p>
        </w:tc>
        <w:tc>
          <w:tcPr>
            <w:tcW w:w="2240" w:type="dxa"/>
            <w:vAlign w:val="bottom"/>
            <w:gridSpan w:val="3"/>
            <w:shd w:val="clear" w:color="auto" w:fill="D2EEF5"/>
          </w:tcPr>
          <w:p>
            <w:pPr>
              <w:jc w:val="right"/>
              <w:ind w:right="80"/>
              <w:spacing w:after="0"/>
              <w:rPr>
                <w:sz w:val="20"/>
                <w:szCs w:val="20"/>
                <w:color w:val="auto"/>
              </w:rPr>
            </w:pPr>
            <w:r>
              <w:rPr>
                <w:rFonts w:ascii="Arial" w:cs="Arial" w:eastAsia="Arial" w:hAnsi="Arial"/>
                <w:sz w:val="15"/>
                <w:szCs w:val="15"/>
                <w:color w:val="auto"/>
              </w:rPr>
              <w:t>(120,000)</w:t>
            </w:r>
          </w:p>
        </w:tc>
        <w:tc>
          <w:tcPr>
            <w:tcW w:w="80" w:type="dxa"/>
            <w:vAlign w:val="bottom"/>
            <w:shd w:val="clear" w:color="auto" w:fill="D2EEF5"/>
          </w:tcPr>
          <w:p>
            <w:pPr>
              <w:spacing w:after="0"/>
              <w:rPr>
                <w:sz w:val="15"/>
                <w:szCs w:val="15"/>
                <w:color w:val="auto"/>
              </w:rPr>
            </w:pPr>
          </w:p>
        </w:tc>
        <w:tc>
          <w:tcPr>
            <w:tcW w:w="26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0.65</w:t>
            </w:r>
          </w:p>
        </w:tc>
        <w:tc>
          <w:tcPr>
            <w:tcW w:w="1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9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5"/>
                <w:szCs w:val="15"/>
                <w:b w:val="1"/>
                <w:bCs w:val="1"/>
                <w:color w:val="auto"/>
              </w:rPr>
              <w:t>Outstanding – December 31, 2023</w:t>
            </w:r>
          </w:p>
        </w:tc>
        <w:tc>
          <w:tcPr>
            <w:tcW w:w="118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15,074,240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1.41</w:t>
            </w:r>
          </w:p>
        </w:tc>
        <w:tc>
          <w:tcPr>
            <w:tcW w:w="160" w:type="dxa"/>
            <w:vAlign w:val="bottom"/>
          </w:tcPr>
          <w:p>
            <w:pPr>
              <w:spacing w:after="0"/>
              <w:rPr>
                <w:sz w:val="15"/>
                <w:szCs w:val="15"/>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5,425</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4.18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300" w:type="dxa"/>
            <w:vAlign w:val="bottom"/>
            <w:shd w:val="clear" w:color="auto" w:fill="D2EEF5"/>
          </w:tcPr>
          <w:p>
            <w:pPr>
              <w:spacing w:after="0"/>
              <w:rPr>
                <w:sz w:val="20"/>
                <w:szCs w:val="20"/>
                <w:color w:val="auto"/>
              </w:rPr>
            </w:pPr>
            <w:r>
              <w:rPr>
                <w:rFonts w:ascii="Arial" w:cs="Arial" w:eastAsia="Arial" w:hAnsi="Arial"/>
                <w:sz w:val="15"/>
                <w:szCs w:val="15"/>
                <w:color w:val="auto"/>
              </w:rPr>
              <w:t>Exercised</w:t>
            </w:r>
          </w:p>
        </w:tc>
        <w:tc>
          <w:tcPr>
            <w:tcW w:w="2240" w:type="dxa"/>
            <w:vAlign w:val="bottom"/>
            <w:gridSpan w:val="3"/>
            <w:shd w:val="clear" w:color="auto" w:fill="D2EEF5"/>
          </w:tcPr>
          <w:p>
            <w:pPr>
              <w:jc w:val="right"/>
              <w:ind w:right="80"/>
              <w:spacing w:after="0"/>
              <w:rPr>
                <w:sz w:val="20"/>
                <w:szCs w:val="20"/>
                <w:color w:val="auto"/>
              </w:rPr>
            </w:pPr>
            <w:r>
              <w:rPr>
                <w:rFonts w:ascii="Arial" w:cs="Arial" w:eastAsia="Arial" w:hAnsi="Arial"/>
                <w:sz w:val="15"/>
                <w:szCs w:val="15"/>
                <w:color w:val="auto"/>
              </w:rPr>
              <w:t>(715,772)</w:t>
            </w:r>
          </w:p>
        </w:tc>
        <w:tc>
          <w:tcPr>
            <w:tcW w:w="80" w:type="dxa"/>
            <w:vAlign w:val="bottom"/>
            <w:shd w:val="clear" w:color="auto" w:fill="D2EEF5"/>
          </w:tcPr>
          <w:p>
            <w:pPr>
              <w:spacing w:after="0"/>
              <w:rPr>
                <w:sz w:val="15"/>
                <w:szCs w:val="15"/>
                <w:color w:val="auto"/>
              </w:rPr>
            </w:pPr>
          </w:p>
        </w:tc>
        <w:tc>
          <w:tcPr>
            <w:tcW w:w="26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0.65</w:t>
            </w:r>
          </w:p>
        </w:tc>
        <w:tc>
          <w:tcPr>
            <w:tcW w:w="1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9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Expired</w:t>
            </w:r>
          </w:p>
        </w:tc>
        <w:tc>
          <w:tcPr>
            <w:tcW w:w="2240" w:type="dxa"/>
            <w:vAlign w:val="bottom"/>
            <w:gridSpan w:val="3"/>
          </w:tcPr>
          <w:p>
            <w:pPr>
              <w:jc w:val="right"/>
              <w:ind w:right="80"/>
              <w:spacing w:after="0"/>
              <w:rPr>
                <w:sz w:val="20"/>
                <w:szCs w:val="20"/>
                <w:color w:val="auto"/>
              </w:rPr>
            </w:pPr>
            <w:r>
              <w:rPr>
                <w:rFonts w:ascii="Arial" w:cs="Arial" w:eastAsia="Arial" w:hAnsi="Arial"/>
                <w:sz w:val="15"/>
                <w:szCs w:val="15"/>
                <w:color w:val="auto"/>
              </w:rPr>
              <w:t>(57,893)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3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Outstanding – December 31, 2024 Vested and exercisable</w:t>
            </w:r>
          </w:p>
        </w:tc>
        <w:tc>
          <w:tcPr>
            <w:tcW w:w="1180" w:type="dxa"/>
            <w:vAlign w:val="bottom"/>
            <w:tcBorders>
              <w:top w:val="single" w:sz="8" w:color="D2EEF5"/>
            </w:tcBorders>
            <w:shd w:val="clear" w:color="auto" w:fill="D2EEF5"/>
          </w:tcPr>
          <w:p>
            <w:pPr>
              <w:spacing w:after="0"/>
              <w:rPr>
                <w:sz w:val="15"/>
                <w:szCs w:val="15"/>
                <w:color w:val="auto"/>
              </w:rPr>
            </w:pPr>
          </w:p>
        </w:tc>
        <w:tc>
          <w:tcPr>
            <w:tcW w:w="9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14,300,575</w:t>
            </w:r>
          </w:p>
        </w:tc>
        <w:tc>
          <w:tcPr>
            <w:tcW w:w="8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260" w:type="dxa"/>
            <w:vAlign w:val="bottom"/>
            <w:tcBorders>
              <w:top w:val="single" w:sz="8" w:color="auto"/>
              <w:bottom w:val="single" w:sz="8" w:color="auto"/>
            </w:tcBorders>
            <w:shd w:val="clear" w:color="auto" w:fill="D2EEF5"/>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1.45</w:t>
            </w:r>
          </w:p>
        </w:tc>
        <w:tc>
          <w:tcPr>
            <w:tcW w:w="160" w:type="dxa"/>
            <w:vAlign w:val="bottom"/>
            <w:tcBorders>
              <w:top w:val="single" w:sz="8" w:color="D2EEF5"/>
            </w:tcBorders>
            <w:shd w:val="clear" w:color="auto" w:fill="D2EEF5"/>
          </w:tcPr>
          <w:p>
            <w:pPr>
              <w:spacing w:after="0"/>
              <w:rPr>
                <w:sz w:val="15"/>
                <w:szCs w:val="15"/>
                <w:color w:val="auto"/>
              </w:rPr>
            </w:pPr>
          </w:p>
        </w:tc>
        <w:tc>
          <w:tcPr>
            <w:tcW w:w="240" w:type="dxa"/>
            <w:vAlign w:val="bottom"/>
            <w:tcBorders>
              <w:top w:val="single" w:sz="8" w:color="auto"/>
              <w:bottom w:val="single" w:sz="8" w:color="auto"/>
            </w:tcBorders>
            <w:shd w:val="clear" w:color="auto" w:fill="D2EEF5"/>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5,321</w:t>
            </w:r>
          </w:p>
        </w:tc>
        <w:tc>
          <w:tcPr>
            <w:tcW w:w="180" w:type="dxa"/>
            <w:vAlign w:val="bottom"/>
            <w:tcBorders>
              <w:top w:val="single" w:sz="8" w:color="D2EEF5"/>
            </w:tcBorders>
            <w:shd w:val="clear" w:color="auto" w:fill="D2EEF5"/>
          </w:tcPr>
          <w:p>
            <w:pPr>
              <w:spacing w:after="0"/>
              <w:rPr>
                <w:sz w:val="15"/>
                <w:szCs w:val="15"/>
                <w:color w:val="auto"/>
              </w:rPr>
            </w:pPr>
          </w:p>
        </w:tc>
        <w:tc>
          <w:tcPr>
            <w:tcW w:w="8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3.25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4"/>
        </w:trPr>
        <w:tc>
          <w:tcPr>
            <w:tcW w:w="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Arial" w:cs="Arial" w:eastAsia="Arial" w:hAnsi="Arial"/>
                <w:sz w:val="15"/>
                <w:szCs w:val="15"/>
                <w:color w:val="auto"/>
              </w:rPr>
              <w:t>145</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summary of the Company’s stock options granted and outstanding under the Company’s STIP as at December 31, 2024 is as follows: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Weighted average</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1"/>
              </w:rPr>
              <w:t>Number of Options</w:t>
            </w:r>
          </w:p>
        </w:tc>
        <w:tc>
          <w:tcPr>
            <w:tcW w:w="0" w:type="dxa"/>
            <w:vAlign w:val="bottom"/>
          </w:tcPr>
          <w:p>
            <w:pPr>
              <w:spacing w:after="0"/>
              <w:rPr>
                <w:sz w:val="1"/>
                <w:szCs w:val="1"/>
                <w:color w:val="auto"/>
              </w:rPr>
            </w:pPr>
          </w:p>
        </w:tc>
      </w:tr>
      <w:tr>
        <w:trPr>
          <w:trHeight w:val="126"/>
        </w:trPr>
        <w:tc>
          <w:tcPr>
            <w:tcW w:w="5920" w:type="dxa"/>
            <w:vAlign w:val="bottom"/>
            <w:vMerge w:val="restart"/>
          </w:tcPr>
          <w:p>
            <w:pPr>
              <w:spacing w:after="0"/>
              <w:rPr>
                <w:sz w:val="20"/>
                <w:szCs w:val="20"/>
                <w:color w:val="auto"/>
              </w:rPr>
            </w:pPr>
            <w:r>
              <w:rPr>
                <w:rFonts w:ascii="Arial" w:cs="Arial" w:eastAsia="Arial" w:hAnsi="Arial"/>
                <w:sz w:val="12"/>
                <w:szCs w:val="12"/>
                <w:b w:val="1"/>
                <w:bCs w:val="1"/>
                <w:color w:val="auto"/>
              </w:rPr>
              <w:t>Expiry Date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Exercise price</w:t>
            </w:r>
          </w:p>
        </w:tc>
        <w:tc>
          <w:tcPr>
            <w:tcW w:w="132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3"/>
              </w:rPr>
              <w:t>life to expiry</w:t>
            </w:r>
          </w:p>
        </w:tc>
        <w:tc>
          <w:tcPr>
            <w:tcW w:w="12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2"/>
              </w:rPr>
              <w:t>Outstanding and</w:t>
            </w:r>
          </w:p>
        </w:tc>
        <w:tc>
          <w:tcPr>
            <w:tcW w:w="0" w:type="dxa"/>
            <w:vAlign w:val="bottom"/>
          </w:tcPr>
          <w:p>
            <w:pPr>
              <w:spacing w:after="0"/>
              <w:rPr>
                <w:sz w:val="1"/>
                <w:szCs w:val="1"/>
                <w:color w:val="auto"/>
              </w:rPr>
            </w:pPr>
          </w:p>
        </w:tc>
      </w:tr>
      <w:tr>
        <w:trPr>
          <w:trHeight w:val="149"/>
        </w:trPr>
        <w:tc>
          <w:tcPr>
            <w:tcW w:w="5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(years)</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89"/>
              </w:rPr>
              <w:t>Exercisable</w:t>
            </w:r>
          </w:p>
        </w:tc>
        <w:tc>
          <w:tcPr>
            <w:tcW w:w="0" w:type="dxa"/>
            <w:vAlign w:val="bottom"/>
          </w:tcPr>
          <w:p>
            <w:pPr>
              <w:spacing w:after="0"/>
              <w:rPr>
                <w:sz w:val="1"/>
                <w:szCs w:val="1"/>
                <w:color w:val="auto"/>
              </w:rPr>
            </w:pPr>
          </w:p>
        </w:tc>
      </w:tr>
      <w:tr>
        <w:trPr>
          <w:trHeight w:val="174"/>
        </w:trPr>
        <w:tc>
          <w:tcPr>
            <w:tcW w:w="592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December 31, 2025</w:t>
            </w:r>
          </w:p>
        </w:tc>
        <w:tc>
          <w:tcPr>
            <w:tcW w:w="14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5"/>
              </w:rPr>
              <w:t>0.65</w:t>
            </w:r>
          </w:p>
        </w:tc>
        <w:tc>
          <w:tcPr>
            <w:tcW w:w="160" w:type="dxa"/>
            <w:vAlign w:val="bottom"/>
            <w:tcBorders>
              <w:top w:val="single" w:sz="8" w:color="D2EEF5"/>
            </w:tcBorders>
            <w:shd w:val="clear" w:color="auto" w:fill="D2EEF5"/>
          </w:tcPr>
          <w:p>
            <w:pPr>
              <w:spacing w:after="0"/>
              <w:rPr>
                <w:sz w:val="15"/>
                <w:szCs w:val="15"/>
                <w:color w:val="auto"/>
              </w:rPr>
            </w:pPr>
          </w:p>
        </w:tc>
        <w:tc>
          <w:tcPr>
            <w:tcW w:w="118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5"/>
              </w:rPr>
              <w:t>1.00</w:t>
            </w:r>
          </w:p>
        </w:tc>
        <w:tc>
          <w:tcPr>
            <w:tcW w:w="140" w:type="dxa"/>
            <w:vAlign w:val="bottom"/>
            <w:tcBorders>
              <w:top w:val="single" w:sz="8" w:color="D2EEF5"/>
            </w:tcBorders>
            <w:shd w:val="clear" w:color="auto" w:fill="D2EEF5"/>
          </w:tcPr>
          <w:p>
            <w:pPr>
              <w:spacing w:after="0"/>
              <w:rPr>
                <w:sz w:val="15"/>
                <w:szCs w:val="15"/>
                <w:color w:val="auto"/>
              </w:rPr>
            </w:pP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11,578</w:t>
            </w:r>
          </w:p>
        </w:tc>
        <w:tc>
          <w:tcPr>
            <w:tcW w:w="0" w:type="dxa"/>
            <w:vAlign w:val="bottom"/>
          </w:tcPr>
          <w:p>
            <w:pPr>
              <w:spacing w:after="0"/>
              <w:rPr>
                <w:sz w:val="1"/>
                <w:szCs w:val="1"/>
                <w:color w:val="auto"/>
              </w:rPr>
            </w:pPr>
          </w:p>
        </w:tc>
      </w:tr>
      <w:tr>
        <w:trPr>
          <w:trHeight w:val="183"/>
        </w:trPr>
        <w:tc>
          <w:tcPr>
            <w:tcW w:w="5920" w:type="dxa"/>
            <w:vAlign w:val="bottom"/>
          </w:tcPr>
          <w:p>
            <w:pPr>
              <w:spacing w:after="0"/>
              <w:rPr>
                <w:sz w:val="20"/>
                <w:szCs w:val="20"/>
                <w:color w:val="auto"/>
              </w:rPr>
            </w:pPr>
            <w:r>
              <w:rPr>
                <w:rFonts w:ascii="Arial" w:cs="Arial" w:eastAsia="Arial" w:hAnsi="Arial"/>
                <w:sz w:val="15"/>
                <w:szCs w:val="15"/>
                <w:color w:val="auto"/>
              </w:rPr>
              <w:t>January 27, 2026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92"/>
              </w:rPr>
              <w:t>0.52 - $2.59</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5"/>
              </w:rPr>
              <w:t>1.07</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590,509</w:t>
            </w:r>
          </w:p>
        </w:tc>
        <w:tc>
          <w:tcPr>
            <w:tcW w:w="0" w:type="dxa"/>
            <w:vAlign w:val="bottom"/>
          </w:tcPr>
          <w:p>
            <w:pPr>
              <w:spacing w:after="0"/>
              <w:rPr>
                <w:sz w:val="1"/>
                <w:szCs w:val="1"/>
                <w:color w:val="auto"/>
              </w:rPr>
            </w:pPr>
          </w:p>
        </w:tc>
      </w:tr>
      <w:tr>
        <w:trPr>
          <w:trHeight w:val="183"/>
        </w:trPr>
        <w:tc>
          <w:tcPr>
            <w:tcW w:w="5920" w:type="dxa"/>
            <w:vAlign w:val="bottom"/>
            <w:shd w:val="clear" w:color="auto" w:fill="D2EEF5"/>
          </w:tcPr>
          <w:p>
            <w:pPr>
              <w:spacing w:after="0"/>
              <w:rPr>
                <w:sz w:val="20"/>
                <w:szCs w:val="20"/>
                <w:color w:val="auto"/>
              </w:rPr>
            </w:pPr>
            <w:r>
              <w:rPr>
                <w:rFonts w:ascii="Arial" w:cs="Arial" w:eastAsia="Arial" w:hAnsi="Arial"/>
                <w:sz w:val="15"/>
                <w:szCs w:val="15"/>
                <w:color w:val="auto"/>
              </w:rPr>
              <w:t>February 2, 2026</w:t>
            </w:r>
          </w:p>
        </w:tc>
        <w:tc>
          <w:tcPr>
            <w:tcW w:w="26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5"/>
              </w:rPr>
              <w:t>0.65</w:t>
            </w:r>
          </w:p>
        </w:tc>
        <w:tc>
          <w:tcPr>
            <w:tcW w:w="160" w:type="dxa"/>
            <w:vAlign w:val="bottom"/>
            <w:shd w:val="clear" w:color="auto" w:fill="D2EEF5"/>
          </w:tcPr>
          <w:p>
            <w:pPr>
              <w:spacing w:after="0"/>
              <w:rPr>
                <w:sz w:val="15"/>
                <w:szCs w:val="15"/>
                <w:color w:val="auto"/>
              </w:rPr>
            </w:pPr>
          </w:p>
        </w:tc>
        <w:tc>
          <w:tcPr>
            <w:tcW w:w="118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5"/>
              </w:rPr>
              <w:t>1.09</w:t>
            </w:r>
          </w:p>
        </w:tc>
        <w:tc>
          <w:tcPr>
            <w:tcW w:w="14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57,893</w:t>
            </w:r>
          </w:p>
        </w:tc>
        <w:tc>
          <w:tcPr>
            <w:tcW w:w="0" w:type="dxa"/>
            <w:vAlign w:val="bottom"/>
          </w:tcPr>
          <w:p>
            <w:pPr>
              <w:spacing w:after="0"/>
              <w:rPr>
                <w:sz w:val="1"/>
                <w:szCs w:val="1"/>
                <w:color w:val="auto"/>
              </w:rPr>
            </w:pPr>
          </w:p>
        </w:tc>
      </w:tr>
      <w:tr>
        <w:trPr>
          <w:trHeight w:val="183"/>
        </w:trPr>
        <w:tc>
          <w:tcPr>
            <w:tcW w:w="5920" w:type="dxa"/>
            <w:vAlign w:val="bottom"/>
          </w:tcPr>
          <w:p>
            <w:pPr>
              <w:spacing w:after="0"/>
              <w:rPr>
                <w:sz w:val="20"/>
                <w:szCs w:val="20"/>
                <w:color w:val="auto"/>
              </w:rPr>
            </w:pPr>
            <w:r>
              <w:rPr>
                <w:rFonts w:ascii="Arial" w:cs="Arial" w:eastAsia="Arial" w:hAnsi="Arial"/>
                <w:sz w:val="15"/>
                <w:szCs w:val="15"/>
                <w:color w:val="auto"/>
              </w:rPr>
              <w:t>February 17, 2026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92"/>
              </w:rPr>
              <w:t>0.22 - $0.52</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5"/>
              </w:rPr>
              <w:t>1.13</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431,493</w:t>
            </w:r>
          </w:p>
        </w:tc>
        <w:tc>
          <w:tcPr>
            <w:tcW w:w="0" w:type="dxa"/>
            <w:vAlign w:val="bottom"/>
          </w:tcPr>
          <w:p>
            <w:pPr>
              <w:spacing w:after="0"/>
              <w:rPr>
                <w:sz w:val="1"/>
                <w:szCs w:val="1"/>
                <w:color w:val="auto"/>
              </w:rPr>
            </w:pPr>
          </w:p>
        </w:tc>
      </w:tr>
      <w:tr>
        <w:trPr>
          <w:trHeight w:val="183"/>
        </w:trPr>
        <w:tc>
          <w:tcPr>
            <w:tcW w:w="5920" w:type="dxa"/>
            <w:vAlign w:val="bottom"/>
            <w:shd w:val="clear" w:color="auto" w:fill="D2EEF5"/>
          </w:tcPr>
          <w:p>
            <w:pPr>
              <w:spacing w:after="0"/>
              <w:rPr>
                <w:sz w:val="20"/>
                <w:szCs w:val="20"/>
                <w:color w:val="auto"/>
              </w:rPr>
            </w:pPr>
            <w:r>
              <w:rPr>
                <w:rFonts w:ascii="Arial" w:cs="Arial" w:eastAsia="Arial" w:hAnsi="Arial"/>
                <w:sz w:val="15"/>
                <w:szCs w:val="15"/>
                <w:color w:val="auto"/>
              </w:rPr>
              <w:t>June 1, 2028</w:t>
            </w:r>
          </w:p>
        </w:tc>
        <w:tc>
          <w:tcPr>
            <w:tcW w:w="26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89"/>
              </w:rPr>
              <w:t>0.65 - $8.64</w:t>
            </w:r>
          </w:p>
        </w:tc>
        <w:tc>
          <w:tcPr>
            <w:tcW w:w="160" w:type="dxa"/>
            <w:vAlign w:val="bottom"/>
            <w:shd w:val="clear" w:color="auto" w:fill="D2EEF5"/>
          </w:tcPr>
          <w:p>
            <w:pPr>
              <w:spacing w:after="0"/>
              <w:rPr>
                <w:sz w:val="15"/>
                <w:szCs w:val="15"/>
                <w:color w:val="auto"/>
              </w:rPr>
            </w:pPr>
          </w:p>
        </w:tc>
        <w:tc>
          <w:tcPr>
            <w:tcW w:w="1180" w:type="dxa"/>
            <w:vAlign w:val="bottom"/>
            <w:shd w:val="clear" w:color="auto" w:fill="D2EEF5"/>
          </w:tcPr>
          <w:p>
            <w:pPr>
              <w:jc w:val="center"/>
              <w:spacing w:after="0"/>
              <w:rPr>
                <w:sz w:val="20"/>
                <w:szCs w:val="20"/>
                <w:color w:val="auto"/>
              </w:rPr>
            </w:pPr>
            <w:r>
              <w:rPr>
                <w:rFonts w:ascii="Arial" w:cs="Arial" w:eastAsia="Arial" w:hAnsi="Arial"/>
                <w:sz w:val="15"/>
                <w:szCs w:val="15"/>
                <w:color w:val="auto"/>
                <w:w w:val="95"/>
              </w:rPr>
              <w:t>3.42</w:t>
            </w:r>
          </w:p>
        </w:tc>
        <w:tc>
          <w:tcPr>
            <w:tcW w:w="14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12,514,385</w:t>
            </w:r>
          </w:p>
        </w:tc>
        <w:tc>
          <w:tcPr>
            <w:tcW w:w="0" w:type="dxa"/>
            <w:vAlign w:val="bottom"/>
          </w:tcPr>
          <w:p>
            <w:pPr>
              <w:spacing w:after="0"/>
              <w:rPr>
                <w:sz w:val="1"/>
                <w:szCs w:val="1"/>
                <w:color w:val="auto"/>
              </w:rPr>
            </w:pPr>
          </w:p>
        </w:tc>
      </w:tr>
      <w:tr>
        <w:trPr>
          <w:trHeight w:val="183"/>
        </w:trPr>
        <w:tc>
          <w:tcPr>
            <w:tcW w:w="592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June 30, 2028</w:t>
            </w:r>
          </w:p>
        </w:tc>
        <w:tc>
          <w:tcPr>
            <w:tcW w:w="260" w:type="dxa"/>
            <w:vAlign w:val="bottom"/>
            <w:tcBorders>
              <w:bottom w:val="single" w:sz="8" w:color="D2EEF5"/>
            </w:tcBorders>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D2EEF5"/>
            </w:tcBorders>
          </w:tcPr>
          <w:p>
            <w:pPr>
              <w:jc w:val="center"/>
              <w:spacing w:after="0"/>
              <w:rPr>
                <w:sz w:val="20"/>
                <w:szCs w:val="20"/>
                <w:color w:val="auto"/>
              </w:rPr>
            </w:pPr>
            <w:r>
              <w:rPr>
                <w:rFonts w:ascii="Arial" w:cs="Arial" w:eastAsia="Arial" w:hAnsi="Arial"/>
                <w:sz w:val="15"/>
                <w:szCs w:val="15"/>
                <w:color w:val="auto"/>
                <w:w w:val="95"/>
              </w:rPr>
              <w:t>2.59</w:t>
            </w:r>
          </w:p>
        </w:tc>
        <w:tc>
          <w:tcPr>
            <w:tcW w:w="160" w:type="dxa"/>
            <w:vAlign w:val="bottom"/>
            <w:tcBorders>
              <w:bottom w:val="single" w:sz="8" w:color="D2EEF5"/>
            </w:tcBorders>
          </w:tcPr>
          <w:p>
            <w:pPr>
              <w:spacing w:after="0"/>
              <w:rPr>
                <w:sz w:val="15"/>
                <w:szCs w:val="15"/>
                <w:color w:val="auto"/>
              </w:rPr>
            </w:pPr>
          </w:p>
        </w:tc>
        <w:tc>
          <w:tcPr>
            <w:tcW w:w="1180" w:type="dxa"/>
            <w:vAlign w:val="bottom"/>
            <w:tcBorders>
              <w:bottom w:val="single" w:sz="8" w:color="D2EEF5"/>
            </w:tcBorders>
          </w:tcPr>
          <w:p>
            <w:pPr>
              <w:jc w:val="center"/>
              <w:spacing w:after="0"/>
              <w:rPr>
                <w:sz w:val="20"/>
                <w:szCs w:val="20"/>
                <w:color w:val="auto"/>
              </w:rPr>
            </w:pPr>
            <w:r>
              <w:rPr>
                <w:rFonts w:ascii="Arial" w:cs="Arial" w:eastAsia="Arial" w:hAnsi="Arial"/>
                <w:sz w:val="15"/>
                <w:szCs w:val="15"/>
                <w:color w:val="auto"/>
                <w:w w:val="95"/>
              </w:rPr>
              <w:t>3.50</w:t>
            </w:r>
          </w:p>
        </w:tc>
        <w:tc>
          <w:tcPr>
            <w:tcW w:w="140" w:type="dxa"/>
            <w:vAlign w:val="bottom"/>
            <w:tcBorders>
              <w:bottom w:val="single" w:sz="8" w:color="D2EEF5"/>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694,717</w:t>
            </w:r>
          </w:p>
        </w:tc>
        <w:tc>
          <w:tcPr>
            <w:tcW w:w="0" w:type="dxa"/>
            <w:vAlign w:val="bottom"/>
          </w:tcPr>
          <w:p>
            <w:pPr>
              <w:spacing w:after="0"/>
              <w:rPr>
                <w:sz w:val="1"/>
                <w:szCs w:val="1"/>
                <w:color w:val="auto"/>
              </w:rPr>
            </w:pPr>
          </w:p>
        </w:tc>
      </w:tr>
      <w:tr>
        <w:trPr>
          <w:trHeight w:val="174"/>
        </w:trPr>
        <w:tc>
          <w:tcPr>
            <w:tcW w:w="5920" w:type="dxa"/>
            <w:vAlign w:val="bottom"/>
            <w:tcBorders>
              <w:bottom w:val="single" w:sz="8" w:color="D2EEF5"/>
            </w:tcBorders>
            <w:shd w:val="clear" w:color="auto" w:fill="D2EEF5"/>
          </w:tcPr>
          <w:p>
            <w:pPr>
              <w:spacing w:after="0"/>
              <w:rPr>
                <w:sz w:val="15"/>
                <w:szCs w:val="15"/>
                <w:color w:val="auto"/>
              </w:rPr>
            </w:pPr>
          </w:p>
        </w:tc>
        <w:tc>
          <w:tcPr>
            <w:tcW w:w="140" w:type="dxa"/>
            <w:vAlign w:val="bottom"/>
            <w:tcBorders>
              <w:bottom w:val="single" w:sz="8" w:color="D2EEF5"/>
            </w:tcBorders>
            <w:shd w:val="clear" w:color="auto" w:fill="D2EEF5"/>
          </w:tcPr>
          <w:p>
            <w:pPr>
              <w:spacing w:after="0"/>
              <w:rPr>
                <w:sz w:val="15"/>
                <w:szCs w:val="15"/>
                <w:color w:val="auto"/>
              </w:rPr>
            </w:pPr>
          </w:p>
        </w:tc>
        <w:tc>
          <w:tcPr>
            <w:tcW w:w="120" w:type="dxa"/>
            <w:vAlign w:val="bottom"/>
            <w:tcBorders>
              <w:bottom w:val="single" w:sz="8" w:color="D2EEF5"/>
            </w:tcBorders>
            <w:shd w:val="clear" w:color="auto" w:fill="D2EEF5"/>
          </w:tcPr>
          <w:p>
            <w:pPr>
              <w:spacing w:after="0"/>
              <w:rPr>
                <w:sz w:val="15"/>
                <w:szCs w:val="15"/>
                <w:color w:val="auto"/>
              </w:rPr>
            </w:pPr>
          </w:p>
        </w:tc>
        <w:tc>
          <w:tcPr>
            <w:tcW w:w="900" w:type="dxa"/>
            <w:vAlign w:val="bottom"/>
            <w:tcBorders>
              <w:bottom w:val="single" w:sz="8" w:color="D2EEF5"/>
            </w:tcBorders>
            <w:shd w:val="clear" w:color="auto" w:fill="D2EEF5"/>
          </w:tcPr>
          <w:p>
            <w:pPr>
              <w:spacing w:after="0"/>
              <w:rPr>
                <w:sz w:val="15"/>
                <w:szCs w:val="15"/>
                <w:color w:val="auto"/>
              </w:rPr>
            </w:pPr>
          </w:p>
        </w:tc>
        <w:tc>
          <w:tcPr>
            <w:tcW w:w="160" w:type="dxa"/>
            <w:vAlign w:val="bottom"/>
            <w:tcBorders>
              <w:bottom w:val="single" w:sz="8" w:color="D2EEF5"/>
            </w:tcBorders>
            <w:shd w:val="clear" w:color="auto" w:fill="D2EEF5"/>
          </w:tcPr>
          <w:p>
            <w:pPr>
              <w:spacing w:after="0"/>
              <w:rPr>
                <w:sz w:val="15"/>
                <w:szCs w:val="15"/>
                <w:color w:val="auto"/>
              </w:rPr>
            </w:pPr>
          </w:p>
        </w:tc>
        <w:tc>
          <w:tcPr>
            <w:tcW w:w="1180" w:type="dxa"/>
            <w:vAlign w:val="bottom"/>
            <w:tcBorders>
              <w:bottom w:val="single" w:sz="8" w:color="D2EEF5"/>
            </w:tcBorders>
            <w:shd w:val="clear" w:color="auto" w:fill="D2EEF5"/>
          </w:tcPr>
          <w:p>
            <w:pPr>
              <w:spacing w:after="0"/>
              <w:rPr>
                <w:sz w:val="15"/>
                <w:szCs w:val="15"/>
                <w:color w:val="auto"/>
              </w:rPr>
            </w:pPr>
          </w:p>
        </w:tc>
        <w:tc>
          <w:tcPr>
            <w:tcW w:w="140" w:type="dxa"/>
            <w:vAlign w:val="bottom"/>
            <w:tcBorders>
              <w:bottom w:val="single" w:sz="8" w:color="D2EEF5"/>
            </w:tcBorders>
            <w:shd w:val="clear" w:color="auto" w:fill="D2EEF5"/>
          </w:tcPr>
          <w:p>
            <w:pPr>
              <w:spacing w:after="0"/>
              <w:rPr>
                <w:sz w:val="15"/>
                <w:szCs w:val="15"/>
                <w:color w:val="auto"/>
              </w:rPr>
            </w:pPr>
          </w:p>
        </w:tc>
        <w:tc>
          <w:tcPr>
            <w:tcW w:w="1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14,300,575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The total grant date fair value of STIP stock options that vested during the year ended December 31, 2024, was $1 million. As at December 31, 2024, all the options are vested and the total unrecognized share-based compensation expense was $nil.</w:t>
      </w:r>
    </w:p>
    <w:p>
      <w:pPr>
        <w:spacing w:after="0" w:line="119"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As at December 31, 2024, the closing market price of the Company’s common shares is considered to be the fair value of the Company’s common share to determine the intrinsic value of outstanding stock options.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aggregate intrinsic value of stock options exercised during the year ended December 31, 2024, was $0.7 million.</w:t>
      </w:r>
    </w:p>
    <w:p>
      <w:pPr>
        <w:spacing w:after="0" w:line="193" w:lineRule="exact"/>
        <w:rPr>
          <w:sz w:val="20"/>
          <w:szCs w:val="20"/>
          <w:color w:val="auto"/>
        </w:rPr>
      </w:pPr>
    </w:p>
    <w:p>
      <w:pPr>
        <w:jc w:val="both"/>
        <w:ind w:left="360" w:right="80"/>
        <w:spacing w:after="0" w:line="305" w:lineRule="auto"/>
        <w:rPr>
          <w:sz w:val="20"/>
          <w:szCs w:val="20"/>
          <w:color w:val="auto"/>
        </w:rPr>
      </w:pPr>
      <w:r>
        <w:rPr>
          <w:rFonts w:ascii="Arial" w:cs="Arial" w:eastAsia="Arial" w:hAnsi="Arial"/>
          <w:sz w:val="14"/>
          <w:szCs w:val="14"/>
          <w:color w:val="auto"/>
        </w:rPr>
        <w:t>During the year, the Company recognized $47 thousand of share-based compensation expense for STIP stock options in the statement of loss and comprehensive loss (2023: $0.5 million) out of which share-based compensation expense related to exploration and evaluation activities amounted to $14 thousand (2023 - $0.2 million) and the share-based compensation expense recognized related to general and administrative matters amounted to $33 thousand (2023 - $0.3 million).</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Outstanding LTIPs under the 2018 plan: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On March 4, 2021, the Company granted 9,783,922 stock options as LTIP. These stock options have an exercise price of $0.65 per option and expire on June 1, 2028.</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LTIP awards vest as follows:</w:t>
      </w:r>
    </w:p>
    <w:p>
      <w:pPr>
        <w:spacing w:after="0" w:line="194" w:lineRule="exact"/>
        <w:rPr>
          <w:sz w:val="20"/>
          <w:szCs w:val="20"/>
          <w:color w:val="auto"/>
        </w:rPr>
      </w:pPr>
    </w:p>
    <w:p>
      <w:pPr>
        <w:ind w:left="920" w:hanging="268"/>
        <w:spacing w:after="0"/>
        <w:tabs>
          <w:tab w:leader="none" w:pos="9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Tranche 1 - 25% when the Company’s market capitalization equals $3 billion;</w:t>
      </w:r>
    </w:p>
    <w:p>
      <w:pPr>
        <w:spacing w:after="0" w:line="10" w:lineRule="exact"/>
        <w:rPr>
          <w:rFonts w:ascii="Arial" w:cs="Arial" w:eastAsia="Arial" w:hAnsi="Arial"/>
          <w:sz w:val="15"/>
          <w:szCs w:val="15"/>
          <w:color w:val="auto"/>
        </w:rPr>
      </w:pPr>
    </w:p>
    <w:p>
      <w:pPr>
        <w:ind w:left="920" w:hanging="268"/>
        <w:spacing w:after="0"/>
        <w:tabs>
          <w:tab w:leader="none" w:pos="9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Tranche 2 - 35% when the Company’s market capitalization equals $6 billion;</w:t>
      </w:r>
    </w:p>
    <w:p>
      <w:pPr>
        <w:spacing w:after="0" w:line="10" w:lineRule="exact"/>
        <w:rPr>
          <w:rFonts w:ascii="Arial" w:cs="Arial" w:eastAsia="Arial" w:hAnsi="Arial"/>
          <w:sz w:val="15"/>
          <w:szCs w:val="15"/>
          <w:color w:val="auto"/>
        </w:rPr>
      </w:pPr>
    </w:p>
    <w:p>
      <w:pPr>
        <w:ind w:left="920" w:hanging="268"/>
        <w:spacing w:after="0"/>
        <w:tabs>
          <w:tab w:leader="none" w:pos="9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Tranche 3 - 20% upon the date that the ISA grants an exploitation contract to the Company; and</w:t>
      </w:r>
    </w:p>
    <w:p>
      <w:pPr>
        <w:spacing w:after="0" w:line="10" w:lineRule="exact"/>
        <w:rPr>
          <w:rFonts w:ascii="Arial" w:cs="Arial" w:eastAsia="Arial" w:hAnsi="Arial"/>
          <w:sz w:val="15"/>
          <w:szCs w:val="15"/>
          <w:color w:val="auto"/>
        </w:rPr>
      </w:pPr>
    </w:p>
    <w:p>
      <w:pPr>
        <w:ind w:left="920" w:hanging="268"/>
        <w:spacing w:after="0"/>
        <w:tabs>
          <w:tab w:leader="none" w:pos="9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Tranche 4 - 20% upon the commencement of the first commercial production following the grant of the exploitation contract.</w:t>
      </w:r>
    </w:p>
    <w:p>
      <w:pPr>
        <w:spacing w:after="0" w:line="194"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expensed these awards ratably over the remaining service period.</w:t>
      </w:r>
    </w:p>
    <w:p>
      <w:pPr>
        <w:spacing w:after="0" w:line="141" w:lineRule="exact"/>
        <w:rPr>
          <w:sz w:val="20"/>
          <w:szCs w:val="20"/>
          <w:color w:val="auto"/>
        </w:rPr>
      </w:pPr>
    </w:p>
    <w:p>
      <w:pPr>
        <w:jc w:val="both"/>
        <w:ind w:left="360" w:right="80"/>
        <w:spacing w:after="0" w:line="269" w:lineRule="auto"/>
        <w:rPr>
          <w:sz w:val="20"/>
          <w:szCs w:val="20"/>
          <w:color w:val="auto"/>
        </w:rPr>
      </w:pPr>
      <w:r>
        <w:rPr>
          <w:rFonts w:ascii="Arial" w:cs="Arial" w:eastAsia="Arial" w:hAnsi="Arial"/>
          <w:sz w:val="15"/>
          <w:szCs w:val="15"/>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2024, no compensation expense related to the performance-based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100"/>
        <w:spacing w:after="0" w:line="299" w:lineRule="auto"/>
        <w:rPr>
          <w:sz w:val="20"/>
          <w:szCs w:val="20"/>
          <w:color w:val="auto"/>
        </w:rPr>
      </w:pPr>
      <w:r>
        <w:rPr>
          <w:rFonts w:ascii="Arial" w:cs="Arial" w:eastAsia="Arial" w:hAnsi="Arial"/>
          <w:sz w:val="15"/>
          <w:szCs w:val="15"/>
          <w:color w:val="auto"/>
        </w:rPr>
        <w:t>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19" w:lineRule="exact"/>
        <w:rPr>
          <w:sz w:val="20"/>
          <w:szCs w:val="20"/>
          <w:color w:val="auto"/>
        </w:rPr>
      </w:pPr>
    </w:p>
    <w:p>
      <w:pPr>
        <w:jc w:val="both"/>
        <w:ind w:left="360" w:right="100"/>
        <w:spacing w:after="0" w:line="305" w:lineRule="auto"/>
        <w:rPr>
          <w:sz w:val="20"/>
          <w:szCs w:val="20"/>
          <w:color w:val="auto"/>
        </w:rPr>
      </w:pPr>
      <w:r>
        <w:rPr>
          <w:rFonts w:ascii="Arial" w:cs="Arial" w:eastAsia="Arial" w:hAnsi="Arial"/>
          <w:sz w:val="14"/>
          <w:szCs w:val="14"/>
          <w:color w:val="auto"/>
        </w:rPr>
        <w:t>The aggregate intrinsic value of LTIP stock options as at December 31, 2024, was $4.5 million. An aggregate 139,048 LTIP stock options were forfeited during 2024 and as at December 31, 2024, none of the LTIP stock options were exercisable. The Company expects LTIP options to vest as and when the market and performance milestones described below are achieved. As at December 31, 2024, an aggregate of 9,644,875 LTIP stock options were outstanding.</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at December 31, 2024, total unrecognized share-based compensation expense for the LTIP stock options was $23 million.</w:t>
      </w:r>
    </w:p>
    <w:p>
      <w:pPr>
        <w:spacing w:after="0" w:line="194"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In 2024, the Company reversed $0.6 million of previously recognized share-based compensation expense to record the forfeiture of unvested LTIP stock options in the statement of loss and comprehensive loss (2023: $nil), evenly apportioned between exploration and evaluation expenses (Note 10) and general and administration expenses.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Restricted Share Units</w:t>
      </w:r>
    </w:p>
    <w:p>
      <w:pPr>
        <w:spacing w:after="0" w:line="192" w:lineRule="exact"/>
        <w:rPr>
          <w:sz w:val="20"/>
          <w:szCs w:val="20"/>
          <w:color w:val="auto"/>
        </w:rPr>
      </w:pPr>
    </w:p>
    <w:p>
      <w:pPr>
        <w:ind w:left="360" w:right="140"/>
        <w:spacing w:after="0" w:line="382" w:lineRule="auto"/>
        <w:rPr>
          <w:sz w:val="20"/>
          <w:szCs w:val="20"/>
          <w:color w:val="auto"/>
        </w:rPr>
      </w:pPr>
      <w:r>
        <w:rPr>
          <w:rFonts w:ascii="Arial" w:cs="Arial" w:eastAsia="Arial" w:hAnsi="Arial"/>
          <w:sz w:val="13"/>
          <w:szCs w:val="13"/>
          <w:color w:val="auto"/>
        </w:rPr>
        <w:t>The Company may, from time to time, grant RSUs to directors, officers, employees, and consultants of the Company and its subsidiaries under the Plan. On each vesting date, RSU holders are issued common shares equivalent to the number of RSUs held provided the holder is providing service to the Company on such vesting date.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summary of the RSU activity in 2024 is presented in the table below:</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9"/>
              <w:spacing w:after="0"/>
              <w:rPr>
                <w:sz w:val="20"/>
                <w:szCs w:val="20"/>
                <w:color w:val="auto"/>
              </w:rPr>
            </w:pPr>
            <w:r>
              <w:rPr>
                <w:rFonts w:ascii="Arial" w:cs="Arial" w:eastAsia="Arial" w:hAnsi="Arial"/>
                <w:sz w:val="12"/>
                <w:szCs w:val="12"/>
                <w:b w:val="1"/>
                <w:bCs w:val="1"/>
                <w:color w:val="auto"/>
                <w:w w:val="94"/>
              </w:rPr>
              <w:t>Number of RSUs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ind w:left="52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gridSpan w:val="2"/>
          </w:tcPr>
          <w:p>
            <w:pPr>
              <w:jc w:val="right"/>
              <w:ind w:right="580"/>
              <w:spacing w:after="0" w:line="126" w:lineRule="exact"/>
              <w:rPr>
                <w:sz w:val="20"/>
                <w:szCs w:val="20"/>
                <w:color w:val="auto"/>
              </w:rPr>
            </w:pPr>
            <w:r>
              <w:rPr>
                <w:rFonts w:ascii="Arial" w:cs="Arial" w:eastAsia="Arial" w:hAnsi="Arial"/>
                <w:sz w:val="12"/>
                <w:szCs w:val="12"/>
                <w:b w:val="1"/>
                <w:bCs w:val="1"/>
                <w:color w:val="auto"/>
              </w:rPr>
              <w:t>average grant-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Outstanding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date fair value</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78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Outstanding – December 31, 2022</w:t>
            </w:r>
          </w:p>
        </w:tc>
        <w:tc>
          <w:tcPr>
            <w:tcW w:w="2220" w:type="dxa"/>
            <w:vAlign w:val="bottom"/>
            <w:tcBorders>
              <w:top w:val="single" w:sz="8" w:color="D2EEF5"/>
            </w:tcBorders>
            <w:shd w:val="clear" w:color="auto" w:fill="D2EEF5"/>
          </w:tcPr>
          <w:p>
            <w:pPr>
              <w:spacing w:after="0"/>
              <w:rPr>
                <w:sz w:val="15"/>
                <w:szCs w:val="15"/>
                <w:color w:val="auto"/>
              </w:rPr>
            </w:pPr>
          </w:p>
        </w:tc>
        <w:tc>
          <w:tcPr>
            <w:tcW w:w="1240" w:type="dxa"/>
            <w:vAlign w:val="bottom"/>
            <w:tcBorders>
              <w:top w:val="single" w:sz="8" w:color="auto"/>
            </w:tcBorders>
            <w:gridSpan w:val="3"/>
            <w:shd w:val="clear" w:color="auto" w:fill="D2EEF5"/>
          </w:tcPr>
          <w:p>
            <w:pPr>
              <w:jc w:val="right"/>
              <w:spacing w:after="0"/>
              <w:rPr>
                <w:sz w:val="20"/>
                <w:szCs w:val="20"/>
                <w:color w:val="auto"/>
              </w:rPr>
            </w:pPr>
            <w:r>
              <w:rPr>
                <w:rFonts w:ascii="Arial" w:cs="Arial" w:eastAsia="Arial" w:hAnsi="Arial"/>
                <w:sz w:val="15"/>
                <w:szCs w:val="15"/>
                <w:color w:val="auto"/>
              </w:rPr>
              <w:t>3,815,143</w:t>
            </w:r>
          </w:p>
        </w:tc>
        <w:tc>
          <w:tcPr>
            <w:tcW w:w="20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D2EEF5"/>
          </w:tcPr>
          <w:p>
            <w:pPr>
              <w:spacing w:after="0"/>
              <w:rPr>
                <w:sz w:val="15"/>
                <w:szCs w:val="15"/>
                <w:color w:val="auto"/>
              </w:rPr>
            </w:pPr>
          </w:p>
        </w:tc>
        <w:tc>
          <w:tcPr>
            <w:tcW w:w="10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2.75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Granted</w:t>
            </w:r>
          </w:p>
        </w:tc>
        <w:tc>
          <w:tcPr>
            <w:tcW w:w="3460" w:type="dxa"/>
            <w:vAlign w:val="bottom"/>
            <w:gridSpan w:val="4"/>
          </w:tcPr>
          <w:p>
            <w:pPr>
              <w:jc w:val="right"/>
              <w:spacing w:after="0"/>
              <w:rPr>
                <w:sz w:val="20"/>
                <w:szCs w:val="20"/>
                <w:color w:val="auto"/>
              </w:rPr>
            </w:pPr>
            <w:r>
              <w:rPr>
                <w:rFonts w:ascii="Arial" w:cs="Arial" w:eastAsia="Arial" w:hAnsi="Arial"/>
                <w:sz w:val="15"/>
                <w:szCs w:val="15"/>
                <w:color w:val="auto"/>
              </w:rPr>
              <w:t>13,669,185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0.92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shd w:val="clear" w:color="auto" w:fill="D2EEF5"/>
          </w:tcPr>
          <w:p>
            <w:pPr>
              <w:spacing w:after="0"/>
              <w:rPr>
                <w:sz w:val="20"/>
                <w:szCs w:val="20"/>
                <w:color w:val="auto"/>
              </w:rPr>
            </w:pPr>
            <w:r>
              <w:rPr>
                <w:rFonts w:ascii="Arial" w:cs="Arial" w:eastAsia="Arial" w:hAnsi="Arial"/>
                <w:sz w:val="15"/>
                <w:szCs w:val="15"/>
                <w:color w:val="auto"/>
              </w:rPr>
              <w:t>Forfeited</w:t>
            </w:r>
          </w:p>
        </w:tc>
        <w:tc>
          <w:tcPr>
            <w:tcW w:w="3460" w:type="dxa"/>
            <w:vAlign w:val="bottom"/>
            <w:gridSpan w:val="4"/>
            <w:shd w:val="clear" w:color="auto" w:fill="D2EEF5"/>
          </w:tcPr>
          <w:p>
            <w:pPr>
              <w:jc w:val="right"/>
              <w:spacing w:after="0"/>
              <w:rPr>
                <w:sz w:val="20"/>
                <w:szCs w:val="20"/>
                <w:color w:val="auto"/>
              </w:rPr>
            </w:pPr>
            <w:r>
              <w:rPr>
                <w:rFonts w:ascii="Arial" w:cs="Arial" w:eastAsia="Arial" w:hAnsi="Arial"/>
                <w:sz w:val="15"/>
                <w:szCs w:val="15"/>
                <w:color w:val="auto"/>
              </w:rPr>
              <w:t>(86,700)</w:t>
            </w:r>
          </w:p>
        </w:tc>
        <w:tc>
          <w:tcPr>
            <w:tcW w:w="20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0.96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Exercised</w:t>
            </w:r>
          </w:p>
        </w:tc>
        <w:tc>
          <w:tcPr>
            <w:tcW w:w="3460" w:type="dxa"/>
            <w:vAlign w:val="bottom"/>
            <w:gridSpan w:val="4"/>
          </w:tcPr>
          <w:p>
            <w:pPr>
              <w:jc w:val="right"/>
              <w:spacing w:after="0"/>
              <w:rPr>
                <w:sz w:val="20"/>
                <w:szCs w:val="20"/>
                <w:color w:val="auto"/>
              </w:rPr>
            </w:pPr>
            <w:r>
              <w:rPr>
                <w:rFonts w:ascii="Arial" w:cs="Arial" w:eastAsia="Arial" w:hAnsi="Arial"/>
                <w:sz w:val="15"/>
                <w:szCs w:val="15"/>
                <w:color w:val="auto"/>
              </w:rPr>
              <w:t>(4,912,748)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78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Outstanding – December 31, 2023</w:t>
            </w:r>
          </w:p>
        </w:tc>
        <w:tc>
          <w:tcPr>
            <w:tcW w:w="2220" w:type="dxa"/>
            <w:vAlign w:val="bottom"/>
            <w:tcBorders>
              <w:top w:val="single" w:sz="8" w:color="D2EEF5"/>
            </w:tcBorders>
            <w:shd w:val="clear" w:color="auto" w:fill="D2EEF5"/>
          </w:tcPr>
          <w:p>
            <w:pPr>
              <w:spacing w:after="0"/>
              <w:rPr>
                <w:sz w:val="15"/>
                <w:szCs w:val="15"/>
                <w:color w:val="auto"/>
              </w:rPr>
            </w:pPr>
          </w:p>
        </w:tc>
        <w:tc>
          <w:tcPr>
            <w:tcW w:w="1240" w:type="dxa"/>
            <w:vAlign w:val="bottom"/>
            <w:tcBorders>
              <w:top w:val="single" w:sz="8" w:color="auto"/>
            </w:tcBorders>
            <w:gridSpan w:val="3"/>
            <w:shd w:val="clear" w:color="auto" w:fill="D2EEF5"/>
          </w:tcPr>
          <w:p>
            <w:pPr>
              <w:jc w:val="right"/>
              <w:spacing w:after="0"/>
              <w:rPr>
                <w:sz w:val="20"/>
                <w:szCs w:val="20"/>
                <w:color w:val="auto"/>
              </w:rPr>
            </w:pPr>
            <w:r>
              <w:rPr>
                <w:rFonts w:ascii="Arial" w:cs="Arial" w:eastAsia="Arial" w:hAnsi="Arial"/>
                <w:sz w:val="15"/>
                <w:szCs w:val="15"/>
                <w:color w:val="auto"/>
              </w:rPr>
              <w:t>12,484,880</w:t>
            </w:r>
          </w:p>
        </w:tc>
        <w:tc>
          <w:tcPr>
            <w:tcW w:w="20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D2EEF5"/>
          </w:tcPr>
          <w:p>
            <w:pPr>
              <w:spacing w:after="0"/>
              <w:rPr>
                <w:sz w:val="15"/>
                <w:szCs w:val="15"/>
                <w:color w:val="auto"/>
              </w:rPr>
            </w:pPr>
          </w:p>
        </w:tc>
        <w:tc>
          <w:tcPr>
            <w:tcW w:w="10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1.23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Granted</w:t>
            </w:r>
          </w:p>
        </w:tc>
        <w:tc>
          <w:tcPr>
            <w:tcW w:w="3460" w:type="dxa"/>
            <w:vAlign w:val="bottom"/>
            <w:gridSpan w:val="4"/>
          </w:tcPr>
          <w:p>
            <w:pPr>
              <w:jc w:val="right"/>
              <w:spacing w:after="0"/>
              <w:rPr>
                <w:sz w:val="20"/>
                <w:szCs w:val="20"/>
                <w:color w:val="auto"/>
              </w:rPr>
            </w:pPr>
            <w:r>
              <w:rPr>
                <w:rFonts w:ascii="Arial" w:cs="Arial" w:eastAsia="Arial" w:hAnsi="Arial"/>
                <w:sz w:val="15"/>
                <w:szCs w:val="15"/>
                <w:b w:val="1"/>
                <w:bCs w:val="1"/>
                <w:color w:val="auto"/>
              </w:rPr>
              <w:t>33,079,041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shd w:val="clear" w:color="auto" w:fill="D2EEF5"/>
          </w:tcPr>
          <w:p>
            <w:pPr>
              <w:spacing w:after="0"/>
              <w:rPr>
                <w:sz w:val="20"/>
                <w:szCs w:val="20"/>
                <w:color w:val="auto"/>
              </w:rPr>
            </w:pPr>
            <w:r>
              <w:rPr>
                <w:rFonts w:ascii="Arial" w:cs="Arial" w:eastAsia="Arial" w:hAnsi="Arial"/>
                <w:sz w:val="15"/>
                <w:szCs w:val="15"/>
                <w:color w:val="auto"/>
              </w:rPr>
              <w:t>Forfeited</w:t>
            </w:r>
          </w:p>
        </w:tc>
        <w:tc>
          <w:tcPr>
            <w:tcW w:w="3460" w:type="dxa"/>
            <w:vAlign w:val="bottom"/>
            <w:gridSpan w:val="4"/>
            <w:shd w:val="clear" w:color="auto" w:fill="D2EEF5"/>
          </w:tcPr>
          <w:p>
            <w:pPr>
              <w:jc w:val="right"/>
              <w:spacing w:after="0"/>
              <w:rPr>
                <w:sz w:val="20"/>
                <w:szCs w:val="20"/>
                <w:color w:val="auto"/>
              </w:rPr>
            </w:pPr>
            <w:r>
              <w:rPr>
                <w:rFonts w:ascii="Arial" w:cs="Arial" w:eastAsia="Arial" w:hAnsi="Arial"/>
                <w:sz w:val="15"/>
                <w:szCs w:val="15"/>
                <w:b w:val="1"/>
                <w:bCs w:val="1"/>
                <w:color w:val="auto"/>
              </w:rPr>
              <w:t>(516,685)</w:t>
            </w:r>
          </w:p>
        </w:tc>
        <w:tc>
          <w:tcPr>
            <w:tcW w:w="20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1.45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Exercised</w:t>
            </w:r>
          </w:p>
        </w:tc>
        <w:tc>
          <w:tcPr>
            <w:tcW w:w="3460" w:type="dxa"/>
            <w:vAlign w:val="bottom"/>
            <w:gridSpan w:val="4"/>
          </w:tcPr>
          <w:p>
            <w:pPr>
              <w:jc w:val="right"/>
              <w:spacing w:after="0"/>
              <w:rPr>
                <w:sz w:val="20"/>
                <w:szCs w:val="20"/>
                <w:color w:val="auto"/>
              </w:rPr>
            </w:pPr>
            <w:r>
              <w:rPr>
                <w:rFonts w:ascii="Arial" w:cs="Arial" w:eastAsia="Arial" w:hAnsi="Arial"/>
                <w:sz w:val="15"/>
                <w:szCs w:val="15"/>
                <w:b w:val="1"/>
                <w:bCs w:val="1"/>
                <w:color w:val="auto"/>
              </w:rPr>
              <w:t>(10,734,581)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1.39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78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Outstanding – December 31, 2024</w:t>
            </w:r>
          </w:p>
        </w:tc>
        <w:tc>
          <w:tcPr>
            <w:tcW w:w="2220" w:type="dxa"/>
            <w:vAlign w:val="bottom"/>
            <w:tcBorders>
              <w:top w:val="single" w:sz="8" w:color="D2EEF5"/>
            </w:tcBorders>
            <w:shd w:val="clear" w:color="auto" w:fill="D2EEF5"/>
          </w:tcPr>
          <w:p>
            <w:pPr>
              <w:spacing w:after="0"/>
              <w:rPr>
                <w:sz w:val="15"/>
                <w:szCs w:val="15"/>
                <w:color w:val="auto"/>
              </w:rPr>
            </w:pPr>
          </w:p>
        </w:tc>
        <w:tc>
          <w:tcPr>
            <w:tcW w:w="1240" w:type="dxa"/>
            <w:vAlign w:val="bottom"/>
            <w:tcBorders>
              <w:top w:val="single" w:sz="8" w:color="auto"/>
              <w:bottom w:val="single" w:sz="8" w:color="auto"/>
            </w:tcBorders>
            <w:gridSpan w:val="3"/>
            <w:shd w:val="clear" w:color="auto" w:fill="D2EEF5"/>
          </w:tcPr>
          <w:p>
            <w:pPr>
              <w:jc w:val="right"/>
              <w:spacing w:after="0"/>
              <w:rPr>
                <w:sz w:val="20"/>
                <w:szCs w:val="20"/>
                <w:color w:val="auto"/>
              </w:rPr>
            </w:pPr>
            <w:r>
              <w:rPr>
                <w:rFonts w:ascii="Arial" w:cs="Arial" w:eastAsia="Arial" w:hAnsi="Arial"/>
                <w:sz w:val="15"/>
                <w:szCs w:val="15"/>
                <w:b w:val="1"/>
                <w:bCs w:val="1"/>
                <w:color w:val="auto"/>
              </w:rPr>
              <w:t>34,312,655</w:t>
            </w:r>
          </w:p>
        </w:tc>
        <w:tc>
          <w:tcPr>
            <w:tcW w:w="20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D2EEF5"/>
          </w:tcPr>
          <w:p>
            <w:pPr>
              <w:spacing w:after="0"/>
              <w:rPr>
                <w:sz w:val="15"/>
                <w:szCs w:val="15"/>
                <w:color w:val="auto"/>
              </w:rPr>
            </w:pPr>
          </w:p>
        </w:tc>
        <w:tc>
          <w:tcPr>
            <w:tcW w:w="10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1.12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060" w:type="dxa"/>
            <w:vAlign w:val="bottom"/>
            <w:gridSpan w:val="2"/>
          </w:tcPr>
          <w:p>
            <w:pPr>
              <w:ind w:left="280"/>
              <w:spacing w:after="0"/>
              <w:rPr>
                <w:sz w:val="20"/>
                <w:szCs w:val="20"/>
                <w:color w:val="auto"/>
              </w:rPr>
            </w:pPr>
            <w:r>
              <w:rPr>
                <w:rFonts w:ascii="Arial" w:cs="Arial" w:eastAsia="Arial" w:hAnsi="Arial"/>
                <w:sz w:val="15"/>
                <w:szCs w:val="15"/>
                <w:color w:val="auto"/>
                <w:w w:val="94"/>
              </w:rPr>
              <w:t>The details of RSUs granted by the Company during the year are as follows:</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060" w:type="dxa"/>
            <w:vAlign w:val="bottom"/>
            <w:gridSpan w:val="2"/>
          </w:tcPr>
          <w:p>
            <w:pPr>
              <w:ind w:left="280"/>
              <w:spacing w:after="0"/>
              <w:rPr>
                <w:sz w:val="20"/>
                <w:szCs w:val="20"/>
                <w:color w:val="auto"/>
              </w:rPr>
            </w:pPr>
            <w:r>
              <w:rPr>
                <w:rFonts w:ascii="Arial" w:cs="Arial" w:eastAsia="Arial" w:hAnsi="Arial"/>
                <w:sz w:val="12"/>
                <w:szCs w:val="12"/>
                <w:b w:val="1"/>
                <w:bCs w:val="1"/>
                <w:color w:val="auto"/>
              </w:rPr>
              <w:t>Vesting Period</w:t>
            </w:r>
          </w:p>
        </w:tc>
        <w:tc>
          <w:tcPr>
            <w:tcW w:w="3740" w:type="dxa"/>
            <w:vAlign w:val="bottom"/>
            <w:gridSpan w:val="6"/>
          </w:tcPr>
          <w:p>
            <w:pPr>
              <w:jc w:val="right"/>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780" w:type="dxa"/>
            <w:vAlign w:val="bottom"/>
            <w:tcBorders>
              <w:top w:val="single" w:sz="8" w:color="auto"/>
            </w:tcBorders>
            <w:shd w:val="clear" w:color="auto" w:fill="D2EEF5"/>
          </w:tcPr>
          <w:p>
            <w:pPr>
              <w:spacing w:after="0" w:line="175" w:lineRule="exact"/>
              <w:rPr>
                <w:sz w:val="20"/>
                <w:szCs w:val="20"/>
                <w:color w:val="auto"/>
              </w:rPr>
            </w:pPr>
            <w:r>
              <w:rPr>
                <w:rFonts w:ascii="Arial" w:cs="Arial" w:eastAsia="Arial" w:hAnsi="Arial"/>
                <w:sz w:val="14"/>
                <w:szCs w:val="14"/>
                <w:color w:val="auto"/>
              </w:rPr>
              <w:t xml:space="preserve">Vesting Immediately </w:t>
            </w:r>
            <w:r>
              <w:rPr>
                <w:rFonts w:ascii="Arial" w:cs="Arial" w:eastAsia="Arial" w:hAnsi="Arial"/>
                <w:sz w:val="20"/>
                <w:szCs w:val="20"/>
                <w:color w:val="auto"/>
                <w:vertAlign w:val="superscript"/>
              </w:rPr>
              <w:t>(1)</w:t>
            </w:r>
          </w:p>
        </w:tc>
        <w:tc>
          <w:tcPr>
            <w:tcW w:w="2460" w:type="dxa"/>
            <w:vAlign w:val="bottom"/>
            <w:tcBorders>
              <w:top w:val="single" w:sz="8" w:color="auto"/>
            </w:tcBorders>
            <w:gridSpan w:val="2"/>
            <w:shd w:val="clear" w:color="auto" w:fill="D2EEF5"/>
          </w:tcPr>
          <w:p>
            <w:pPr>
              <w:spacing w:after="0"/>
              <w:rPr>
                <w:sz w:val="15"/>
                <w:szCs w:val="15"/>
                <w:color w:val="auto"/>
              </w:rPr>
            </w:pPr>
          </w:p>
        </w:tc>
        <w:tc>
          <w:tcPr>
            <w:tcW w:w="220" w:type="dxa"/>
            <w:vAlign w:val="bottom"/>
            <w:tcBorders>
              <w:top w:val="single" w:sz="8" w:color="D2EEF5"/>
            </w:tcBorders>
            <w:shd w:val="clear" w:color="auto" w:fill="D2EEF5"/>
          </w:tcPr>
          <w:p>
            <w:pPr>
              <w:spacing w:after="0"/>
              <w:rPr>
                <w:sz w:val="15"/>
                <w:szCs w:val="15"/>
                <w:color w:val="auto"/>
              </w:rPr>
            </w:pPr>
          </w:p>
        </w:tc>
        <w:tc>
          <w:tcPr>
            <w:tcW w:w="1060" w:type="dxa"/>
            <w:vAlign w:val="bottom"/>
            <w:tcBorders>
              <w:top w:val="single" w:sz="8" w:color="auto"/>
            </w:tcBorders>
            <w:gridSpan w:val="3"/>
            <w:shd w:val="clear" w:color="auto" w:fill="D2EEF5"/>
          </w:tcPr>
          <w:p>
            <w:pPr>
              <w:jc w:val="right"/>
              <w:spacing w:after="0"/>
              <w:rPr>
                <w:sz w:val="20"/>
                <w:szCs w:val="20"/>
                <w:color w:val="auto"/>
              </w:rPr>
            </w:pPr>
            <w:r>
              <w:rPr>
                <w:rFonts w:ascii="Arial" w:cs="Arial" w:eastAsia="Arial" w:hAnsi="Arial"/>
                <w:sz w:val="15"/>
                <w:szCs w:val="15"/>
                <w:b w:val="1"/>
                <w:bCs w:val="1"/>
                <w:color w:val="auto"/>
              </w:rPr>
              <w:t>4,538,922</w:t>
            </w:r>
          </w:p>
        </w:tc>
        <w:tc>
          <w:tcPr>
            <w:tcW w:w="220" w:type="dxa"/>
            <w:vAlign w:val="bottom"/>
            <w:tcBorders>
              <w:top w:val="single" w:sz="8" w:color="D2EEF5"/>
            </w:tcBorders>
            <w:shd w:val="clear" w:color="auto" w:fill="D2EEF5"/>
          </w:tcPr>
          <w:p>
            <w:pPr>
              <w:spacing w:after="0"/>
              <w:rPr>
                <w:sz w:val="15"/>
                <w:szCs w:val="15"/>
                <w:color w:val="auto"/>
              </w:rPr>
            </w:pPr>
          </w:p>
        </w:tc>
        <w:tc>
          <w:tcPr>
            <w:tcW w:w="10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3,561,078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tcPr>
          <w:p>
            <w:pPr>
              <w:spacing w:after="0" w:line="183" w:lineRule="exact"/>
              <w:rPr>
                <w:sz w:val="20"/>
                <w:szCs w:val="20"/>
                <w:color w:val="auto"/>
              </w:rPr>
            </w:pPr>
            <w:r>
              <w:rPr>
                <w:rFonts w:ascii="Arial" w:cs="Arial" w:eastAsia="Arial" w:hAnsi="Arial"/>
                <w:sz w:val="15"/>
                <w:szCs w:val="15"/>
                <w:color w:val="auto"/>
              </w:rPr>
              <w:t xml:space="preserve">Vesting fully on the first anniversary of the grant date </w:t>
            </w:r>
            <w:r>
              <w:rPr>
                <w:rFonts w:ascii="Arial" w:cs="Arial" w:eastAsia="Arial" w:hAnsi="Arial"/>
                <w:sz w:val="21"/>
                <w:szCs w:val="21"/>
                <w:color w:val="auto"/>
                <w:vertAlign w:val="superscript"/>
              </w:rPr>
              <w:t>(2)</w:t>
            </w:r>
          </w:p>
        </w:tc>
        <w:tc>
          <w:tcPr>
            <w:tcW w:w="3740" w:type="dxa"/>
            <w:vAlign w:val="bottom"/>
            <w:gridSpan w:val="6"/>
          </w:tcPr>
          <w:p>
            <w:pPr>
              <w:jc w:val="right"/>
              <w:spacing w:after="0"/>
              <w:rPr>
                <w:sz w:val="20"/>
                <w:szCs w:val="20"/>
                <w:color w:val="auto"/>
              </w:rPr>
            </w:pPr>
            <w:r>
              <w:rPr>
                <w:rFonts w:ascii="Arial" w:cs="Arial" w:eastAsia="Arial" w:hAnsi="Arial"/>
                <w:sz w:val="15"/>
                <w:szCs w:val="15"/>
                <w:b w:val="1"/>
                <w:bCs w:val="1"/>
                <w:color w:val="auto"/>
              </w:rPr>
              <w:t>493,430</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1,014,349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shd w:val="clear" w:color="auto" w:fill="D2EEF5"/>
          </w:tcPr>
          <w:p>
            <w:pPr>
              <w:spacing w:after="0" w:line="183" w:lineRule="exact"/>
              <w:rPr>
                <w:sz w:val="20"/>
                <w:szCs w:val="20"/>
                <w:color w:val="auto"/>
              </w:rPr>
            </w:pPr>
            <w:r>
              <w:rPr>
                <w:rFonts w:ascii="Arial" w:cs="Arial" w:eastAsia="Arial" w:hAnsi="Arial"/>
                <w:sz w:val="15"/>
                <w:szCs w:val="15"/>
                <w:color w:val="auto"/>
              </w:rPr>
              <w:t xml:space="preserve">Vesting in thirds on each anniversary of the grant date </w:t>
            </w:r>
            <w:r>
              <w:rPr>
                <w:rFonts w:ascii="Arial" w:cs="Arial" w:eastAsia="Arial" w:hAnsi="Arial"/>
                <w:sz w:val="21"/>
                <w:szCs w:val="21"/>
                <w:color w:val="auto"/>
                <w:vertAlign w:val="superscript"/>
              </w:rPr>
              <w:t>(3)</w:t>
            </w:r>
          </w:p>
        </w:tc>
        <w:tc>
          <w:tcPr>
            <w:tcW w:w="3740" w:type="dxa"/>
            <w:vAlign w:val="bottom"/>
            <w:gridSpan w:val="6"/>
            <w:shd w:val="clear" w:color="auto" w:fill="D2EEF5"/>
          </w:tcPr>
          <w:p>
            <w:pPr>
              <w:jc w:val="right"/>
              <w:spacing w:after="0"/>
              <w:rPr>
                <w:sz w:val="20"/>
                <w:szCs w:val="20"/>
                <w:color w:val="auto"/>
              </w:rPr>
            </w:pPr>
            <w:r>
              <w:rPr>
                <w:rFonts w:ascii="Arial" w:cs="Arial" w:eastAsia="Arial" w:hAnsi="Arial"/>
                <w:sz w:val="15"/>
                <w:szCs w:val="15"/>
                <w:b w:val="1"/>
                <w:bCs w:val="1"/>
                <w:color w:val="auto"/>
              </w:rPr>
              <w:t>7,212,374</w:t>
            </w:r>
          </w:p>
        </w:tc>
        <w:tc>
          <w:tcPr>
            <w:tcW w:w="220" w:type="dxa"/>
            <w:vAlign w:val="bottom"/>
            <w:shd w:val="clear" w:color="auto" w:fill="D2EEF5"/>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8,689,481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Vesting in fourths on each anniversary of the grant date</w:t>
            </w:r>
          </w:p>
        </w:tc>
        <w:tc>
          <w:tcPr>
            <w:tcW w:w="3740" w:type="dxa"/>
            <w:vAlign w:val="bottom"/>
            <w:gridSpan w:val="6"/>
          </w:tcPr>
          <w:p>
            <w:pPr>
              <w:jc w:val="right"/>
              <w:spacing w:after="0"/>
              <w:rPr>
                <w:sz w:val="20"/>
                <w:szCs w:val="20"/>
                <w:color w:val="auto"/>
              </w:rPr>
            </w:pPr>
            <w:r>
              <w:rPr>
                <w:rFonts w:ascii="Arial" w:cs="Arial" w:eastAsia="Arial" w:hAnsi="Arial"/>
                <w:sz w:val="15"/>
                <w:szCs w:val="15"/>
                <w:b w:val="1"/>
                <w:bCs w:val="1"/>
                <w:color w:val="auto"/>
              </w:rPr>
              <w:t>834,315</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404,277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780" w:type="dxa"/>
            <w:vAlign w:val="bottom"/>
            <w:shd w:val="clear" w:color="auto" w:fill="D2EEF5"/>
          </w:tcPr>
          <w:p>
            <w:pPr>
              <w:spacing w:after="0" w:line="183" w:lineRule="exact"/>
              <w:rPr>
                <w:sz w:val="20"/>
                <w:szCs w:val="20"/>
                <w:color w:val="auto"/>
              </w:rPr>
            </w:pPr>
            <w:r>
              <w:rPr>
                <w:rFonts w:ascii="Arial" w:cs="Arial" w:eastAsia="Arial" w:hAnsi="Arial"/>
                <w:sz w:val="15"/>
                <w:szCs w:val="15"/>
                <w:color w:val="auto"/>
              </w:rPr>
              <w:t xml:space="preserve">Vesting based on market conditions </w:t>
            </w:r>
            <w:r>
              <w:rPr>
                <w:rFonts w:ascii="Arial" w:cs="Arial" w:eastAsia="Arial" w:hAnsi="Arial"/>
                <w:sz w:val="21"/>
                <w:szCs w:val="21"/>
                <w:color w:val="auto"/>
                <w:vertAlign w:val="superscript"/>
              </w:rPr>
              <w:t>(4)</w:t>
            </w:r>
          </w:p>
        </w:tc>
        <w:tc>
          <w:tcPr>
            <w:tcW w:w="3740" w:type="dxa"/>
            <w:vAlign w:val="bottom"/>
            <w:gridSpan w:val="6"/>
            <w:shd w:val="clear" w:color="auto" w:fill="D2EEF5"/>
          </w:tcPr>
          <w:p>
            <w:pPr>
              <w:jc w:val="right"/>
              <w:spacing w:after="0"/>
              <w:rPr>
                <w:sz w:val="20"/>
                <w:szCs w:val="20"/>
                <w:color w:val="auto"/>
              </w:rPr>
            </w:pPr>
            <w:r>
              <w:rPr>
                <w:rFonts w:ascii="Arial" w:cs="Arial" w:eastAsia="Arial" w:hAnsi="Arial"/>
                <w:sz w:val="15"/>
                <w:szCs w:val="15"/>
                <w:b w:val="1"/>
                <w:bCs w:val="1"/>
                <w:color w:val="auto"/>
              </w:rPr>
              <w:t>20,000,000</w:t>
            </w:r>
          </w:p>
        </w:tc>
        <w:tc>
          <w:tcPr>
            <w:tcW w:w="220" w:type="dxa"/>
            <w:vAlign w:val="bottom"/>
            <w:shd w:val="clear" w:color="auto" w:fill="D2EEF5"/>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b w:val="1"/>
                <w:bCs w:val="1"/>
                <w:color w:val="auto"/>
              </w:rPr>
              <w:t>Total Units Granted</w:t>
            </w:r>
          </w:p>
        </w:tc>
        <w:tc>
          <w:tcPr>
            <w:tcW w:w="24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33,079,041</w:t>
            </w:r>
          </w:p>
        </w:tc>
        <w:tc>
          <w:tcPr>
            <w:tcW w:w="2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13.669.185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20" w:type="dxa"/>
            <w:vAlign w:val="bottom"/>
          </w:tcPr>
          <w:p>
            <w:pPr>
              <w:jc w:val="right"/>
              <w:ind w:right="1765"/>
              <w:spacing w:after="0"/>
              <w:rPr>
                <w:sz w:val="20"/>
                <w:szCs w:val="20"/>
                <w:color w:val="auto"/>
              </w:rPr>
            </w:pPr>
            <w:r>
              <w:rPr>
                <w:rFonts w:ascii="Arial" w:cs="Arial" w:eastAsia="Arial" w:hAnsi="Arial"/>
                <w:sz w:val="15"/>
                <w:szCs w:val="15"/>
                <w:color w:val="auto"/>
              </w:rPr>
              <w:t>147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224790</wp:posOffset>
                </wp:positionH>
                <wp:positionV relativeFrom="paragraph">
                  <wp:posOffset>199390</wp:posOffset>
                </wp:positionV>
                <wp:extent cx="168529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290"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15.7pt" to="150.4pt,15.7pt" o:allowincell="f" strokecolor="#000000" strokeweight="0.578pt"/>
            </w:pict>
          </mc:Fallback>
        </mc:AlternateContent>
      </w:r>
    </w:p>
    <w:p>
      <w:pPr>
        <w:spacing w:after="0" w:line="359" w:lineRule="exact"/>
        <w:rPr>
          <w:sz w:val="20"/>
          <w:szCs w:val="20"/>
          <w:color w:val="auto"/>
        </w:rPr>
      </w:pPr>
    </w:p>
    <w:p>
      <w:pPr>
        <w:jc w:val="both"/>
        <w:ind w:left="660" w:right="80" w:hanging="283"/>
        <w:spacing w:after="0" w:line="231" w:lineRule="auto"/>
        <w:tabs>
          <w:tab w:leader="none" w:pos="660"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Of the 4,538,922 RSUs granted during 2024 and vesting immediately, 2,812,802 RSUs were issued to settle liabilities with a carrying amount of $4.1 million, at a weighted average grant date fair value of $1.44 per RSU. In addition, the Company granted 662,399 RSUs, to consultants (2023: 274,912 RSUs) resulting in $1.1 million, charged as general and administrative expenses (2023: $0.3 million charged as general and administrative expenses). In 2024, the Company also granted 57,756 RSUs, to consultants as a prepayment for their services (2023: 43,478 units).</w:t>
      </w:r>
    </w:p>
    <w:p>
      <w:pPr>
        <w:spacing w:after="0" w:line="162" w:lineRule="exact"/>
        <w:rPr>
          <w:rFonts w:ascii="Arial" w:cs="Arial" w:eastAsia="Arial" w:hAnsi="Arial"/>
          <w:sz w:val="23"/>
          <w:szCs w:val="23"/>
          <w:color w:val="auto"/>
          <w:vertAlign w:val="superscript"/>
        </w:rPr>
      </w:pPr>
    </w:p>
    <w:p>
      <w:pPr>
        <w:jc w:val="both"/>
        <w:ind w:left="660" w:right="80" w:hanging="283"/>
        <w:spacing w:after="0" w:line="231" w:lineRule="auto"/>
        <w:tabs>
          <w:tab w:leader="none" w:pos="661"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Of the 493,430 units granted during 2024, an aggregate amount of 476,189 RSUs (2023: 1,014,349 RSUs) were granted to the Company’s non-employee directors under the Company’s Non-employee Director Compensation Policy, which will vest at the Company’s 2025 annual shareholders meeting. The total fair value of units granted as annual grants to non-employee directors amounted to $0.7 million (2023: $0.7 million). The remaining 17,241 units were granted to a director as annual fees for consulting services to be provided, which were fair valued at $25 thousand.</w:t>
      </w:r>
    </w:p>
    <w:p>
      <w:pPr>
        <w:spacing w:after="0" w:line="162" w:lineRule="exact"/>
        <w:rPr>
          <w:rFonts w:ascii="Arial" w:cs="Arial" w:eastAsia="Arial" w:hAnsi="Arial"/>
          <w:sz w:val="23"/>
          <w:szCs w:val="23"/>
          <w:color w:val="auto"/>
          <w:vertAlign w:val="superscript"/>
        </w:rPr>
      </w:pPr>
    </w:p>
    <w:p>
      <w:pPr>
        <w:jc w:val="both"/>
        <w:ind w:left="660" w:right="80" w:hanging="283"/>
        <w:spacing w:after="0" w:line="224" w:lineRule="auto"/>
        <w:tabs>
          <w:tab w:leader="none" w:pos="660"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Of the 7,212,374 units granted during 2024, the Company granted 7,144,347 RSUs, as payment for the 2023 LTIP awards (2023: 8,645,465 RSUs were issued as payment for the 2022 LTIP awards). The remaining 68,027 units were granted to a non-employee director of the Company as an initial grant, as prescribed under the Company’s Non-employee Director Compensation Policy.</w:t>
      </w:r>
    </w:p>
    <w:p>
      <w:pPr>
        <w:spacing w:after="0" w:line="163" w:lineRule="exact"/>
        <w:rPr>
          <w:rFonts w:ascii="Arial" w:cs="Arial" w:eastAsia="Arial" w:hAnsi="Arial"/>
          <w:sz w:val="23"/>
          <w:szCs w:val="23"/>
          <w:color w:val="auto"/>
          <w:vertAlign w:val="superscript"/>
        </w:rPr>
      </w:pPr>
    </w:p>
    <w:p>
      <w:pPr>
        <w:jc w:val="both"/>
        <w:ind w:left="660" w:right="80" w:hanging="283"/>
        <w:spacing w:after="0" w:line="264" w:lineRule="auto"/>
        <w:tabs>
          <w:tab w:leader="none" w:pos="66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On April 16, 2024, the Company entered into a new employment agreement with Gerard Barron, the Company’s Chief Executive Officer and Chairman (the “Employment Agreement”) that replaced and superseded Mr. Barron’s existing employment agreement. Under the Employment Agreement, the Company granted Mr. Barron a one-time signing bonus award of market-based restricted stock units (the “Signing RSUs”) amounting to 20,000,000 of the Company’s common shares. The Signing RSUs will vest upon the common shares achieving the following closing prices per common share, based on the trailing 30-day average price (the “Closing Price”), on or prior to April 16, 2029 (maturity date), subject to Mr. Barron’s continued service with the Company on the applicable vesting date: one-third of the Signing RSUs vest on achievement of a Closing Price of $7.50, a further one-third vest on achievement of a Closing Price of $10.00 and the final one-third vest on achievement of a Closing Price of $12.50 (each subject to equitable adjustment for any stock splits, combinations, reclassifications, stock dividends and the like). Pursuant to the Employment Agreement, Mr. Barron has agreed not to sell any of the common shares issuable upon vesting of the Signing RSUs until after the fifth anniversary of entering into the Employment Agreement.</w:t>
      </w:r>
    </w:p>
    <w:p>
      <w:pPr>
        <w:spacing w:after="0" w:line="147" w:lineRule="exact"/>
        <w:rPr>
          <w:sz w:val="20"/>
          <w:szCs w:val="20"/>
          <w:color w:val="auto"/>
        </w:rPr>
      </w:pPr>
    </w:p>
    <w:p>
      <w:pPr>
        <w:ind w:left="360" w:right="80"/>
        <w:spacing w:after="0" w:line="299" w:lineRule="auto"/>
        <w:rPr>
          <w:sz w:val="20"/>
          <w:szCs w:val="20"/>
          <w:color w:val="auto"/>
        </w:rPr>
      </w:pPr>
      <w:r>
        <w:rPr>
          <w:rFonts w:ascii="Arial" w:cs="Arial" w:eastAsia="Arial" w:hAnsi="Arial"/>
          <w:sz w:val="15"/>
          <w:szCs w:val="15"/>
          <w:color w:val="auto"/>
        </w:rPr>
        <w:t>The Company determined the fair value of the options using the Monte-Carlo valuation method. The fair value of each tranche and the derived service period are as follows:</w:t>
      </w:r>
    </w:p>
    <w:p>
      <w:pPr>
        <w:spacing w:after="0" w:line="126" w:lineRule="exact"/>
        <w:rPr>
          <w:sz w:val="20"/>
          <w:szCs w:val="20"/>
          <w:color w:val="auto"/>
        </w:rPr>
      </w:pPr>
    </w:p>
    <w:tbl>
      <w:tblPr>
        <w:tblLayout w:type="fixed"/>
        <w:tblInd w:w="360" w:type="dxa"/>
        <w:tblCellMar>
          <w:top w:w="0" w:type="dxa"/>
          <w:left w:w="0" w:type="dxa"/>
          <w:bottom w:w="0" w:type="dxa"/>
          <w:right w:w="0" w:type="dxa"/>
        </w:tblCellMar>
      </w:tblPr>
      <w:tr>
        <w:trPr>
          <w:trHeight w:val="152"/>
        </w:trPr>
        <w:tc>
          <w:tcPr>
            <w:tcW w:w="5640" w:type="dxa"/>
            <w:vAlign w:val="bottom"/>
          </w:tcPr>
          <w:p>
            <w:pPr>
              <w:spacing w:after="0"/>
              <w:rPr>
                <w:sz w:val="20"/>
                <w:szCs w:val="20"/>
                <w:color w:val="auto"/>
              </w:rPr>
            </w:pPr>
            <w:r>
              <w:rPr>
                <w:rFonts w:ascii="Arial" w:cs="Arial" w:eastAsia="Arial" w:hAnsi="Arial"/>
                <w:sz w:val="12"/>
                <w:szCs w:val="12"/>
                <w:b w:val="1"/>
                <w:bCs w:val="1"/>
                <w:color w:val="auto"/>
              </w:rPr>
              <w:t>Tranche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Fair Value per RSU</w:t>
            </w:r>
          </w:p>
        </w:tc>
        <w:tc>
          <w:tcPr>
            <w:tcW w:w="2100" w:type="dxa"/>
            <w:vAlign w:val="bottom"/>
          </w:tcPr>
          <w:p>
            <w:pPr>
              <w:ind w:left="580"/>
              <w:spacing w:after="0"/>
              <w:rPr>
                <w:sz w:val="20"/>
                <w:szCs w:val="20"/>
                <w:color w:val="auto"/>
              </w:rPr>
            </w:pPr>
            <w:r>
              <w:rPr>
                <w:rFonts w:ascii="Arial" w:cs="Arial" w:eastAsia="Arial" w:hAnsi="Arial"/>
                <w:sz w:val="12"/>
                <w:szCs w:val="12"/>
                <w:b w:val="1"/>
                <w:bCs w:val="1"/>
                <w:color w:val="auto"/>
              </w:rPr>
              <w:t>Derived Service Period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4"/>
        </w:trPr>
        <w:tc>
          <w:tcPr>
            <w:tcW w:w="564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Achievement of a Closing Price of $7.50</w:t>
            </w:r>
          </w:p>
        </w:tc>
        <w:tc>
          <w:tcPr>
            <w:tcW w:w="18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color w:val="auto"/>
              </w:rPr>
              <w:t>1.07</w:t>
            </w:r>
          </w:p>
        </w:tc>
        <w:tc>
          <w:tcPr>
            <w:tcW w:w="200" w:type="dxa"/>
            <w:vAlign w:val="bottom"/>
            <w:tcBorders>
              <w:top w:val="single" w:sz="8" w:color="D2EEF5"/>
            </w:tcBorders>
            <w:shd w:val="clear" w:color="auto" w:fill="D2EEF5"/>
          </w:tcPr>
          <w:p>
            <w:pPr>
              <w:spacing w:after="0"/>
              <w:rPr>
                <w:sz w:val="15"/>
                <w:szCs w:val="15"/>
                <w:color w:val="auto"/>
              </w:rPr>
            </w:pPr>
          </w:p>
        </w:tc>
        <w:tc>
          <w:tcPr>
            <w:tcW w:w="2360" w:type="dxa"/>
            <w:vAlign w:val="bottom"/>
            <w:tcBorders>
              <w:top w:val="single" w:sz="8" w:color="auto"/>
            </w:tcBorders>
            <w:gridSpan w:val="3"/>
            <w:shd w:val="clear" w:color="auto" w:fill="D2EEF5"/>
          </w:tcPr>
          <w:p>
            <w:pPr>
              <w:jc w:val="right"/>
              <w:ind w:right="40"/>
              <w:spacing w:after="0"/>
              <w:rPr>
                <w:sz w:val="20"/>
                <w:szCs w:val="20"/>
                <w:color w:val="auto"/>
              </w:rPr>
            </w:pPr>
            <w:r>
              <w:rPr>
                <w:rFonts w:ascii="Arial" w:cs="Arial" w:eastAsia="Arial" w:hAnsi="Arial"/>
                <w:sz w:val="15"/>
                <w:szCs w:val="15"/>
                <w:color w:val="auto"/>
              </w:rPr>
              <w:t>1.58 years from the grant date</w:t>
            </w:r>
          </w:p>
        </w:tc>
      </w:tr>
      <w:tr>
        <w:trPr>
          <w:trHeight w:val="183"/>
        </w:trPr>
        <w:tc>
          <w:tcPr>
            <w:tcW w:w="5640" w:type="dxa"/>
            <w:vAlign w:val="bottom"/>
          </w:tcPr>
          <w:p>
            <w:pPr>
              <w:spacing w:after="0"/>
              <w:rPr>
                <w:sz w:val="20"/>
                <w:szCs w:val="20"/>
                <w:color w:val="auto"/>
              </w:rPr>
            </w:pPr>
            <w:r>
              <w:rPr>
                <w:rFonts w:ascii="Arial" w:cs="Arial" w:eastAsia="Arial" w:hAnsi="Arial"/>
                <w:sz w:val="15"/>
                <w:szCs w:val="15"/>
                <w:color w:val="auto"/>
              </w:rPr>
              <w:t>Achievement of a Closing Price of $10</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1.04</w:t>
            </w:r>
          </w:p>
        </w:tc>
        <w:tc>
          <w:tcPr>
            <w:tcW w:w="200" w:type="dxa"/>
            <w:vAlign w:val="bottom"/>
          </w:tcPr>
          <w:p>
            <w:pPr>
              <w:spacing w:after="0"/>
              <w:rPr>
                <w:sz w:val="15"/>
                <w:szCs w:val="15"/>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5"/>
                <w:szCs w:val="15"/>
                <w:color w:val="auto"/>
              </w:rPr>
              <w:t>1.87 years from the grant date</w:t>
            </w:r>
          </w:p>
        </w:tc>
      </w:tr>
      <w:tr>
        <w:trPr>
          <w:trHeight w:val="183"/>
        </w:trPr>
        <w:tc>
          <w:tcPr>
            <w:tcW w:w="5640" w:type="dxa"/>
            <w:vAlign w:val="bottom"/>
            <w:shd w:val="clear" w:color="auto" w:fill="D2EEF5"/>
          </w:tcPr>
          <w:p>
            <w:pPr>
              <w:spacing w:after="0"/>
              <w:rPr>
                <w:sz w:val="20"/>
                <w:szCs w:val="20"/>
                <w:color w:val="auto"/>
              </w:rPr>
            </w:pPr>
            <w:r>
              <w:rPr>
                <w:rFonts w:ascii="Arial" w:cs="Arial" w:eastAsia="Arial" w:hAnsi="Arial"/>
                <w:sz w:val="15"/>
                <w:szCs w:val="15"/>
                <w:color w:val="auto"/>
              </w:rPr>
              <w:t>Achievement of a Closing Price of $12.50</w:t>
            </w:r>
          </w:p>
        </w:tc>
        <w:tc>
          <w:tcPr>
            <w:tcW w:w="32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1.00</w:t>
            </w:r>
          </w:p>
        </w:tc>
        <w:tc>
          <w:tcPr>
            <w:tcW w:w="200" w:type="dxa"/>
            <w:vAlign w:val="bottom"/>
            <w:shd w:val="clear" w:color="auto" w:fill="D2EEF5"/>
          </w:tcPr>
          <w:p>
            <w:pPr>
              <w:spacing w:after="0"/>
              <w:rPr>
                <w:sz w:val="15"/>
                <w:szCs w:val="15"/>
                <w:color w:val="auto"/>
              </w:rPr>
            </w:pPr>
          </w:p>
        </w:tc>
        <w:tc>
          <w:tcPr>
            <w:tcW w:w="2360" w:type="dxa"/>
            <w:vAlign w:val="bottom"/>
            <w:gridSpan w:val="3"/>
            <w:shd w:val="clear" w:color="auto" w:fill="D2EEF5"/>
          </w:tcPr>
          <w:p>
            <w:pPr>
              <w:jc w:val="right"/>
              <w:ind w:right="40"/>
              <w:spacing w:after="0"/>
              <w:rPr>
                <w:sz w:val="20"/>
                <w:szCs w:val="20"/>
                <w:color w:val="auto"/>
              </w:rPr>
            </w:pPr>
            <w:r>
              <w:rPr>
                <w:rFonts w:ascii="Arial" w:cs="Arial" w:eastAsia="Arial" w:hAnsi="Arial"/>
                <w:sz w:val="15"/>
                <w:szCs w:val="15"/>
                <w:color w:val="auto"/>
              </w:rPr>
              <w:t>2.10 years from the grant date</w:t>
            </w:r>
          </w:p>
        </w:tc>
      </w:tr>
      <w:tr>
        <w:trPr>
          <w:trHeight w:val="366"/>
        </w:trPr>
        <w:tc>
          <w:tcPr>
            <w:tcW w:w="5640" w:type="dxa"/>
            <w:vAlign w:val="bottom"/>
          </w:tcPr>
          <w:p>
            <w:pPr>
              <w:spacing w:after="0"/>
              <w:rPr>
                <w:sz w:val="20"/>
                <w:szCs w:val="20"/>
                <w:color w:val="auto"/>
              </w:rPr>
            </w:pPr>
            <w:r>
              <w:rPr>
                <w:rFonts w:ascii="Arial" w:cs="Arial" w:eastAsia="Arial" w:hAnsi="Arial"/>
                <w:sz w:val="15"/>
                <w:szCs w:val="15"/>
                <w:color w:val="auto"/>
              </w:rPr>
              <w:t>The fair value of the Signing RSUs was estimated using the following assumptions: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0"/>
        </w:trPr>
        <w:tc>
          <w:tcPr>
            <w:tcW w:w="5640" w:type="dxa"/>
            <w:vAlign w:val="bottom"/>
            <w:tcBorders>
              <w:bottom w:val="single" w:sz="8" w:color="D2EEF5"/>
            </w:tcBorders>
          </w:tcPr>
          <w:p>
            <w:pPr>
              <w:spacing w:after="0"/>
              <w:rPr>
                <w:sz w:val="24"/>
                <w:szCs w:val="24"/>
                <w:color w:val="auto"/>
              </w:rPr>
            </w:pPr>
          </w:p>
        </w:tc>
        <w:tc>
          <w:tcPr>
            <w:tcW w:w="180" w:type="dxa"/>
            <w:vAlign w:val="bottom"/>
            <w:tcBorders>
              <w:bottom w:val="single" w:sz="8" w:color="D2EEF5"/>
            </w:tcBorders>
          </w:tcPr>
          <w:p>
            <w:pPr>
              <w:spacing w:after="0"/>
              <w:rPr>
                <w:sz w:val="24"/>
                <w:szCs w:val="24"/>
                <w:color w:val="auto"/>
              </w:rPr>
            </w:pPr>
          </w:p>
        </w:tc>
        <w:tc>
          <w:tcPr>
            <w:tcW w:w="140" w:type="dxa"/>
            <w:vAlign w:val="bottom"/>
            <w:tcBorders>
              <w:bottom w:val="single" w:sz="8" w:color="D2EEF5"/>
            </w:tcBorders>
          </w:tcPr>
          <w:p>
            <w:pPr>
              <w:spacing w:after="0"/>
              <w:rPr>
                <w:sz w:val="24"/>
                <w:szCs w:val="24"/>
                <w:color w:val="auto"/>
              </w:rPr>
            </w:pPr>
          </w:p>
        </w:tc>
        <w:tc>
          <w:tcPr>
            <w:tcW w:w="1200" w:type="dxa"/>
            <w:vAlign w:val="bottom"/>
            <w:tcBorders>
              <w:bottom w:val="single" w:sz="8" w:color="D2EEF5"/>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April 16,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D2EEF5"/>
            </w:tcBorders>
          </w:tcPr>
          <w:p>
            <w:pPr>
              <w:spacing w:after="0"/>
              <w:rPr>
                <w:sz w:val="24"/>
                <w:szCs w:val="24"/>
                <w:color w:val="auto"/>
              </w:rPr>
            </w:pPr>
          </w:p>
        </w:tc>
      </w:tr>
      <w:tr>
        <w:trPr>
          <w:trHeight w:val="174"/>
        </w:trPr>
        <w:tc>
          <w:tcPr>
            <w:tcW w:w="5640" w:type="dxa"/>
            <w:vAlign w:val="bottom"/>
            <w:shd w:val="clear" w:color="auto" w:fill="D2EEF5"/>
          </w:tcPr>
          <w:p>
            <w:pPr>
              <w:spacing w:after="0"/>
              <w:rPr>
                <w:sz w:val="20"/>
                <w:szCs w:val="20"/>
                <w:color w:val="auto"/>
              </w:rPr>
            </w:pPr>
            <w:r>
              <w:rPr>
                <w:rFonts w:ascii="Arial" w:cs="Arial" w:eastAsia="Arial" w:hAnsi="Arial"/>
                <w:sz w:val="15"/>
                <w:szCs w:val="15"/>
                <w:color w:val="auto"/>
              </w:rPr>
              <w:t>Share price</w:t>
            </w:r>
          </w:p>
        </w:tc>
        <w:tc>
          <w:tcPr>
            <w:tcW w:w="1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200" w:type="dxa"/>
            <w:vAlign w:val="bottom"/>
            <w:shd w:val="clear" w:color="auto" w:fill="D2EEF5"/>
          </w:tcPr>
          <w:p>
            <w:pPr>
              <w:spacing w:after="0"/>
              <w:rPr>
                <w:sz w:val="15"/>
                <w:szCs w:val="15"/>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D2EEF5"/>
          </w:tcPr>
          <w:p>
            <w:pPr>
              <w:spacing w:after="0"/>
              <w:rPr>
                <w:sz w:val="15"/>
                <w:szCs w:val="15"/>
                <w:color w:val="auto"/>
              </w:rPr>
            </w:pPr>
          </w:p>
        </w:tc>
        <w:tc>
          <w:tcPr>
            <w:tcW w:w="2100" w:type="dxa"/>
            <w:vAlign w:val="bottom"/>
            <w:shd w:val="clear" w:color="auto" w:fill="D2EEF5"/>
          </w:tcPr>
          <w:p>
            <w:pPr>
              <w:jc w:val="center"/>
              <w:ind w:right="27"/>
              <w:spacing w:after="0"/>
              <w:rPr>
                <w:sz w:val="20"/>
                <w:szCs w:val="20"/>
                <w:color w:val="auto"/>
              </w:rPr>
            </w:pPr>
            <w:r>
              <w:rPr>
                <w:rFonts w:ascii="Arial" w:cs="Arial" w:eastAsia="Arial" w:hAnsi="Arial"/>
                <w:sz w:val="15"/>
                <w:szCs w:val="15"/>
                <w:color w:val="auto"/>
                <w:w w:val="95"/>
              </w:rPr>
              <w:t>1.72</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r>
      <w:tr>
        <w:trPr>
          <w:trHeight w:val="183"/>
        </w:trPr>
        <w:tc>
          <w:tcPr>
            <w:tcW w:w="5640" w:type="dxa"/>
            <w:vAlign w:val="bottom"/>
          </w:tcPr>
          <w:p>
            <w:pPr>
              <w:spacing w:after="0"/>
              <w:rPr>
                <w:sz w:val="20"/>
                <w:szCs w:val="20"/>
                <w:color w:val="auto"/>
              </w:rPr>
            </w:pPr>
            <w:r>
              <w:rPr>
                <w:rFonts w:ascii="Arial" w:cs="Arial" w:eastAsia="Arial" w:hAnsi="Arial"/>
                <w:sz w:val="15"/>
                <w:szCs w:val="15"/>
                <w:color w:val="auto"/>
              </w:rPr>
              <w:t>Performance period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Arial" w:cs="Arial" w:eastAsia="Arial" w:hAnsi="Arial"/>
                <w:sz w:val="15"/>
                <w:szCs w:val="15"/>
                <w:color w:val="auto"/>
              </w:rPr>
              <w:t>April 16, 2024 – April 16, 2029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640" w:type="dxa"/>
            <w:vAlign w:val="bottom"/>
            <w:shd w:val="clear" w:color="auto" w:fill="D2EEF5"/>
          </w:tcPr>
          <w:p>
            <w:pPr>
              <w:spacing w:after="0"/>
              <w:rPr>
                <w:sz w:val="20"/>
                <w:szCs w:val="20"/>
                <w:color w:val="auto"/>
              </w:rPr>
            </w:pPr>
            <w:r>
              <w:rPr>
                <w:rFonts w:ascii="Arial" w:cs="Arial" w:eastAsia="Arial" w:hAnsi="Arial"/>
                <w:sz w:val="15"/>
                <w:szCs w:val="15"/>
                <w:color w:val="auto"/>
              </w:rPr>
              <w:t>Volatility</w:t>
            </w:r>
          </w:p>
        </w:tc>
        <w:tc>
          <w:tcPr>
            <w:tcW w:w="1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2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2100" w:type="dxa"/>
            <w:vAlign w:val="bottom"/>
            <w:shd w:val="clear" w:color="auto" w:fill="D2EEF5"/>
          </w:tcPr>
          <w:p>
            <w:pPr>
              <w:jc w:val="center"/>
              <w:ind w:right="27"/>
              <w:spacing w:after="0"/>
              <w:rPr>
                <w:sz w:val="20"/>
                <w:szCs w:val="20"/>
                <w:color w:val="auto"/>
              </w:rPr>
            </w:pPr>
            <w:r>
              <w:rPr>
                <w:rFonts w:ascii="Arial" w:cs="Arial" w:eastAsia="Arial" w:hAnsi="Arial"/>
                <w:sz w:val="15"/>
                <w:szCs w:val="15"/>
                <w:color w:val="auto"/>
                <w:w w:val="87"/>
              </w:rPr>
              <w:t>113.83</w:t>
            </w:r>
          </w:p>
        </w:tc>
        <w:tc>
          <w:tcPr>
            <w:tcW w:w="260" w:type="dxa"/>
            <w:vAlign w:val="bottom"/>
            <w:gridSpan w:val="2"/>
            <w:shd w:val="clear" w:color="auto" w:fill="D2EEF5"/>
          </w:tcPr>
          <w:p>
            <w:pPr>
              <w:jc w:val="right"/>
              <w:ind w:right="20"/>
              <w:spacing w:after="0"/>
              <w:rPr>
                <w:sz w:val="20"/>
                <w:szCs w:val="20"/>
                <w:color w:val="auto"/>
              </w:rPr>
            </w:pPr>
            <w:r>
              <w:rPr>
                <w:rFonts w:ascii="Arial" w:cs="Arial" w:eastAsia="Arial" w:hAnsi="Arial"/>
                <w:sz w:val="15"/>
                <w:szCs w:val="15"/>
                <w:color w:val="auto"/>
              </w:rPr>
              <w:t>%</w:t>
            </w:r>
          </w:p>
        </w:tc>
      </w:tr>
      <w:tr>
        <w:trPr>
          <w:trHeight w:val="183"/>
        </w:trPr>
        <w:tc>
          <w:tcPr>
            <w:tcW w:w="5640" w:type="dxa"/>
            <w:vAlign w:val="bottom"/>
          </w:tcPr>
          <w:p>
            <w:pPr>
              <w:spacing w:after="0"/>
              <w:rPr>
                <w:sz w:val="20"/>
                <w:szCs w:val="20"/>
                <w:color w:val="auto"/>
              </w:rPr>
            </w:pPr>
            <w:r>
              <w:rPr>
                <w:rFonts w:ascii="Arial" w:cs="Arial" w:eastAsia="Arial" w:hAnsi="Arial"/>
                <w:sz w:val="15"/>
                <w:szCs w:val="15"/>
                <w:color w:val="auto"/>
              </w:rPr>
              <w:t>Risk-free rate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jc w:val="center"/>
              <w:ind w:right="27"/>
              <w:spacing w:after="0"/>
              <w:rPr>
                <w:sz w:val="20"/>
                <w:szCs w:val="20"/>
                <w:color w:val="auto"/>
              </w:rPr>
            </w:pPr>
            <w:r>
              <w:rPr>
                <w:rFonts w:ascii="Arial" w:cs="Arial" w:eastAsia="Arial" w:hAnsi="Arial"/>
                <w:sz w:val="15"/>
                <w:szCs w:val="15"/>
                <w:color w:val="auto"/>
                <w:w w:val="95"/>
              </w:rPr>
              <w:t>4.57</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83"/>
        </w:trPr>
        <w:tc>
          <w:tcPr>
            <w:tcW w:w="5640" w:type="dxa"/>
            <w:vAlign w:val="bottom"/>
            <w:shd w:val="clear" w:color="auto" w:fill="D2EEF5"/>
          </w:tcPr>
          <w:p>
            <w:pPr>
              <w:spacing w:after="0"/>
              <w:rPr>
                <w:sz w:val="20"/>
                <w:szCs w:val="20"/>
                <w:color w:val="auto"/>
              </w:rPr>
            </w:pPr>
            <w:r>
              <w:rPr>
                <w:rFonts w:ascii="Arial" w:cs="Arial" w:eastAsia="Arial" w:hAnsi="Arial"/>
                <w:sz w:val="15"/>
                <w:szCs w:val="15"/>
                <w:color w:val="auto"/>
              </w:rPr>
              <w:t>Cost of Equity</w:t>
            </w:r>
          </w:p>
        </w:tc>
        <w:tc>
          <w:tcPr>
            <w:tcW w:w="1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2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2100" w:type="dxa"/>
            <w:vAlign w:val="bottom"/>
            <w:shd w:val="clear" w:color="auto" w:fill="D2EEF5"/>
          </w:tcPr>
          <w:p>
            <w:pPr>
              <w:jc w:val="center"/>
              <w:ind w:right="7"/>
              <w:spacing w:after="0"/>
              <w:rPr>
                <w:sz w:val="20"/>
                <w:szCs w:val="20"/>
                <w:color w:val="auto"/>
              </w:rPr>
            </w:pPr>
            <w:r>
              <w:rPr>
                <w:rFonts w:ascii="Arial" w:cs="Arial" w:eastAsia="Arial" w:hAnsi="Arial"/>
                <w:sz w:val="15"/>
                <w:szCs w:val="15"/>
                <w:color w:val="auto"/>
                <w:w w:val="90"/>
              </w:rPr>
              <w:t>19.56</w:t>
            </w:r>
          </w:p>
        </w:tc>
        <w:tc>
          <w:tcPr>
            <w:tcW w:w="260" w:type="dxa"/>
            <w:vAlign w:val="bottom"/>
            <w:gridSpan w:val="2"/>
            <w:shd w:val="clear" w:color="auto" w:fill="D2EEF5"/>
          </w:tcPr>
          <w:p>
            <w:pPr>
              <w:jc w:val="right"/>
              <w:ind w:right="20"/>
              <w:spacing w:after="0"/>
              <w:rPr>
                <w:sz w:val="20"/>
                <w:szCs w:val="20"/>
                <w:color w:val="auto"/>
              </w:rPr>
            </w:pPr>
            <w:r>
              <w:rPr>
                <w:rFonts w:ascii="Arial" w:cs="Arial" w:eastAsia="Arial" w:hAnsi="Arial"/>
                <w:sz w:val="15"/>
                <w:szCs w:val="15"/>
                <w:color w:val="auto"/>
              </w:rPr>
              <w:t>%</w:t>
            </w:r>
          </w:p>
        </w:tc>
      </w:tr>
      <w:tr>
        <w:trPr>
          <w:trHeight w:val="205"/>
        </w:trPr>
        <w:tc>
          <w:tcPr>
            <w:tcW w:w="5640" w:type="dxa"/>
            <w:vAlign w:val="bottom"/>
          </w:tcPr>
          <w:p>
            <w:pPr>
              <w:spacing w:after="0"/>
              <w:rPr>
                <w:sz w:val="20"/>
                <w:szCs w:val="20"/>
                <w:color w:val="auto"/>
              </w:rPr>
            </w:pPr>
            <w:r>
              <w:rPr>
                <w:rFonts w:ascii="Arial" w:cs="Arial" w:eastAsia="Arial" w:hAnsi="Arial"/>
                <w:sz w:val="15"/>
                <w:szCs w:val="15"/>
                <w:color w:val="auto"/>
              </w:rPr>
              <w:t>Dividend yield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ind w:right="27"/>
              <w:spacing w:after="0"/>
              <w:rPr>
                <w:sz w:val="20"/>
                <w:szCs w:val="20"/>
                <w:color w:val="auto"/>
              </w:rPr>
            </w:pPr>
            <w:r>
              <w:rPr>
                <w:rFonts w:ascii="Arial" w:cs="Arial" w:eastAsia="Arial" w:hAnsi="Arial"/>
                <w:sz w:val="15"/>
                <w:szCs w:val="15"/>
                <w:color w:val="auto"/>
                <w:w w:val="95"/>
              </w:rPr>
              <w:t>0.0</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bl>
    <w:p>
      <w:pPr>
        <w:spacing w:after="0" w:line="140" w:lineRule="exact"/>
        <w:rPr>
          <w:sz w:val="20"/>
          <w:szCs w:val="20"/>
          <w:color w:val="auto"/>
        </w:rPr>
      </w:pPr>
    </w:p>
    <w:p>
      <w:pPr>
        <w:ind w:left="360" w:right="80"/>
        <w:spacing w:after="0" w:line="299" w:lineRule="auto"/>
        <w:rPr>
          <w:sz w:val="20"/>
          <w:szCs w:val="20"/>
          <w:color w:val="auto"/>
        </w:rPr>
      </w:pPr>
      <w:r>
        <w:rPr>
          <w:rFonts w:ascii="Arial" w:cs="Arial" w:eastAsia="Arial" w:hAnsi="Arial"/>
          <w:sz w:val="15"/>
          <w:szCs w:val="15"/>
          <w:color w:val="auto"/>
        </w:rPr>
        <w:t>The grant date fair value of all RSUs, apart from the Signing RSUs, is equivalent to the closing share price of the Company’s common shares on the date of grant. The grant date fair value of the RSUs vesting based on market conditions was determined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88" w:lineRule="auto"/>
        <w:rPr>
          <w:sz w:val="20"/>
          <w:szCs w:val="20"/>
          <w:color w:val="auto"/>
        </w:rPr>
      </w:pPr>
      <w:r>
        <w:rPr>
          <w:rFonts w:ascii="Arial" w:cs="Arial" w:eastAsia="Arial" w:hAnsi="Arial"/>
          <w:sz w:val="14"/>
          <w:szCs w:val="14"/>
          <w:color w:val="auto"/>
        </w:rPr>
        <w:t>using the Monte-Carlo valuation method. During the year, a total of $19.5 million was charged to the statement of loss and comprehensive loss as share-based compensation expense for RSUs (2023: $8.6 million) of which share-based compensation expense related to exploration and evaluation activities amounted to $10.7 million (2023 - $4.8 million) and share-based compensation expense related to general and administration matters amounted to $8.8 million (2023 - $3.8 million). As at December 31, 2024, total unrecognized share-based compensation expense for RSUs was $20.5 million (December 31, 2023 - $6.9 million) which is expected to be recognized over 1.24 years. The fair value of shares vested during the year ended December 31, 2024, amounted to $14.1 million (2023 - $8.3 million).</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at December 31, 2024, an aggregate of 128,642 vested RSUs were being processed and due to be converted into common shares.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Employee Stock Purchase Plan</w:t>
      </w:r>
    </w:p>
    <w:p>
      <w:pPr>
        <w:spacing w:after="0" w:line="192" w:lineRule="exact"/>
        <w:rPr>
          <w:sz w:val="20"/>
          <w:szCs w:val="20"/>
          <w:color w:val="auto"/>
        </w:rPr>
      </w:pPr>
    </w:p>
    <w:p>
      <w:pPr>
        <w:jc w:val="both"/>
        <w:ind w:left="360" w:right="80"/>
        <w:spacing w:after="0" w:line="285" w:lineRule="auto"/>
        <w:rPr>
          <w:sz w:val="20"/>
          <w:szCs w:val="20"/>
          <w:color w:val="auto"/>
        </w:rPr>
      </w:pPr>
      <w:r>
        <w:rPr>
          <w:rFonts w:ascii="Arial" w:cs="Arial" w:eastAsia="Arial" w:hAnsi="Arial"/>
          <w:sz w:val="14"/>
          <w:szCs w:val="14"/>
          <w:color w:val="auto"/>
        </w:rPr>
        <w:t>On May 31, 2022, TMC’s 2021 Employee Stock Purchase Plan (“ESPP”) was approved at the Company’s 2022 annual shareholders meeting. As of December 31, 2024, there were a total of 10,988,032 common shares reserved for issuance under the ESPP out of which 10,648,622 common shares remained available for future issuance under the ESPP. These amounts include 3,065,587 shares added to the ESPP in January 2024 pursuant to the ESPP’s automatic annual increase provision.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34" w:lineRule="exact"/>
        <w:rPr>
          <w:sz w:val="20"/>
          <w:szCs w:val="20"/>
          <w:color w:val="auto"/>
        </w:rPr>
      </w:pPr>
    </w:p>
    <w:p>
      <w:pPr>
        <w:jc w:val="both"/>
        <w:ind w:left="360" w:right="80" w:firstLine="1"/>
        <w:spacing w:after="0" w:line="306" w:lineRule="auto"/>
        <w:rPr>
          <w:sz w:val="20"/>
          <w:szCs w:val="20"/>
          <w:color w:val="auto"/>
        </w:rPr>
      </w:pPr>
      <w:r>
        <w:rPr>
          <w:rFonts w:ascii="Arial" w:cs="Arial" w:eastAsia="Arial" w:hAnsi="Arial"/>
          <w:sz w:val="13"/>
          <w:szCs w:val="13"/>
          <w:color w:val="auto"/>
        </w:rPr>
        <w:t>Participation in the ESPP is available to all full-time and certain part-time employees, subject to certain conditions.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ESPP includes the following limitations:</w:t>
      </w:r>
    </w:p>
    <w:p>
      <w:pPr>
        <w:spacing w:after="0" w:line="194" w:lineRule="exact"/>
        <w:rPr>
          <w:sz w:val="20"/>
          <w:szCs w:val="20"/>
          <w:color w:val="auto"/>
        </w:rPr>
      </w:pPr>
    </w:p>
    <w:p>
      <w:pPr>
        <w:ind w:left="920" w:right="100" w:hanging="268"/>
        <w:spacing w:after="0" w:line="299" w:lineRule="auto"/>
        <w:tabs>
          <w:tab w:leader="none" w:pos="9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 employee’s contribution is limited to 15% of the employee’s annual gross earnings, not exceeding the $25,000 annual limit set under the Internal Revenue Code (IRC) established by the Internal Revenue Service (IRS).</w:t>
      </w:r>
    </w:p>
    <w:p>
      <w:pPr>
        <w:spacing w:after="0" w:line="119" w:lineRule="exact"/>
        <w:rPr>
          <w:rFonts w:ascii="Arial" w:cs="Arial" w:eastAsia="Arial" w:hAnsi="Arial"/>
          <w:sz w:val="15"/>
          <w:szCs w:val="15"/>
          <w:color w:val="auto"/>
        </w:rPr>
      </w:pPr>
    </w:p>
    <w:p>
      <w:pPr>
        <w:ind w:left="920" w:hanging="268"/>
        <w:spacing w:after="0"/>
        <w:tabs>
          <w:tab w:leader="none" w:pos="9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 employee’s purchases in any offering period cannot exceed 15,000 common shares, and</w:t>
      </w:r>
    </w:p>
    <w:p>
      <w:pPr>
        <w:spacing w:after="0" w:line="193" w:lineRule="exact"/>
        <w:rPr>
          <w:rFonts w:ascii="Arial" w:cs="Arial" w:eastAsia="Arial" w:hAnsi="Arial"/>
          <w:sz w:val="15"/>
          <w:szCs w:val="15"/>
          <w:color w:val="auto"/>
        </w:rPr>
      </w:pPr>
    </w:p>
    <w:p>
      <w:pPr>
        <w:ind w:left="920" w:hanging="268"/>
        <w:spacing w:after="0"/>
        <w:tabs>
          <w:tab w:leader="none" w:pos="9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 employee’s purchases are capped, not to exceed 5% of the Company’s total outstanding common shares.</w:t>
      </w:r>
    </w:p>
    <w:p>
      <w:pPr>
        <w:spacing w:after="0" w:line="194" w:lineRule="exact"/>
        <w:rPr>
          <w:sz w:val="20"/>
          <w:szCs w:val="20"/>
          <w:color w:val="auto"/>
        </w:rPr>
      </w:pPr>
    </w:p>
    <w:p>
      <w:pPr>
        <w:jc w:val="both"/>
        <w:ind w:left="360" w:right="80"/>
        <w:spacing w:after="0" w:line="294" w:lineRule="auto"/>
        <w:rPr>
          <w:sz w:val="20"/>
          <w:szCs w:val="20"/>
          <w:color w:val="auto"/>
        </w:rPr>
      </w:pPr>
      <w:r>
        <w:rPr>
          <w:rFonts w:ascii="Arial" w:cs="Arial" w:eastAsia="Arial" w:hAnsi="Arial"/>
          <w:sz w:val="14"/>
          <w:szCs w:val="14"/>
          <w:color w:val="auto"/>
        </w:rPr>
        <w:t>During 2024, the Company issued 47,809 common shares (2023: 173,672 common shares) to its employees as part of its ESPP program. A total of $37 thousand was charged to the statement of loss and comprehensive loss as share-based compensation expense for the year ended December 31, 2024, representing the share price purchase discount offered by the Company (2023: $47 thousand). From the amount charged in 2024, $19 thousand was recorded in exploration and evaluation expenses (2023: $26 thousand) and $18 thousand was recorded in general and administrative expenses (2023: $21 thousand).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360" w:hanging="280"/>
        <w:spacing w:after="0"/>
        <w:tabs>
          <w:tab w:leader="none" w:pos="36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Loss per Share</w:t>
      </w:r>
    </w:p>
    <w:p>
      <w:pPr>
        <w:spacing w:after="0" w:line="195" w:lineRule="exact"/>
        <w:rPr>
          <w:rFonts w:ascii="Arial" w:cs="Arial" w:eastAsia="Arial" w:hAnsi="Arial"/>
          <w:sz w:val="15"/>
          <w:szCs w:val="15"/>
          <w:b w:val="1"/>
          <w:bCs w:val="1"/>
          <w:color w:val="auto"/>
        </w:rPr>
      </w:pPr>
    </w:p>
    <w:p>
      <w:pPr>
        <w:jc w:val="both"/>
        <w:ind w:left="360" w:right="10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Basic loss per share is computed by dividing the loss by the weighted-average number of common shares of the Company outstanding during the year.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year presented as the inclusion of all common share equivalents would have been anti-dilutive.</w:t>
      </w:r>
    </w:p>
    <w:p>
      <w:pPr>
        <w:spacing w:after="0" w:line="141"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color w:val="auto"/>
        </w:rPr>
        <w:t>Anti-dilutive equivalent common shares were as follows: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For the year ended</w:t>
            </w:r>
          </w:p>
        </w:tc>
        <w:tc>
          <w:tcPr>
            <w:tcW w:w="20" w:type="dxa"/>
            <w:vAlign w:val="bottom"/>
          </w:tcPr>
          <w:p>
            <w:pPr>
              <w:spacing w:after="0"/>
              <w:rPr>
                <w:sz w:val="12"/>
                <w:szCs w:val="12"/>
                <w:color w:val="auto"/>
              </w:rPr>
            </w:pPr>
          </w:p>
        </w:tc>
        <w:tc>
          <w:tcPr>
            <w:tcW w:w="1320" w:type="dxa"/>
            <w:vAlign w:val="bottom"/>
            <w:gridSpan w:val="3"/>
          </w:tcPr>
          <w:p>
            <w:pPr>
              <w:jc w:val="right"/>
              <w:ind w:right="244"/>
              <w:spacing w:after="0"/>
              <w:rPr>
                <w:sz w:val="20"/>
                <w:szCs w:val="20"/>
                <w:color w:val="auto"/>
              </w:rPr>
            </w:pPr>
            <w:r>
              <w:rPr>
                <w:rFonts w:ascii="Arial" w:cs="Arial" w:eastAsia="Arial" w:hAnsi="Arial"/>
                <w:sz w:val="12"/>
                <w:szCs w:val="12"/>
                <w:b w:val="1"/>
                <w:bCs w:val="1"/>
                <w:color w:val="auto"/>
                <w:w w:val="91"/>
              </w:rPr>
              <w:t>For the year ended</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right"/>
              <w:ind w:right="264"/>
              <w:spacing w:after="0" w:line="12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60" w:type="dxa"/>
            <w:vAlign w:val="bottom"/>
            <w:tcBorders>
              <w:bottom w:val="single" w:sz="8" w:color="D2EEF5"/>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bottom w:val="single" w:sz="8" w:color="D2EEF5"/>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7060" w:type="dxa"/>
            <w:vAlign w:val="bottom"/>
            <w:shd w:val="clear" w:color="auto" w:fill="D2EEF5"/>
          </w:tcPr>
          <w:p>
            <w:pPr>
              <w:spacing w:after="0"/>
              <w:rPr>
                <w:sz w:val="20"/>
                <w:szCs w:val="20"/>
                <w:color w:val="auto"/>
              </w:rPr>
            </w:pPr>
            <w:r>
              <w:rPr>
                <w:rFonts w:ascii="Arial" w:cs="Arial" w:eastAsia="Arial" w:hAnsi="Arial"/>
                <w:sz w:val="15"/>
                <w:szCs w:val="15"/>
                <w:color w:val="auto"/>
              </w:rPr>
              <w:t>Outstanding options to purchase common shares</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27,885,450</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24,858,162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tcPr>
          <w:p>
            <w:pPr>
              <w:spacing w:after="0"/>
              <w:rPr>
                <w:sz w:val="20"/>
                <w:szCs w:val="20"/>
                <w:color w:val="auto"/>
              </w:rPr>
            </w:pPr>
            <w:r>
              <w:rPr>
                <w:rFonts w:ascii="Arial" w:cs="Arial" w:eastAsia="Arial" w:hAnsi="Arial"/>
                <w:sz w:val="15"/>
                <w:szCs w:val="15"/>
                <w:color w:val="auto"/>
              </w:rPr>
              <w:t>Outstanding RSUs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34,312,655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12,484,880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shd w:val="clear" w:color="auto" w:fill="D2EEF5"/>
          </w:tcPr>
          <w:p>
            <w:pPr>
              <w:spacing w:after="0"/>
              <w:rPr>
                <w:sz w:val="20"/>
                <w:szCs w:val="20"/>
                <w:color w:val="auto"/>
              </w:rPr>
            </w:pPr>
            <w:r>
              <w:rPr>
                <w:rFonts w:ascii="Arial" w:cs="Arial" w:eastAsia="Arial" w:hAnsi="Arial"/>
                <w:sz w:val="15"/>
                <w:szCs w:val="15"/>
                <w:color w:val="auto"/>
              </w:rPr>
              <w:t>Outstanding shares under ESPP</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1,882</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8,802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tcPr>
          <w:p>
            <w:pPr>
              <w:spacing w:after="0"/>
              <w:rPr>
                <w:sz w:val="20"/>
                <w:szCs w:val="20"/>
                <w:color w:val="auto"/>
              </w:rPr>
            </w:pPr>
            <w:r>
              <w:rPr>
                <w:rFonts w:ascii="Arial" w:cs="Arial" w:eastAsia="Arial" w:hAnsi="Arial"/>
                <w:sz w:val="15"/>
                <w:szCs w:val="15"/>
                <w:color w:val="auto"/>
              </w:rPr>
              <w:t>Outstanding warrants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38,180,770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28,480,770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70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Outstanding Special Shares and options to purchase Special Shares</w:t>
            </w:r>
          </w:p>
        </w:tc>
        <w:tc>
          <w:tcPr>
            <w:tcW w:w="240" w:type="dxa"/>
            <w:vAlign w:val="bottom"/>
            <w:tcBorders>
              <w:bottom w:val="single" w:sz="8" w:color="auto"/>
            </w:tcBorders>
            <w:shd w:val="clear" w:color="auto" w:fill="D2EEF5"/>
          </w:tcPr>
          <w:p>
            <w:pPr>
              <w:spacing w:after="0"/>
              <w:rPr>
                <w:sz w:val="17"/>
                <w:szCs w:val="17"/>
                <w:color w:val="auto"/>
              </w:rPr>
            </w:pPr>
          </w:p>
        </w:tc>
        <w:tc>
          <w:tcPr>
            <w:tcW w:w="160" w:type="dxa"/>
            <w:vAlign w:val="bottom"/>
            <w:tcBorders>
              <w:bottom w:val="single" w:sz="8" w:color="auto"/>
            </w:tcBorders>
            <w:shd w:val="clear" w:color="auto" w:fill="D2EEF5"/>
          </w:tcPr>
          <w:p>
            <w:pPr>
              <w:spacing w:after="0"/>
              <w:rPr>
                <w:sz w:val="17"/>
                <w:szCs w:val="17"/>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98"/>
              </w:rPr>
              <w:t>136,239,964</w:t>
            </w:r>
          </w:p>
        </w:tc>
        <w:tc>
          <w:tcPr>
            <w:tcW w:w="180" w:type="dxa"/>
            <w:vAlign w:val="bottom"/>
            <w:tcBorders>
              <w:bottom w:val="single" w:sz="8" w:color="D2EEF5"/>
            </w:tcBorders>
            <w:shd w:val="clear" w:color="auto" w:fill="D2EEF5"/>
          </w:tcPr>
          <w:p>
            <w:pPr>
              <w:spacing w:after="0"/>
              <w:rPr>
                <w:sz w:val="17"/>
                <w:szCs w:val="17"/>
                <w:color w:val="auto"/>
              </w:rPr>
            </w:pPr>
          </w:p>
        </w:tc>
        <w:tc>
          <w:tcPr>
            <w:tcW w:w="80" w:type="dxa"/>
            <w:vAlign w:val="bottom"/>
            <w:tcBorders>
              <w:bottom w:val="single" w:sz="8" w:color="auto"/>
            </w:tcBorders>
            <w:shd w:val="clear" w:color="auto" w:fill="D2EEF5"/>
          </w:tcPr>
          <w:p>
            <w:pPr>
              <w:spacing w:after="0"/>
              <w:rPr>
                <w:sz w:val="17"/>
                <w:szCs w:val="17"/>
                <w:color w:val="auto"/>
              </w:rPr>
            </w:pPr>
          </w:p>
        </w:tc>
        <w:tc>
          <w:tcPr>
            <w:tcW w:w="140" w:type="dxa"/>
            <w:vAlign w:val="bottom"/>
            <w:tcBorders>
              <w:bottom w:val="single" w:sz="8" w:color="auto"/>
            </w:tcBorders>
            <w:shd w:val="clear" w:color="auto" w:fill="D2EEF5"/>
          </w:tcPr>
          <w:p>
            <w:pPr>
              <w:spacing w:after="0"/>
              <w:rPr>
                <w:sz w:val="17"/>
                <w:szCs w:val="17"/>
                <w:color w:val="auto"/>
              </w:rPr>
            </w:pPr>
          </w:p>
        </w:tc>
        <w:tc>
          <w:tcPr>
            <w:tcW w:w="20" w:type="dxa"/>
            <w:vAlign w:val="bottom"/>
            <w:tcBorders>
              <w:bottom w:val="single" w:sz="8" w:color="auto"/>
            </w:tcBorders>
            <w:shd w:val="clear" w:color="auto" w:fill="D2EEF5"/>
          </w:tcPr>
          <w:p>
            <w:pPr>
              <w:spacing w:after="0"/>
              <w:rPr>
                <w:sz w:val="17"/>
                <w:szCs w:val="17"/>
                <w:color w:val="auto"/>
              </w:rPr>
            </w:pPr>
          </w:p>
        </w:tc>
        <w:tc>
          <w:tcPr>
            <w:tcW w:w="140" w:type="dxa"/>
            <w:vAlign w:val="bottom"/>
            <w:tcBorders>
              <w:bottom w:val="single" w:sz="8" w:color="auto"/>
            </w:tcBorders>
            <w:shd w:val="clear" w:color="auto" w:fill="D2EEF5"/>
          </w:tcPr>
          <w:p>
            <w:pPr>
              <w:spacing w:after="0"/>
              <w:rPr>
                <w:sz w:val="17"/>
                <w:szCs w:val="17"/>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136,239,964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7060" w:type="dxa"/>
            <w:vAlign w:val="bottom"/>
          </w:tcPr>
          <w:p>
            <w:pPr>
              <w:spacing w:after="0" w:line="154" w:lineRule="exact"/>
              <w:rPr>
                <w:sz w:val="20"/>
                <w:szCs w:val="20"/>
                <w:color w:val="auto"/>
              </w:rPr>
            </w:pPr>
            <w:r>
              <w:rPr>
                <w:rFonts w:ascii="Arial" w:cs="Arial" w:eastAsia="Arial" w:hAnsi="Arial"/>
                <w:sz w:val="15"/>
                <w:szCs w:val="15"/>
                <w:b w:val="1"/>
                <w:bCs w:val="1"/>
                <w:color w:val="auto"/>
              </w:rPr>
              <w:t>Total anti-dilutive common equivalent shares</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w w:val="98"/>
              </w:rPr>
              <w:t>236,620,721</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202,072,578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7340" w:type="dxa"/>
            <w:vAlign w:val="bottom"/>
            <w:gridSpan w:val="2"/>
          </w:tcPr>
          <w:p>
            <w:pPr>
              <w:spacing w:after="0"/>
              <w:rPr>
                <w:sz w:val="20"/>
                <w:szCs w:val="20"/>
                <w:color w:val="auto"/>
              </w:rPr>
            </w:pPr>
            <w:r>
              <w:rPr>
                <w:rFonts w:ascii="Arial" w:cs="Arial" w:eastAsia="Arial" w:hAnsi="Arial"/>
                <w:sz w:val="15"/>
                <w:szCs w:val="15"/>
                <w:b w:val="1"/>
                <w:bCs w:val="1"/>
                <w:color w:val="auto"/>
              </w:rPr>
              <w:t>19. Financial Instruments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340" w:type="dxa"/>
            <w:vAlign w:val="bottom"/>
            <w:gridSpan w:val="2"/>
          </w:tcPr>
          <w:p>
            <w:pPr>
              <w:ind w:left="280"/>
              <w:spacing w:after="0"/>
              <w:rPr>
                <w:sz w:val="20"/>
                <w:szCs w:val="20"/>
                <w:color w:val="auto"/>
              </w:rPr>
            </w:pPr>
            <w:r>
              <w:rPr>
                <w:rFonts w:ascii="Arial" w:cs="Arial" w:eastAsia="Arial" w:hAnsi="Arial"/>
                <w:sz w:val="15"/>
                <w:szCs w:val="15"/>
                <w:b w:val="1"/>
                <w:bCs w:val="1"/>
                <w:color w:val="auto"/>
              </w:rPr>
              <w:t>Categories of Financial Instruments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ind w:left="120"/>
              <w:spacing w:after="0"/>
              <w:rPr>
                <w:sz w:val="20"/>
                <w:szCs w:val="20"/>
                <w:color w:val="auto"/>
              </w:rPr>
            </w:pPr>
            <w:r>
              <w:rPr>
                <w:rFonts w:ascii="Arial" w:cs="Arial" w:eastAsia="Arial" w:hAnsi="Arial"/>
                <w:sz w:val="12"/>
                <w:szCs w:val="12"/>
                <w:b w:val="1"/>
                <w:bCs w:val="1"/>
                <w:color w:val="auto"/>
              </w:rPr>
              <w:t>December 31,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December 31, 2023</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70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Financial assets</w:t>
            </w:r>
          </w:p>
        </w:tc>
        <w:tc>
          <w:tcPr>
            <w:tcW w:w="24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90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spacing w:after="0"/>
              <w:rPr>
                <w:sz w:val="15"/>
                <w:szCs w:val="15"/>
                <w:color w:val="auto"/>
              </w:rPr>
            </w:pPr>
          </w:p>
        </w:tc>
        <w:tc>
          <w:tcPr>
            <w:tcW w:w="900" w:type="dxa"/>
            <w:vAlign w:val="bottom"/>
            <w:tcBorders>
              <w:top w:val="single" w:sz="8" w:color="auto"/>
            </w:tcBorders>
            <w:shd w:val="clear" w:color="auto" w:fill="D2EEF5"/>
          </w:tcPr>
          <w:p>
            <w:pPr>
              <w:spacing w:after="0"/>
              <w:rPr>
                <w:sz w:val="15"/>
                <w:szCs w:val="15"/>
                <w:color w:val="auto"/>
              </w:rPr>
            </w:pPr>
          </w:p>
        </w:tc>
        <w:tc>
          <w:tcPr>
            <w:tcW w:w="280" w:type="dxa"/>
            <w:vAlign w:val="bottom"/>
            <w:tcBorders>
              <w:top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tcPr>
          <w:p>
            <w:pPr>
              <w:ind w:left="80"/>
              <w:spacing w:after="0"/>
              <w:rPr>
                <w:sz w:val="20"/>
                <w:szCs w:val="20"/>
                <w:color w:val="auto"/>
              </w:rPr>
            </w:pPr>
            <w:r>
              <w:rPr>
                <w:rFonts w:ascii="Arial" w:cs="Arial" w:eastAsia="Arial" w:hAnsi="Arial"/>
                <w:sz w:val="15"/>
                <w:szCs w:val="15"/>
                <w:color w:val="auto"/>
              </w:rPr>
              <w:t>Amortized 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shd w:val="clear" w:color="auto" w:fill="D2EEF5"/>
          </w:tcPr>
          <w:p>
            <w:pPr>
              <w:ind w:left="180"/>
              <w:spacing w:after="0"/>
              <w:rPr>
                <w:sz w:val="20"/>
                <w:szCs w:val="20"/>
                <w:color w:val="auto"/>
              </w:rPr>
            </w:pPr>
            <w:r>
              <w:rPr>
                <w:rFonts w:ascii="Arial" w:cs="Arial" w:eastAsia="Arial" w:hAnsi="Arial"/>
                <w:sz w:val="15"/>
                <w:szCs w:val="15"/>
                <w:color w:val="auto"/>
              </w:rPr>
              <w:t>Cash</w:t>
            </w:r>
          </w:p>
        </w:tc>
        <w:tc>
          <w:tcPr>
            <w:tcW w:w="400" w:type="dxa"/>
            <w:vAlign w:val="bottom"/>
            <w:gridSpan w:val="2"/>
            <w:shd w:val="clear" w:color="auto" w:fill="D2EEF5"/>
          </w:tcPr>
          <w:p>
            <w:pPr>
              <w:jc w:val="right"/>
              <w:ind w:right="9"/>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3,480</w:t>
            </w:r>
          </w:p>
        </w:tc>
        <w:tc>
          <w:tcPr>
            <w:tcW w:w="140" w:type="dxa"/>
            <w:vAlign w:val="bottom"/>
            <w:shd w:val="clear" w:color="auto" w:fill="D2EEF5"/>
          </w:tcPr>
          <w:p>
            <w:pPr>
              <w:spacing w:after="0"/>
              <w:rPr>
                <w:sz w:val="15"/>
                <w:szCs w:val="15"/>
                <w:color w:val="auto"/>
              </w:rPr>
            </w:pPr>
          </w:p>
        </w:tc>
        <w:tc>
          <w:tcPr>
            <w:tcW w:w="160" w:type="dxa"/>
            <w:vAlign w:val="bottom"/>
            <w:gridSpan w:val="2"/>
            <w:shd w:val="clear" w:color="auto" w:fill="D2EEF5"/>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6,842</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tcBorders>
              <w:bottom w:val="single" w:sz="8" w:color="D2EEF5"/>
            </w:tcBorders>
          </w:tcPr>
          <w:p>
            <w:pPr>
              <w:ind w:left="180"/>
              <w:spacing w:after="0"/>
              <w:rPr>
                <w:sz w:val="20"/>
                <w:szCs w:val="20"/>
                <w:color w:val="auto"/>
              </w:rPr>
            </w:pPr>
            <w:r>
              <w:rPr>
                <w:rFonts w:ascii="Arial" w:cs="Arial" w:eastAsia="Arial" w:hAnsi="Arial"/>
                <w:sz w:val="15"/>
                <w:szCs w:val="15"/>
                <w:color w:val="auto"/>
              </w:rPr>
              <w:t>Taxes and other receivables (Note 6)</w:t>
            </w:r>
          </w:p>
        </w:tc>
        <w:tc>
          <w:tcPr>
            <w:tcW w:w="24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249</w:t>
            </w:r>
          </w:p>
        </w:tc>
        <w:tc>
          <w:tcPr>
            <w:tcW w:w="14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467</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706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3,729</w:t>
            </w: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ind w:right="27"/>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color w:val="auto"/>
              </w:rPr>
              <w:t>7,309</w:t>
            </w:r>
          </w:p>
        </w:tc>
        <w:tc>
          <w:tcPr>
            <w:tcW w:w="0" w:type="dxa"/>
            <w:vAlign w:val="bottom"/>
          </w:tcPr>
          <w:p>
            <w:pPr>
              <w:spacing w:after="0"/>
              <w:rPr>
                <w:sz w:val="1"/>
                <w:szCs w:val="1"/>
                <w:color w:val="auto"/>
              </w:rPr>
            </w:pPr>
          </w:p>
        </w:tc>
      </w:tr>
      <w:tr>
        <w:trPr>
          <w:trHeight w:val="174"/>
        </w:trPr>
        <w:tc>
          <w:tcPr>
            <w:tcW w:w="280" w:type="dxa"/>
            <w:vAlign w:val="bottom"/>
            <w:vMerge w:val="restart"/>
          </w:tcPr>
          <w:p>
            <w:pPr>
              <w:spacing w:after="0"/>
              <w:rPr>
                <w:sz w:val="15"/>
                <w:szCs w:val="15"/>
                <w:color w:val="auto"/>
              </w:rPr>
            </w:pPr>
          </w:p>
        </w:tc>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vMerge w:val="continue"/>
          </w:tcPr>
          <w:p>
            <w:pPr>
              <w:spacing w:after="0"/>
              <w:rPr>
                <w:sz w:val="15"/>
                <w:szCs w:val="15"/>
                <w:color w:val="auto"/>
              </w:rPr>
            </w:pPr>
          </w:p>
        </w:tc>
        <w:tc>
          <w:tcPr>
            <w:tcW w:w="7060" w:type="dxa"/>
            <w:vAlign w:val="bottom"/>
            <w:shd w:val="clear" w:color="auto" w:fill="D2EEF5"/>
          </w:tcPr>
          <w:p>
            <w:pPr>
              <w:spacing w:after="0"/>
              <w:rPr>
                <w:sz w:val="20"/>
                <w:szCs w:val="20"/>
                <w:color w:val="auto"/>
              </w:rPr>
            </w:pPr>
            <w:r>
              <w:rPr>
                <w:rFonts w:ascii="Arial" w:cs="Arial" w:eastAsia="Arial" w:hAnsi="Arial"/>
                <w:sz w:val="15"/>
                <w:szCs w:val="15"/>
                <w:color w:val="auto"/>
              </w:rPr>
              <w:t>Financial liabilities</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90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9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tcPr>
          <w:p>
            <w:pPr>
              <w:ind w:left="80"/>
              <w:spacing w:after="0"/>
              <w:rPr>
                <w:sz w:val="20"/>
                <w:szCs w:val="20"/>
                <w:color w:val="auto"/>
              </w:rPr>
            </w:pPr>
            <w:r>
              <w:rPr>
                <w:rFonts w:ascii="Arial" w:cs="Arial" w:eastAsia="Arial" w:hAnsi="Arial"/>
                <w:sz w:val="15"/>
                <w:szCs w:val="15"/>
                <w:color w:val="auto"/>
              </w:rPr>
              <w:t>Amortized 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shd w:val="clear" w:color="auto" w:fill="D2EEF5"/>
          </w:tcPr>
          <w:p>
            <w:pPr>
              <w:ind w:left="180"/>
              <w:spacing w:after="0"/>
              <w:rPr>
                <w:sz w:val="20"/>
                <w:szCs w:val="20"/>
                <w:color w:val="auto"/>
              </w:rPr>
            </w:pPr>
            <w:r>
              <w:rPr>
                <w:rFonts w:ascii="Arial" w:cs="Arial" w:eastAsia="Arial" w:hAnsi="Arial"/>
                <w:sz w:val="15"/>
                <w:szCs w:val="15"/>
                <w:color w:val="auto"/>
              </w:rPr>
              <w:t>Accounts payable and accrued liabilities</w:t>
            </w:r>
          </w:p>
        </w:tc>
        <w:tc>
          <w:tcPr>
            <w:tcW w:w="400" w:type="dxa"/>
            <w:vAlign w:val="bottom"/>
            <w:gridSpan w:val="2"/>
            <w:shd w:val="clear" w:color="auto" w:fill="D2EEF5"/>
          </w:tcPr>
          <w:p>
            <w:pPr>
              <w:jc w:val="right"/>
              <w:ind w:right="9"/>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42,754</w:t>
            </w:r>
          </w:p>
        </w:tc>
        <w:tc>
          <w:tcPr>
            <w:tcW w:w="140" w:type="dxa"/>
            <w:vAlign w:val="bottom"/>
            <w:shd w:val="clear" w:color="auto" w:fill="D2EEF5"/>
          </w:tcPr>
          <w:p>
            <w:pPr>
              <w:spacing w:after="0"/>
              <w:rPr>
                <w:sz w:val="15"/>
                <w:szCs w:val="15"/>
                <w:color w:val="auto"/>
              </w:rPr>
            </w:pPr>
          </w:p>
        </w:tc>
        <w:tc>
          <w:tcPr>
            <w:tcW w:w="160" w:type="dxa"/>
            <w:vAlign w:val="bottom"/>
            <w:gridSpan w:val="2"/>
            <w:shd w:val="clear" w:color="auto" w:fill="D2EEF5"/>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31,334</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tcPr>
          <w:p>
            <w:pPr>
              <w:ind w:left="180"/>
              <w:spacing w:after="0"/>
              <w:rPr>
                <w:sz w:val="20"/>
                <w:szCs w:val="20"/>
                <w:color w:val="auto"/>
              </w:rPr>
            </w:pPr>
            <w:r>
              <w:rPr>
                <w:rFonts w:ascii="Arial" w:cs="Arial" w:eastAsia="Arial" w:hAnsi="Arial"/>
                <w:sz w:val="15"/>
                <w:szCs w:val="15"/>
                <w:color w:val="auto"/>
              </w:rPr>
              <w:t>Short-term debt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11,775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shd w:val="clear" w:color="auto" w:fill="D2EEF5"/>
          </w:tcPr>
          <w:p>
            <w:pPr>
              <w:ind w:left="80"/>
              <w:spacing w:after="0"/>
              <w:rPr>
                <w:sz w:val="20"/>
                <w:szCs w:val="20"/>
                <w:color w:val="auto"/>
              </w:rPr>
            </w:pPr>
            <w:r>
              <w:rPr>
                <w:rFonts w:ascii="Arial" w:cs="Arial" w:eastAsia="Arial" w:hAnsi="Arial"/>
                <w:sz w:val="15"/>
                <w:szCs w:val="15"/>
                <w:color w:val="auto"/>
              </w:rPr>
              <w:t>Fair value through profit or loss</w:t>
            </w:r>
          </w:p>
        </w:tc>
        <w:tc>
          <w:tcPr>
            <w:tcW w:w="2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900" w:type="dxa"/>
            <w:vAlign w:val="bottom"/>
            <w:shd w:val="clear" w:color="auto" w:fill="D2EEF5"/>
          </w:tcPr>
          <w:p>
            <w:pPr>
              <w:spacing w:after="0"/>
              <w:rPr>
                <w:sz w:val="15"/>
                <w:szCs w:val="15"/>
                <w:color w:val="auto"/>
              </w:rPr>
            </w:pPr>
          </w:p>
        </w:tc>
        <w:tc>
          <w:tcPr>
            <w:tcW w:w="400" w:type="dxa"/>
            <w:vAlign w:val="bottom"/>
            <w:gridSpan w:val="3"/>
            <w:shd w:val="clear" w:color="auto" w:fill="D2EEF5"/>
          </w:tcPr>
          <w:p>
            <w:pPr>
              <w:jc w:val="right"/>
              <w:ind w:right="200"/>
              <w:spacing w:after="0"/>
              <w:rPr>
                <w:sz w:val="20"/>
                <w:szCs w:val="20"/>
                <w:color w:val="auto"/>
              </w:rPr>
            </w:pPr>
            <w:r>
              <w:rPr>
                <w:rFonts w:ascii="Arial" w:cs="Arial" w:eastAsia="Arial" w:hAnsi="Arial"/>
                <w:sz w:val="15"/>
                <w:szCs w:val="15"/>
                <w:b w:val="1"/>
                <w:bCs w:val="1"/>
                <w:color w:val="auto"/>
              </w:rPr>
              <w:t>—</w:t>
            </w: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900" w:type="dxa"/>
            <w:vAlign w:val="bottom"/>
            <w:shd w:val="clear" w:color="auto" w:fill="D2EEF5"/>
          </w:tcPr>
          <w:p>
            <w:pPr>
              <w:spacing w:after="0"/>
              <w:rPr>
                <w:sz w:val="15"/>
                <w:szCs w:val="15"/>
                <w:color w:val="auto"/>
              </w:rPr>
            </w:pPr>
          </w:p>
        </w:tc>
        <w:tc>
          <w:tcPr>
            <w:tcW w:w="2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tcPr>
          <w:p>
            <w:pPr>
              <w:ind w:left="180"/>
              <w:spacing w:after="0"/>
              <w:rPr>
                <w:sz w:val="20"/>
                <w:szCs w:val="20"/>
                <w:color w:val="auto"/>
              </w:rPr>
            </w:pPr>
            <w:r>
              <w:rPr>
                <w:rFonts w:ascii="Arial" w:cs="Arial" w:eastAsia="Arial" w:hAnsi="Arial"/>
                <w:sz w:val="15"/>
                <w:szCs w:val="15"/>
                <w:color w:val="auto"/>
              </w:rPr>
              <w:t>Royalty liability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14,000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14,000</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7060" w:type="dxa"/>
            <w:vAlign w:val="bottom"/>
            <w:shd w:val="clear" w:color="auto" w:fill="D2EEF5"/>
          </w:tcPr>
          <w:p>
            <w:pPr>
              <w:ind w:left="180"/>
              <w:spacing w:after="0"/>
              <w:rPr>
                <w:sz w:val="20"/>
                <w:szCs w:val="20"/>
                <w:color w:val="auto"/>
              </w:rPr>
            </w:pPr>
            <w:r>
              <w:rPr>
                <w:rFonts w:ascii="Arial" w:cs="Arial" w:eastAsia="Arial" w:hAnsi="Arial"/>
                <w:sz w:val="15"/>
                <w:szCs w:val="15"/>
                <w:color w:val="auto"/>
              </w:rPr>
              <w:t>Warrants liability</w:t>
            </w:r>
          </w:p>
        </w:tc>
        <w:tc>
          <w:tcPr>
            <w:tcW w:w="240" w:type="dxa"/>
            <w:vAlign w:val="bottom"/>
            <w:shd w:val="clear" w:color="auto" w:fill="D2EEF5"/>
          </w:tcPr>
          <w:p>
            <w:pPr>
              <w:spacing w:after="0"/>
              <w:rPr>
                <w:sz w:val="15"/>
                <w:szCs w:val="15"/>
                <w:color w:val="auto"/>
              </w:rPr>
            </w:pPr>
          </w:p>
        </w:tc>
        <w:tc>
          <w:tcPr>
            <w:tcW w:w="160" w:type="dxa"/>
            <w:vAlign w:val="bottom"/>
            <w:tcBorders>
              <w:bottom w:val="single" w:sz="8" w:color="auto"/>
            </w:tcBorders>
            <w:shd w:val="clear" w:color="auto" w:fill="D2EEF5"/>
          </w:tcPr>
          <w:p>
            <w:pPr>
              <w:spacing w:after="0"/>
              <w:rPr>
                <w:sz w:val="15"/>
                <w:szCs w:val="15"/>
                <w:color w:val="auto"/>
              </w:rPr>
            </w:pPr>
          </w:p>
        </w:tc>
        <w:tc>
          <w:tcPr>
            <w:tcW w:w="1160" w:type="dxa"/>
            <w:vAlign w:val="bottom"/>
            <w:tcBorders>
              <w:bottom w:val="single" w:sz="8" w:color="auto"/>
            </w:tcBorders>
            <w:gridSpan w:val="3"/>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912</w:t>
            </w: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spacing w:after="0"/>
              <w:rPr>
                <w:sz w:val="15"/>
                <w:szCs w:val="15"/>
                <w:color w:val="auto"/>
              </w:rPr>
            </w:pPr>
          </w:p>
        </w:tc>
        <w:tc>
          <w:tcPr>
            <w:tcW w:w="1180" w:type="dxa"/>
            <w:vAlign w:val="bottom"/>
            <w:tcBorders>
              <w:bottom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69,441</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47,303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60" w:hanging="280"/>
        <w:spacing w:after="0"/>
        <w:tabs>
          <w:tab w:leader="none" w:pos="36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61" w:lineRule="exact"/>
        <w:rPr>
          <w:rFonts w:ascii="Arial" w:cs="Arial" w:eastAsia="Arial" w:hAnsi="Arial"/>
          <w:sz w:val="15"/>
          <w:szCs w:val="15"/>
          <w:b w:val="1"/>
          <w:bCs w:val="1"/>
          <w:color w:val="auto"/>
        </w:rPr>
      </w:pPr>
    </w:p>
    <w:p>
      <w:pPr>
        <w:jc w:val="both"/>
        <w:ind w:left="360" w:right="8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One of the Company’s subsidiaries has a consulting agreement with SSCS Pte. Ltd. (“SSCS”) to manage offshore engineering studies. A director of DGE is employed through SSCS. Consulting services during the year ended December 31, 2024, totaled $75 thousand, (2023: $212 thousand), out of which a total of $53 thousand (2023: $170 thousand), is disclosed as exploration labor within exploration and evaluation expenses (Note 10) and $22 thousand is disclosed as general and administrative expenses (2023: $42 thousand). As at December 31, 2024, the amount payable to SSCS was $nil (December 31, 2023 - $17 thousand).</w:t>
      </w:r>
    </w:p>
    <w:p>
      <w:pPr>
        <w:spacing w:after="0" w:line="91" w:lineRule="exact"/>
        <w:rPr>
          <w:rFonts w:ascii="Arial" w:cs="Arial" w:eastAsia="Arial" w:hAnsi="Arial"/>
          <w:sz w:val="15"/>
          <w:szCs w:val="15"/>
          <w:b w:val="1"/>
          <w:bCs w:val="1"/>
          <w:color w:val="auto"/>
        </w:rPr>
      </w:pPr>
    </w:p>
    <w:p>
      <w:pPr>
        <w:ind w:left="360" w:right="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One of the Company’s directors, who was appointed at the Company’s annual general meeting held on May 31, 2024, is the Chairman of Stonehaven Campaigns Limited and Robertsbridge Consultants Limited, which provide the Company with consulting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05">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69pt"/>
            </w:pict>
          </mc:Fallback>
        </mc:AlternateContent>
      </w:r>
    </w:p>
    <w:p>
      <w:pPr>
        <w:sectPr>
          <w:pgSz w:w="13680" w:h="17280" w:orient="portrait"/>
          <w:cols w:equalWidth="0" w:num="1">
            <w:col w:w="10800"/>
          </w:cols>
          <w:pgMar w:left="1440" w:top="1440" w:right="1440"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5"/>
          <w:szCs w:val="15"/>
          <w:color w:val="auto"/>
        </w:rPr>
        <w:t>services. From May 31, 2024, until December 31, 2024, Stonehaven Campaigns Limited and Robertsbridge Consultants Limited, provided consulting services amounting to $18 thousand and $26 thousand respectively, recorded in general and administrative expenses. As at December 31, 2024, the amount payable to both Stonehaven Campaigns Limited and Robertsbridge Consultants Limited was $nil.</w:t>
      </w:r>
    </w:p>
    <w:p>
      <w:pPr>
        <w:spacing w:after="0" w:line="103"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On January 30, 2024, as part of the Registered Direct Offering (Note 13), the Company received the remaining committed funding of $9 million from ERAS Capital LLC, the investment fund of one of the Company’s directors.</w:t>
      </w:r>
    </w:p>
    <w:p>
      <w:pPr>
        <w:spacing w:after="0" w:line="85" w:lineRule="exact"/>
        <w:rPr>
          <w:sz w:val="20"/>
          <w:szCs w:val="20"/>
          <w:color w:val="auto"/>
        </w:rPr>
      </w:pPr>
    </w:p>
    <w:p>
      <w:pPr>
        <w:jc w:val="both"/>
        <w:ind w:left="360" w:right="80" w:firstLine="1"/>
        <w:spacing w:after="0" w:line="276" w:lineRule="auto"/>
        <w:rPr>
          <w:sz w:val="20"/>
          <w:szCs w:val="20"/>
          <w:color w:val="auto"/>
        </w:rPr>
      </w:pPr>
      <w:r>
        <w:rPr>
          <w:rFonts w:ascii="Arial" w:cs="Arial" w:eastAsia="Arial" w:hAnsi="Arial"/>
          <w:sz w:val="14"/>
          <w:szCs w:val="14"/>
          <w:color w:val="auto"/>
        </w:rPr>
        <w:t>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($10 million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The Company will pay an underutilization fee equal to 4.0% per annum payable semi-annually for any amounts that remain undrawn under the 2024 Credit Facility. The Company has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the Company or any of its subsidiaries raise at least $50 million in the aggregate (i) through the issuance of any of the Company’s or its subsidiaries’ debt or equity securities, or (ii) in prepayments under an off-take agreement or similar commercial agreement. On August 13, 2024, the Company entered into the First Amendment to the 2024 Credit Facility with the 2024 Lenders, to increase the borrowing limit of the 2024 Credit Facility to $25 million in the aggregate ($12.5 million from each of the 2024 Lenders). Under the terms of the First Amendment, the borrowing limit will return to $20 million in the aggregate ($10 million from each of the 2024 Lenders) upon certain financing events. On November 14, 2024, the Company entered into the Second Amendment to the 2024 Credit Facility with the 2024 Lenders, to increase the borrowing limit to $38 million in the aggregate ($19 million from each of the 2024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spacing w:after="0" w:line="123" w:lineRule="exact"/>
        <w:rPr>
          <w:sz w:val="20"/>
          <w:szCs w:val="20"/>
          <w:color w:val="auto"/>
        </w:rPr>
      </w:pPr>
    </w:p>
    <w:p>
      <w:pPr>
        <w:jc w:val="both"/>
        <w:ind w:left="360" w:right="100" w:firstLine="1"/>
        <w:spacing w:after="0" w:line="323" w:lineRule="auto"/>
        <w:rPr>
          <w:sz w:val="20"/>
          <w:szCs w:val="20"/>
          <w:color w:val="auto"/>
        </w:rPr>
      </w:pPr>
      <w:r>
        <w:rPr>
          <w:rFonts w:ascii="Arial" w:cs="Arial" w:eastAsia="Arial" w:hAnsi="Arial"/>
          <w:sz w:val="13"/>
          <w:szCs w:val="13"/>
          <w:color w:val="auto"/>
        </w:rPr>
        <w:t>During the year ended December 31, 2024, the Company has drawn $4.3 million from the 2024 Credit Facility and incurred $0.2 million as interest expense. During 2024, the Company incurred $1.1 million, as underutilization fees, which would be payable only in the event the 2024 Credit Facility is not drawn down at the time such fees are payable. During the year, the Company repaid interest amounting to $25 thousand, and underutilization fees amounting to $0.1 million to the 2024 Lenders. On January 31, 2025, the Company repaid the drawn amount and outstanding interest on the 2024 Credit Facility amounting to $1.8 million and $0.1 million, respectively.</w:t>
      </w:r>
    </w:p>
    <w:p>
      <w:pPr>
        <w:spacing w:after="0" w:line="76" w:lineRule="exact"/>
        <w:rPr>
          <w:sz w:val="20"/>
          <w:szCs w:val="20"/>
          <w:color w:val="auto"/>
        </w:rPr>
      </w:pPr>
    </w:p>
    <w:p>
      <w:pPr>
        <w:jc w:val="both"/>
        <w:ind w:left="360" w:right="80"/>
        <w:spacing w:after="0" w:line="299" w:lineRule="auto"/>
        <w:rPr>
          <w:sz w:val="20"/>
          <w:szCs w:val="20"/>
          <w:color w:val="auto"/>
        </w:rPr>
      </w:pPr>
      <w:r>
        <w:rPr>
          <w:rFonts w:ascii="Arial" w:cs="Arial" w:eastAsia="Arial" w:hAnsi="Arial"/>
          <w:sz w:val="15"/>
          <w:szCs w:val="15"/>
          <w:color w:val="auto"/>
        </w:rPr>
        <w:t>Apart from the above-mentioned transactions, the Company had transactions with Allseas which are detailed in Note 8 and issued share-based grants to the Company’s directors which are detailed in Note 17.</w:t>
      </w:r>
    </w:p>
    <w:p>
      <w:pPr>
        <w:spacing w:after="0" w:line="117" w:lineRule="exact"/>
        <w:rPr>
          <w:sz w:val="20"/>
          <w:szCs w:val="20"/>
          <w:color w:val="auto"/>
        </w:rPr>
      </w:pPr>
    </w:p>
    <w:p>
      <w:pPr>
        <w:ind w:left="360" w:right="7780" w:hanging="280"/>
        <w:spacing w:after="0" w:line="510" w:lineRule="auto"/>
        <w:tabs>
          <w:tab w:leader="none" w:pos="36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Contingent Liabilities </w:t>
      </w:r>
      <w:r>
        <w:rPr>
          <w:rFonts w:ascii="Arial" w:cs="Arial" w:eastAsia="Arial" w:hAnsi="Arial"/>
          <w:sz w:val="15"/>
          <w:szCs w:val="15"/>
          <w:b w:val="1"/>
          <w:bCs w:val="1"/>
          <w:i w:val="1"/>
          <w:iCs w:val="1"/>
          <w:color w:val="auto"/>
        </w:rPr>
        <w:t>NORI Exploration Contract</w:t>
      </w:r>
    </w:p>
    <w:p>
      <w:pPr>
        <w:spacing w:after="0" w:line="1" w:lineRule="exact"/>
        <w:rPr>
          <w:rFonts w:ascii="Arial" w:cs="Arial" w:eastAsia="Arial" w:hAnsi="Arial"/>
          <w:sz w:val="15"/>
          <w:szCs w:val="15"/>
          <w:b w:val="1"/>
          <w:bCs w:val="1"/>
          <w:color w:val="auto"/>
        </w:rPr>
      </w:pPr>
    </w:p>
    <w:p>
      <w:pPr>
        <w:jc w:val="both"/>
        <w:ind w:left="360" w:right="8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NORI is currently implementing its approved 2022 to 2026 five-year plan. The cost of the estimated work plan for 2025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 NORI’s exploration contract expires on July 21, 2026. NORI is required to submit an application for</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05">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69pt"/>
            </w:pict>
          </mc:Fallback>
        </mc:AlternateContent>
      </w:r>
    </w:p>
    <w:p>
      <w:pPr>
        <w:sectPr>
          <w:pgSz w:w="13680" w:h="17280" w:orient="portrait"/>
          <w:cols w:equalWidth="0" w:num="1">
            <w:col w:w="10800"/>
          </w:cols>
          <w:pgMar w:left="1440" w:top="1440" w:right="1440"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360" w:right="1620"/>
        <w:spacing w:after="0" w:line="509" w:lineRule="auto"/>
        <w:rPr>
          <w:sz w:val="20"/>
          <w:szCs w:val="20"/>
          <w:color w:val="auto"/>
        </w:rPr>
      </w:pPr>
      <w:r>
        <w:rPr>
          <w:rFonts w:ascii="Arial" w:cs="Arial" w:eastAsia="Arial" w:hAnsi="Arial"/>
          <w:sz w:val="15"/>
          <w:szCs w:val="15"/>
          <w:color w:val="auto"/>
        </w:rPr>
        <w:t xml:space="preserve">extension no later than six months before the expiration of the contract. NORI intends to submit an application for a five-year extension in 2025. </w:t>
      </w:r>
      <w:r>
        <w:rPr>
          <w:rFonts w:ascii="Arial" w:cs="Arial" w:eastAsia="Arial" w:hAnsi="Arial"/>
          <w:sz w:val="15"/>
          <w:szCs w:val="15"/>
          <w:b w:val="1"/>
          <w:bCs w:val="1"/>
          <w:i w:val="1"/>
          <w:iCs w:val="1"/>
          <w:color w:val="auto"/>
        </w:rPr>
        <w:t>TOML Exploration Contract</w:t>
      </w:r>
    </w:p>
    <w:p>
      <w:pPr>
        <w:ind w:left="360" w:right="320"/>
        <w:spacing w:after="0" w:line="276" w:lineRule="auto"/>
        <w:rPr>
          <w:sz w:val="20"/>
          <w:szCs w:val="20"/>
          <w:color w:val="auto"/>
        </w:rPr>
      </w:pPr>
      <w:r>
        <w:rPr>
          <w:rFonts w:ascii="Arial" w:cs="Arial" w:eastAsia="Arial" w:hAnsi="Arial"/>
          <w:sz w:val="15"/>
          <w:szCs w:val="15"/>
          <w:color w:val="auto"/>
        </w:rPr>
        <w:t>TOML is currently implementing its approved 2022 to 2026 five-year plan,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Offtake Agreements</w:t>
      </w:r>
    </w:p>
    <w:p>
      <w:pPr>
        <w:spacing w:after="0" w:line="192" w:lineRule="exact"/>
        <w:rPr>
          <w:sz w:val="20"/>
          <w:szCs w:val="20"/>
          <w:color w:val="auto"/>
        </w:rPr>
      </w:pPr>
    </w:p>
    <w:p>
      <w:pPr>
        <w:jc w:val="both"/>
        <w:ind w:left="360" w:right="80"/>
        <w:spacing w:after="0" w:line="265" w:lineRule="auto"/>
        <w:rPr>
          <w:sz w:val="20"/>
          <w:szCs w:val="20"/>
          <w:color w:val="auto"/>
        </w:rPr>
      </w:pPr>
      <w:r>
        <w:rPr>
          <w:rFonts w:ascii="Arial" w:cs="Arial" w:eastAsia="Arial" w:hAnsi="Arial"/>
          <w:sz w:val="15"/>
          <w:szCs w:val="15"/>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Sponsorship Agreements</w:t>
      </w:r>
    </w:p>
    <w:p>
      <w:pPr>
        <w:spacing w:after="0" w:line="192" w:lineRule="exact"/>
        <w:rPr>
          <w:sz w:val="20"/>
          <w:szCs w:val="20"/>
          <w:color w:val="auto"/>
        </w:rPr>
      </w:pPr>
    </w:p>
    <w:p>
      <w:pPr>
        <w:jc w:val="both"/>
        <w:ind w:left="360" w:right="80"/>
        <w:spacing w:after="0" w:line="263" w:lineRule="auto"/>
        <w:rPr>
          <w:sz w:val="20"/>
          <w:szCs w:val="20"/>
          <w:color w:val="auto"/>
        </w:rPr>
      </w:pPr>
      <w:r>
        <w:rPr>
          <w:rFonts w:ascii="Arial" w:cs="Arial" w:eastAsia="Arial" w:hAnsi="Arial"/>
          <w:sz w:val="15"/>
          <w:szCs w:val="15"/>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pacing w:after="0" w:line="147" w:lineRule="exact"/>
        <w:rPr>
          <w:sz w:val="20"/>
          <w:szCs w:val="20"/>
          <w:color w:val="auto"/>
        </w:rPr>
      </w:pPr>
    </w:p>
    <w:p>
      <w:pPr>
        <w:jc w:val="both"/>
        <w:ind w:left="360" w:right="80"/>
        <w:spacing w:after="0" w:line="285" w:lineRule="auto"/>
        <w:rPr>
          <w:sz w:val="20"/>
          <w:szCs w:val="20"/>
          <w:color w:val="auto"/>
        </w:rPr>
      </w:pPr>
      <w:r>
        <w:rPr>
          <w:rFonts w:ascii="Arial" w:cs="Arial" w:eastAsia="Arial" w:hAnsi="Arial"/>
          <w:sz w:val="14"/>
          <w:szCs w:val="14"/>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Contingent Liability</w:t>
      </w:r>
    </w:p>
    <w:p>
      <w:pPr>
        <w:spacing w:after="0" w:line="196" w:lineRule="exact"/>
        <w:rPr>
          <w:sz w:val="20"/>
          <w:szCs w:val="20"/>
          <w:color w:val="auto"/>
        </w:rPr>
      </w:pPr>
    </w:p>
    <w:p>
      <w:pPr>
        <w:jc w:val="both"/>
        <w:ind w:left="360" w:right="80"/>
        <w:spacing w:after="0" w:line="280" w:lineRule="auto"/>
        <w:rPr>
          <w:sz w:val="20"/>
          <w:szCs w:val="20"/>
          <w:color w:val="auto"/>
        </w:rPr>
      </w:pPr>
      <w:r>
        <w:rPr>
          <w:rFonts w:ascii="Arial" w:cs="Arial" w:eastAsia="Arial" w:hAnsi="Arial"/>
          <w:sz w:val="14"/>
          <w:szCs w:val="14"/>
          <w:color w:val="auto"/>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360" w:right="80" w:firstLine="1"/>
        <w:spacing w:after="0" w:line="265" w:lineRule="auto"/>
        <w:rPr>
          <w:sz w:val="20"/>
          <w:szCs w:val="20"/>
          <w:color w:val="auto"/>
        </w:rPr>
      </w:pPr>
      <w:r>
        <w:rPr>
          <w:rFonts w:ascii="Arial" w:cs="Arial" w:eastAsia="Arial" w:hAnsi="Arial"/>
          <w:sz w:val="15"/>
          <w:szCs w:val="15"/>
          <w:color w:val="auto"/>
        </w:rPr>
        <w:t>currently awaiting a ruling. There is no assurance, however, that the Company or the other defendants will be successful in the Company’s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46" w:lineRule="exact"/>
        <w:rPr>
          <w:sz w:val="20"/>
          <w:szCs w:val="20"/>
          <w:color w:val="auto"/>
        </w:rPr>
      </w:pPr>
    </w:p>
    <w:p>
      <w:pPr>
        <w:jc w:val="both"/>
        <w:ind w:left="360" w:right="80" w:firstLine="1"/>
        <w:spacing w:after="0" w:line="279" w:lineRule="auto"/>
        <w:rPr>
          <w:sz w:val="20"/>
          <w:szCs w:val="20"/>
          <w:color w:val="auto"/>
        </w:rPr>
      </w:pPr>
      <w:r>
        <w:rPr>
          <w:rFonts w:ascii="Arial" w:cs="Arial" w:eastAsia="Arial" w:hAnsi="Arial"/>
          <w:sz w:val="14"/>
          <w:szCs w:val="14"/>
          <w:color w:val="auto"/>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There is no assurance that the Company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37" w:lineRule="exact"/>
        <w:rPr>
          <w:sz w:val="20"/>
          <w:szCs w:val="20"/>
          <w:color w:val="auto"/>
        </w:rPr>
      </w:pPr>
    </w:p>
    <w:p>
      <w:pPr>
        <w:jc w:val="both"/>
        <w:ind w:left="360" w:right="80" w:firstLine="1"/>
        <w:spacing w:after="0" w:line="277" w:lineRule="auto"/>
        <w:rPr>
          <w:sz w:val="20"/>
          <w:szCs w:val="20"/>
          <w:color w:val="auto"/>
        </w:rPr>
      </w:pPr>
      <w:r>
        <w:rPr>
          <w:rFonts w:ascii="Arial" w:cs="Arial" w:eastAsia="Arial" w:hAnsi="Arial"/>
          <w:sz w:val="14"/>
          <w:szCs w:val="14"/>
          <w:color w:val="auto"/>
        </w:rPr>
        <w:t>On November 8, 2024, a shareholder filed a putative class action against the Company and certain of its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the Company’s initial classification of this non-financial asst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the Company’s securities between May 12, 2023, and March 25, 2024, and seeks to recover compensable damages caused by the alleged wrongdoings. On February 6, 2025, the Court appointed a lead plaintiff. An amended complaint was filed on March 6, 2025. Pursuant to court-approved scheduling, we are expected to serve a motion to dismiss by April 10, 2025, the lead plaintiff is expected to file an opposition by May 15, 2025, and we are expected to reply by June 5, 2025. The Company intends to defend against the lawsuit. There can be no assurance, however, that the Company will be successful in its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41"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Fair Value Accounting</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tables set forth the Company’s assets and liabilities measured at fair value (Note 3):</w:t>
      </w: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2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rPr>
              <w:t>Fair Value at December 31, 2024</w:t>
            </w:r>
          </w:p>
        </w:tc>
        <w:tc>
          <w:tcPr>
            <w:tcW w:w="6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r>
      <w:tr>
        <w:trPr>
          <w:trHeight w:val="117"/>
        </w:trPr>
        <w:tc>
          <w:tcPr>
            <w:tcW w:w="2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208"/>
              <w:spacing w:after="0" w:line="117" w:lineRule="exact"/>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50"/>
              <w:spacing w:after="0" w:line="117" w:lineRule="exact"/>
              <w:rPr>
                <w:sz w:val="20"/>
                <w:szCs w:val="20"/>
                <w:color w:val="auto"/>
              </w:rPr>
            </w:pPr>
            <w:r>
              <w:rPr>
                <w:rFonts w:ascii="Arial" w:cs="Arial" w:eastAsia="Arial" w:hAnsi="Arial"/>
                <w:sz w:val="12"/>
                <w:szCs w:val="12"/>
                <w:b w:val="1"/>
                <w:bCs w:val="1"/>
                <w:color w:val="auto"/>
              </w:rPr>
              <w:t>Level 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ind w:left="80"/>
              <w:spacing w:after="0" w:line="117" w:lineRule="exact"/>
              <w:rPr>
                <w:sz w:val="20"/>
                <w:szCs w:val="20"/>
                <w:color w:val="auto"/>
              </w:rPr>
            </w:pPr>
            <w:r>
              <w:rPr>
                <w:rFonts w:ascii="Arial" w:cs="Arial" w:eastAsia="Arial" w:hAnsi="Arial"/>
                <w:sz w:val="12"/>
                <w:szCs w:val="12"/>
                <w:b w:val="1"/>
                <w:bCs w:val="1"/>
                <w:color w:val="auto"/>
              </w:rPr>
              <w:t>Level 2</w:t>
            </w:r>
          </w:p>
        </w:tc>
        <w:tc>
          <w:tcPr>
            <w:tcW w:w="680" w:type="dxa"/>
            <w:vAlign w:val="bottom"/>
          </w:tcPr>
          <w:p>
            <w:pPr>
              <w:jc w:val="right"/>
              <w:ind w:right="148"/>
              <w:spacing w:after="0" w:line="117" w:lineRule="exact"/>
              <w:rPr>
                <w:sz w:val="20"/>
                <w:szCs w:val="20"/>
                <w:color w:val="auto"/>
              </w:rPr>
            </w:pPr>
            <w:r>
              <w:rPr>
                <w:rFonts w:ascii="Arial" w:cs="Arial" w:eastAsia="Arial" w:hAnsi="Arial"/>
                <w:sz w:val="12"/>
                <w:szCs w:val="12"/>
                <w:b w:val="1"/>
                <w:bCs w:val="1"/>
                <w:color w:val="auto"/>
              </w:rPr>
              <w:t>Level 3</w:t>
            </w:r>
          </w:p>
        </w:tc>
        <w:tc>
          <w:tcPr>
            <w:tcW w:w="540" w:type="dxa"/>
            <w:vAlign w:val="bottom"/>
          </w:tcPr>
          <w:p>
            <w:pPr>
              <w:spacing w:after="0"/>
              <w:rPr>
                <w:sz w:val="10"/>
                <w:szCs w:val="10"/>
                <w:color w:val="auto"/>
              </w:rPr>
            </w:pPr>
          </w:p>
        </w:tc>
      </w:tr>
      <w:tr>
        <w:trPr>
          <w:trHeight w:val="175"/>
        </w:trPr>
        <w:tc>
          <w:tcPr>
            <w:tcW w:w="280" w:type="dxa"/>
            <w:vAlign w:val="bottom"/>
          </w:tcPr>
          <w:p>
            <w:pPr>
              <w:spacing w:after="0"/>
              <w:rPr>
                <w:sz w:val="15"/>
                <w:szCs w:val="15"/>
                <w:color w:val="auto"/>
              </w:rPr>
            </w:pPr>
          </w:p>
        </w:tc>
        <w:tc>
          <w:tcPr>
            <w:tcW w:w="34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Assets:</w:t>
            </w:r>
          </w:p>
        </w:tc>
        <w:tc>
          <w:tcPr>
            <w:tcW w:w="2520" w:type="dxa"/>
            <w:vAlign w:val="bottom"/>
            <w:tcBorders>
              <w:top w:val="single" w:sz="8" w:color="D2EEF5"/>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74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spacing w:after="0"/>
              <w:rPr>
                <w:sz w:val="15"/>
                <w:szCs w:val="15"/>
                <w:color w:val="auto"/>
              </w:rPr>
            </w:pPr>
          </w:p>
        </w:tc>
        <w:tc>
          <w:tcPr>
            <w:tcW w:w="70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680" w:type="dxa"/>
            <w:vAlign w:val="bottom"/>
            <w:tcBorders>
              <w:top w:val="single" w:sz="8" w:color="auto"/>
            </w:tcBorders>
            <w:shd w:val="clear" w:color="auto" w:fill="D2EEF5"/>
          </w:tcPr>
          <w:p>
            <w:pPr>
              <w:spacing w:after="0"/>
              <w:rPr>
                <w:sz w:val="15"/>
                <w:szCs w:val="15"/>
                <w:color w:val="auto"/>
              </w:rPr>
            </w:pP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460" w:type="dxa"/>
            <w:vAlign w:val="bottom"/>
          </w:tcPr>
          <w:p>
            <w:pPr>
              <w:ind w:left="180"/>
              <w:spacing w:after="0"/>
              <w:rPr>
                <w:sz w:val="20"/>
                <w:szCs w:val="20"/>
                <w:color w:val="auto"/>
              </w:rPr>
            </w:pPr>
            <w:r>
              <w:rPr>
                <w:rFonts w:ascii="Arial" w:cs="Arial" w:eastAsia="Arial" w:hAnsi="Arial"/>
                <w:sz w:val="15"/>
                <w:szCs w:val="15"/>
                <w:color w:val="auto"/>
              </w:rPr>
              <w:t>Cash</w:t>
            </w:r>
          </w:p>
        </w:tc>
        <w:tc>
          <w:tcPr>
            <w:tcW w:w="27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3,480</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3,480</w:t>
            </w:r>
          </w:p>
        </w:tc>
        <w:tc>
          <w:tcPr>
            <w:tcW w:w="3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3"/>
          </w:tcPr>
          <w:p>
            <w:pPr>
              <w:ind w:left="500"/>
              <w:spacing w:after="0"/>
              <w:rPr>
                <w:sz w:val="20"/>
                <w:szCs w:val="20"/>
                <w:color w:val="auto"/>
              </w:rPr>
            </w:pPr>
            <w:r>
              <w:rPr>
                <w:rFonts w:ascii="Arial" w:cs="Arial" w:eastAsia="Arial" w:hAnsi="Arial"/>
                <w:sz w:val="15"/>
                <w:szCs w:val="15"/>
                <w:b w:val="1"/>
                <w:bCs w:val="1"/>
                <w:color w:val="auto"/>
              </w:rPr>
              <w:t>—   $</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460" w:type="dxa"/>
            <w:vAlign w:val="bottom"/>
            <w:shd w:val="clear" w:color="auto" w:fill="D2EEF5"/>
          </w:tcPr>
          <w:p>
            <w:pPr>
              <w:ind w:left="180"/>
              <w:spacing w:after="0"/>
              <w:rPr>
                <w:sz w:val="20"/>
                <w:szCs w:val="20"/>
                <w:color w:val="auto"/>
              </w:rPr>
            </w:pPr>
            <w:r>
              <w:rPr>
                <w:rFonts w:ascii="Arial" w:cs="Arial" w:eastAsia="Arial" w:hAnsi="Arial"/>
                <w:sz w:val="15"/>
                <w:szCs w:val="15"/>
                <w:color w:val="auto"/>
              </w:rPr>
              <w:t>Receivables and prepayments</w:t>
            </w:r>
          </w:p>
        </w:tc>
        <w:tc>
          <w:tcPr>
            <w:tcW w:w="252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1,851</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1,851</w:t>
            </w:r>
          </w:p>
        </w:tc>
        <w:tc>
          <w:tcPr>
            <w:tcW w:w="1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spacing w:after="0"/>
              <w:rPr>
                <w:sz w:val="15"/>
                <w:szCs w:val="15"/>
                <w:color w:val="auto"/>
              </w:rPr>
            </w:pPr>
          </w:p>
        </w:tc>
      </w:tr>
      <w:tr>
        <w:trPr>
          <w:trHeight w:val="209"/>
        </w:trPr>
        <w:tc>
          <w:tcPr>
            <w:tcW w:w="28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5"/>
                <w:szCs w:val="15"/>
                <w:color w:val="auto"/>
              </w:rPr>
              <w:t>Exploration contracts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42,951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42,951</w:t>
            </w:r>
          </w:p>
        </w:tc>
        <w:tc>
          <w:tcPr>
            <w:tcW w:w="540" w:type="dxa"/>
            <w:vAlign w:val="bottom"/>
          </w:tcPr>
          <w:p>
            <w:pPr>
              <w:spacing w:after="0"/>
              <w:rPr>
                <w:sz w:val="18"/>
                <w:szCs w:val="18"/>
                <w:color w:val="auto"/>
              </w:rPr>
            </w:pPr>
          </w:p>
        </w:tc>
      </w:tr>
      <w:tr>
        <w:trPr>
          <w:trHeight w:val="523"/>
        </w:trPr>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20" w:type="dxa"/>
            <w:vAlign w:val="bottom"/>
          </w:tcPr>
          <w:p>
            <w:pPr>
              <w:jc w:val="right"/>
              <w:ind w:right="744"/>
              <w:spacing w:after="0"/>
              <w:rPr>
                <w:sz w:val="20"/>
                <w:szCs w:val="20"/>
                <w:color w:val="auto"/>
              </w:rPr>
            </w:pPr>
            <w:r>
              <w:rPr>
                <w:rFonts w:ascii="Arial" w:cs="Arial" w:eastAsia="Arial" w:hAnsi="Arial"/>
                <w:sz w:val="15"/>
                <w:szCs w:val="15"/>
                <w:color w:val="auto"/>
              </w:rPr>
              <w:t>153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3680" w:h="17280" w:orient="portrait"/>
          <w:cols w:equalWidth="0" w:num="1">
            <w:col w:w="10800"/>
          </w:cols>
          <w:pgMar w:left="1440" w:top="1440" w:right="1440"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Right of use asset</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3,814</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3,814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Equipment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771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771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Software</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1,928</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1,928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D2EEF5"/>
            </w:tcBorders>
          </w:tcPr>
          <w:p>
            <w:pPr>
              <w:ind w:left="160"/>
              <w:spacing w:after="0"/>
              <w:rPr>
                <w:sz w:val="20"/>
                <w:szCs w:val="20"/>
                <w:color w:val="auto"/>
              </w:rPr>
            </w:pPr>
            <w:r>
              <w:rPr>
                <w:rFonts w:ascii="Arial" w:cs="Arial" w:eastAsia="Arial" w:hAnsi="Arial"/>
                <w:sz w:val="15"/>
                <w:szCs w:val="15"/>
                <w:color w:val="auto"/>
              </w:rPr>
              <w:t>Investment</w:t>
            </w:r>
          </w:p>
        </w:tc>
        <w:tc>
          <w:tcPr>
            <w:tcW w:w="1680" w:type="dxa"/>
            <w:vAlign w:val="bottom"/>
            <w:tcBorders>
              <w:bottom w:val="single" w:sz="8" w:color="D2EEF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8,203</w:t>
            </w:r>
          </w:p>
        </w:tc>
        <w:tc>
          <w:tcPr>
            <w:tcW w:w="18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D2EEF5"/>
            </w:tcBorders>
          </w:tcPr>
          <w:p>
            <w:pPr>
              <w:spacing w:after="0"/>
              <w:rPr>
                <w:sz w:val="15"/>
                <w:szCs w:val="15"/>
                <w:color w:val="auto"/>
              </w:rPr>
            </w:pPr>
          </w:p>
        </w:tc>
        <w:tc>
          <w:tcPr>
            <w:tcW w:w="16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shd w:val="clear" w:color="auto" w:fill="D2EEF5"/>
          </w:tcPr>
          <w:p>
            <w:pPr>
              <w:spacing w:after="0"/>
              <w:rPr>
                <w:sz w:val="15"/>
                <w:szCs w:val="15"/>
                <w:color w:val="auto"/>
              </w:rPr>
            </w:pPr>
          </w:p>
        </w:tc>
        <w:tc>
          <w:tcPr>
            <w:tcW w:w="1680" w:type="dxa"/>
            <w:vAlign w:val="bottom"/>
            <w:shd w:val="clear" w:color="auto" w:fill="D2EEF5"/>
          </w:tcPr>
          <w:p>
            <w:pPr>
              <w:spacing w:after="0"/>
              <w:rPr>
                <w:sz w:val="15"/>
                <w:szCs w:val="15"/>
                <w:color w:val="auto"/>
              </w:rPr>
            </w:pPr>
          </w:p>
        </w:tc>
        <w:tc>
          <w:tcPr>
            <w:tcW w:w="180" w:type="dxa"/>
            <w:vAlign w:val="bottom"/>
            <w:tcBorders>
              <w:bottom w:val="single" w:sz="8" w:color="auto"/>
            </w:tcBorders>
            <w:shd w:val="clear" w:color="auto" w:fill="D2EEF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62,998</w:t>
            </w:r>
          </w:p>
        </w:tc>
        <w:tc>
          <w:tcPr>
            <w:tcW w:w="180" w:type="dxa"/>
            <w:vAlign w:val="bottom"/>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3,480</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1,851</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57,667</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280" w:type="dxa"/>
            <w:vAlign w:val="bottom"/>
            <w:shd w:val="clear" w:color="auto" w:fill="D2EEF5"/>
          </w:tcPr>
          <w:p>
            <w:pPr>
              <w:spacing w:after="0"/>
              <w:rPr>
                <w:sz w:val="20"/>
                <w:szCs w:val="20"/>
                <w:color w:val="auto"/>
              </w:rPr>
            </w:pPr>
            <w:r>
              <w:rPr>
                <w:rFonts w:ascii="Arial" w:cs="Arial" w:eastAsia="Arial" w:hAnsi="Arial"/>
                <w:sz w:val="15"/>
                <w:szCs w:val="15"/>
                <w:color w:val="auto"/>
              </w:rPr>
              <w:t>Liabilities:</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Accounts payable and accrued liabilities</w:t>
            </w:r>
          </w:p>
        </w:tc>
        <w:tc>
          <w:tcPr>
            <w:tcW w:w="186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42,754</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42,754</w:t>
            </w:r>
          </w:p>
        </w:tc>
        <w:tc>
          <w:tcPr>
            <w:tcW w:w="320" w:type="dxa"/>
            <w:vAlign w:val="bottom"/>
            <w:gridSpan w:val="3"/>
          </w:tcPr>
          <w:p>
            <w:pPr>
              <w:jc w:val="right"/>
              <w:ind w:right="31"/>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Short-term debt</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11,775</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11,775</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Deferred tax liability</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10,675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10,675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Royalty liability</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14,000</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14,000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D2EEF5"/>
            </w:tcBorders>
          </w:tcPr>
          <w:p>
            <w:pPr>
              <w:ind w:left="160"/>
              <w:spacing w:after="0"/>
              <w:rPr>
                <w:sz w:val="20"/>
                <w:szCs w:val="20"/>
                <w:color w:val="auto"/>
              </w:rPr>
            </w:pPr>
            <w:r>
              <w:rPr>
                <w:rFonts w:ascii="Arial" w:cs="Arial" w:eastAsia="Arial" w:hAnsi="Arial"/>
                <w:sz w:val="15"/>
                <w:szCs w:val="15"/>
                <w:color w:val="auto"/>
              </w:rPr>
              <w:t>Warrants liability</w:t>
            </w:r>
          </w:p>
        </w:tc>
        <w:tc>
          <w:tcPr>
            <w:tcW w:w="1680" w:type="dxa"/>
            <w:vAlign w:val="bottom"/>
            <w:tcBorders>
              <w:bottom w:val="single" w:sz="8" w:color="D2EEF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912</w:t>
            </w:r>
          </w:p>
        </w:tc>
        <w:tc>
          <w:tcPr>
            <w:tcW w:w="18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D2EEF5"/>
            </w:tcBorders>
          </w:tcPr>
          <w:p>
            <w:pPr>
              <w:spacing w:after="0"/>
              <w:rPr>
                <w:sz w:val="15"/>
                <w:szCs w:val="15"/>
                <w:color w:val="auto"/>
              </w:rPr>
            </w:pPr>
          </w:p>
        </w:tc>
        <w:tc>
          <w:tcPr>
            <w:tcW w:w="16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Borders>
              <w:bottom w:val="single" w:sz="8" w:color="D2EEF5"/>
            </w:tcBorders>
            <w:shd w:val="clear" w:color="auto" w:fill="D2EEF5"/>
          </w:tcPr>
          <w:p>
            <w:pPr>
              <w:spacing w:after="0"/>
              <w:rPr>
                <w:sz w:val="15"/>
                <w:szCs w:val="15"/>
                <w:color w:val="auto"/>
              </w:rPr>
            </w:pPr>
          </w:p>
        </w:tc>
        <w:tc>
          <w:tcPr>
            <w:tcW w:w="1680" w:type="dxa"/>
            <w:vAlign w:val="bottom"/>
            <w:tcBorders>
              <w:bottom w:val="single" w:sz="8" w:color="D2EEF5"/>
            </w:tcBorders>
            <w:shd w:val="clear" w:color="auto" w:fill="D2EEF5"/>
          </w:tcPr>
          <w:p>
            <w:pPr>
              <w:spacing w:after="0"/>
              <w:rPr>
                <w:sz w:val="15"/>
                <w:szCs w:val="15"/>
                <w:color w:val="auto"/>
              </w:rPr>
            </w:pPr>
          </w:p>
        </w:tc>
        <w:tc>
          <w:tcPr>
            <w:tcW w:w="180" w:type="dxa"/>
            <w:vAlign w:val="bottom"/>
            <w:tcBorders>
              <w:bottom w:val="single" w:sz="8" w:color="auto"/>
            </w:tcBorders>
            <w:shd w:val="clear" w:color="auto" w:fill="D2EEF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80,116</w:t>
            </w:r>
          </w:p>
        </w:tc>
        <w:tc>
          <w:tcPr>
            <w:tcW w:w="180" w:type="dxa"/>
            <w:vAlign w:val="bottom"/>
            <w:tcBorders>
              <w:bottom w:val="single" w:sz="8" w:color="D2EEF5"/>
            </w:tcBorders>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D2EEF5"/>
            </w:tcBorders>
            <w:shd w:val="clear" w:color="auto" w:fill="D2EEF5"/>
          </w:tcPr>
          <w:p>
            <w:pPr>
              <w:spacing w:after="0"/>
              <w:rPr>
                <w:sz w:val="15"/>
                <w:szCs w:val="15"/>
                <w:color w:val="auto"/>
              </w:rPr>
            </w:pPr>
          </w:p>
        </w:tc>
        <w:tc>
          <w:tcPr>
            <w:tcW w:w="160" w:type="dxa"/>
            <w:vAlign w:val="bottom"/>
            <w:tcBorders>
              <w:bottom w:val="single" w:sz="8" w:color="D2EEF5"/>
            </w:tcBorders>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65,204</w:t>
            </w:r>
          </w:p>
        </w:tc>
        <w:tc>
          <w:tcPr>
            <w:tcW w:w="160" w:type="dxa"/>
            <w:vAlign w:val="bottom"/>
            <w:tcBorders>
              <w:bottom w:val="single" w:sz="8" w:color="D2EEF5"/>
            </w:tcBorders>
            <w:shd w:val="clear" w:color="auto" w:fill="D2EEF5"/>
          </w:tcPr>
          <w:p>
            <w:pPr>
              <w:spacing w:after="0"/>
              <w:rPr>
                <w:sz w:val="15"/>
                <w:szCs w:val="15"/>
                <w:color w:val="auto"/>
              </w:rPr>
            </w:pPr>
          </w:p>
        </w:tc>
        <w:tc>
          <w:tcPr>
            <w:tcW w:w="20" w:type="dxa"/>
            <w:vAlign w:val="bottom"/>
            <w:tcBorders>
              <w:bottom w:val="single" w:sz="8" w:color="D2EEF5"/>
            </w:tcBorders>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14,912</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2"/>
                <w:szCs w:val="12"/>
                <w:b w:val="1"/>
                <w:bCs w:val="1"/>
                <w:color w:val="auto"/>
                <w:w w:val="90"/>
              </w:rPr>
              <w:t>Fair Value at December 31, 2023</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80" w:type="dxa"/>
            <w:vAlign w:val="bottom"/>
            <w:tcBorders>
              <w:bottom w:val="single" w:sz="8" w:color="D2EEF5"/>
            </w:tcBorders>
          </w:tcPr>
          <w:p>
            <w:pPr>
              <w:spacing w:after="0"/>
              <w:rPr>
                <w:sz w:val="10"/>
                <w:szCs w:val="10"/>
                <w:color w:val="auto"/>
              </w:rPr>
            </w:pPr>
          </w:p>
        </w:tc>
        <w:tc>
          <w:tcPr>
            <w:tcW w:w="1680" w:type="dxa"/>
            <w:vAlign w:val="bottom"/>
            <w:tcBorders>
              <w:bottom w:val="single" w:sz="8" w:color="D2EEF5"/>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4"/>
              <w:spacing w:after="0" w:line="117" w:lineRule="exact"/>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D2EEF5"/>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45"/>
              <w:spacing w:after="0" w:line="117" w:lineRule="exact"/>
              <w:rPr>
                <w:sz w:val="20"/>
                <w:szCs w:val="20"/>
                <w:color w:val="auto"/>
              </w:rPr>
            </w:pPr>
            <w:r>
              <w:rPr>
                <w:rFonts w:ascii="Arial" w:cs="Arial" w:eastAsia="Arial" w:hAnsi="Arial"/>
                <w:sz w:val="12"/>
                <w:szCs w:val="12"/>
                <w:b w:val="1"/>
                <w:bCs w:val="1"/>
                <w:color w:val="auto"/>
              </w:rPr>
              <w:t>Level 1</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D2EEF5"/>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64"/>
              <w:spacing w:after="0" w:line="117" w:lineRule="exact"/>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D2EEF5"/>
            </w:tcBorders>
          </w:tcPr>
          <w:p>
            <w:pPr>
              <w:spacing w:after="0"/>
              <w:rPr>
                <w:sz w:val="10"/>
                <w:szCs w:val="10"/>
                <w:color w:val="auto"/>
              </w:rPr>
            </w:pPr>
          </w:p>
        </w:tc>
        <w:tc>
          <w:tcPr>
            <w:tcW w:w="20" w:type="dxa"/>
            <w:vAlign w:val="bottom"/>
            <w:tcBorders>
              <w:bottom w:val="single" w:sz="8" w:color="D2EEF5"/>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44"/>
              <w:spacing w:after="0" w:line="117" w:lineRule="exact"/>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shd w:val="clear" w:color="auto" w:fill="D2EEF5"/>
          </w:tcPr>
          <w:p>
            <w:pPr>
              <w:spacing w:after="0"/>
              <w:rPr>
                <w:sz w:val="20"/>
                <w:szCs w:val="20"/>
                <w:color w:val="auto"/>
              </w:rPr>
            </w:pPr>
            <w:r>
              <w:rPr>
                <w:rFonts w:ascii="Arial" w:cs="Arial" w:eastAsia="Arial" w:hAnsi="Arial"/>
                <w:sz w:val="15"/>
                <w:szCs w:val="15"/>
                <w:color w:val="auto"/>
              </w:rPr>
              <w:t>Assets:</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Cash</w:t>
            </w:r>
          </w:p>
        </w:tc>
        <w:tc>
          <w:tcPr>
            <w:tcW w:w="18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6,842</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6,842</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jc w:val="right"/>
              <w:ind w:right="31"/>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Receivables and prepayments</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1,978</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1,978</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Exploration contracts</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43,150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43,150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Right of use asset</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5,721</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5,721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Equipment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1,133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Software</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1,643</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D2EEF5"/>
            </w:tcBorders>
          </w:tcPr>
          <w:p>
            <w:pPr>
              <w:ind w:left="160"/>
              <w:spacing w:after="0"/>
              <w:rPr>
                <w:sz w:val="20"/>
                <w:szCs w:val="20"/>
                <w:color w:val="auto"/>
              </w:rPr>
            </w:pPr>
            <w:r>
              <w:rPr>
                <w:rFonts w:ascii="Arial" w:cs="Arial" w:eastAsia="Arial" w:hAnsi="Arial"/>
                <w:sz w:val="15"/>
                <w:szCs w:val="15"/>
                <w:color w:val="auto"/>
              </w:rPr>
              <w:t>Investment</w:t>
            </w:r>
          </w:p>
        </w:tc>
        <w:tc>
          <w:tcPr>
            <w:tcW w:w="1680" w:type="dxa"/>
            <w:vAlign w:val="bottom"/>
            <w:tcBorders>
              <w:bottom w:val="single" w:sz="8" w:color="D2EEF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8,429</w:t>
            </w:r>
          </w:p>
        </w:tc>
        <w:tc>
          <w:tcPr>
            <w:tcW w:w="18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D2EEF5"/>
            </w:tcBorders>
          </w:tcPr>
          <w:p>
            <w:pPr>
              <w:spacing w:after="0"/>
              <w:rPr>
                <w:sz w:val="15"/>
                <w:szCs w:val="15"/>
                <w:color w:val="auto"/>
              </w:rPr>
            </w:pPr>
          </w:p>
        </w:tc>
        <w:tc>
          <w:tcPr>
            <w:tcW w:w="16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shd w:val="clear" w:color="auto" w:fill="D2EEF5"/>
          </w:tcPr>
          <w:p>
            <w:pPr>
              <w:spacing w:after="0"/>
              <w:rPr>
                <w:sz w:val="15"/>
                <w:szCs w:val="15"/>
                <w:color w:val="auto"/>
              </w:rPr>
            </w:pPr>
          </w:p>
        </w:tc>
        <w:tc>
          <w:tcPr>
            <w:tcW w:w="1680" w:type="dxa"/>
            <w:vAlign w:val="bottom"/>
            <w:shd w:val="clear" w:color="auto" w:fill="D2EEF5"/>
          </w:tcPr>
          <w:p>
            <w:pPr>
              <w:spacing w:after="0"/>
              <w:rPr>
                <w:sz w:val="15"/>
                <w:szCs w:val="15"/>
                <w:color w:val="auto"/>
              </w:rPr>
            </w:pPr>
          </w:p>
        </w:tc>
        <w:tc>
          <w:tcPr>
            <w:tcW w:w="180" w:type="dxa"/>
            <w:vAlign w:val="bottom"/>
            <w:tcBorders>
              <w:bottom w:val="single" w:sz="8" w:color="auto"/>
            </w:tcBorders>
            <w:shd w:val="clear" w:color="auto" w:fill="D2EEF5"/>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68,896</w:t>
            </w:r>
          </w:p>
        </w:tc>
        <w:tc>
          <w:tcPr>
            <w:tcW w:w="180" w:type="dxa"/>
            <w:vAlign w:val="bottom"/>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6,842</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1,978</w:t>
            </w:r>
          </w:p>
        </w:tc>
        <w:tc>
          <w:tcPr>
            <w:tcW w:w="180" w:type="dxa"/>
            <w:vAlign w:val="bottom"/>
            <w:gridSpan w:val="2"/>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60,076</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280" w:type="dxa"/>
            <w:vAlign w:val="bottom"/>
            <w:shd w:val="clear" w:color="auto" w:fill="D2EEF5"/>
          </w:tcPr>
          <w:p>
            <w:pPr>
              <w:spacing w:after="0"/>
              <w:rPr>
                <w:sz w:val="20"/>
                <w:szCs w:val="20"/>
                <w:color w:val="auto"/>
              </w:rPr>
            </w:pPr>
            <w:r>
              <w:rPr>
                <w:rFonts w:ascii="Arial" w:cs="Arial" w:eastAsia="Arial" w:hAnsi="Arial"/>
                <w:sz w:val="15"/>
                <w:szCs w:val="15"/>
                <w:color w:val="auto"/>
              </w:rPr>
              <w:t>Liabilities:</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Accounts payable and accrued liabilities</w:t>
            </w:r>
          </w:p>
        </w:tc>
        <w:tc>
          <w:tcPr>
            <w:tcW w:w="18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31,334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31,334</w:t>
            </w:r>
          </w:p>
        </w:tc>
        <w:tc>
          <w:tcPr>
            <w:tcW w:w="320" w:type="dxa"/>
            <w:vAlign w:val="bottom"/>
            <w:gridSpan w:val="3"/>
          </w:tcPr>
          <w:p>
            <w:pPr>
              <w:jc w:val="right"/>
              <w:ind w:right="31"/>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Deferred tax liability</w:t>
            </w:r>
          </w:p>
        </w:tc>
        <w:tc>
          <w:tcPr>
            <w:tcW w:w="1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10,675</w:t>
            </w:r>
          </w:p>
        </w:tc>
        <w:tc>
          <w:tcPr>
            <w:tcW w:w="18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10,675</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Royalty liability</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D2EEF5"/>
          </w:tcPr>
          <w:p>
            <w:pPr>
              <w:ind w:left="160"/>
              <w:spacing w:after="0"/>
              <w:rPr>
                <w:sz w:val="20"/>
                <w:szCs w:val="20"/>
                <w:color w:val="auto"/>
              </w:rPr>
            </w:pPr>
            <w:r>
              <w:rPr>
                <w:rFonts w:ascii="Arial" w:cs="Arial" w:eastAsia="Arial" w:hAnsi="Arial"/>
                <w:sz w:val="15"/>
                <w:szCs w:val="15"/>
                <w:color w:val="auto"/>
              </w:rPr>
              <w:t>Warrants liability</w:t>
            </w:r>
          </w:p>
        </w:tc>
        <w:tc>
          <w:tcPr>
            <w:tcW w:w="1680" w:type="dxa"/>
            <w:vAlign w:val="bottom"/>
            <w:shd w:val="clear" w:color="auto" w:fill="D2EEF5"/>
          </w:tcPr>
          <w:p>
            <w:pPr>
              <w:spacing w:after="0"/>
              <w:rPr>
                <w:sz w:val="15"/>
                <w:szCs w:val="15"/>
                <w:color w:val="auto"/>
              </w:rPr>
            </w:pPr>
          </w:p>
        </w:tc>
        <w:tc>
          <w:tcPr>
            <w:tcW w:w="180" w:type="dxa"/>
            <w:vAlign w:val="bottom"/>
            <w:tcBorders>
              <w:bottom w:val="single" w:sz="8" w:color="auto"/>
            </w:tcBorders>
            <w:shd w:val="clear" w:color="auto" w:fill="D2EEF5"/>
          </w:tcPr>
          <w:p>
            <w:pPr>
              <w:spacing w:after="0"/>
              <w:rPr>
                <w:sz w:val="15"/>
                <w:szCs w:val="15"/>
                <w:color w:val="auto"/>
              </w:rPr>
            </w:pPr>
          </w:p>
        </w:tc>
        <w:tc>
          <w:tcPr>
            <w:tcW w:w="6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1,969</w:t>
            </w:r>
          </w:p>
        </w:tc>
        <w:tc>
          <w:tcPr>
            <w:tcW w:w="180" w:type="dxa"/>
            <w:vAlign w:val="bottom"/>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spacing w:after="0"/>
              <w:rPr>
                <w:sz w:val="15"/>
                <w:szCs w:val="15"/>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spacing w:after="0"/>
              <w:rPr>
                <w:sz w:val="15"/>
                <w:szCs w:val="15"/>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spacing w:after="0"/>
              <w:rPr>
                <w:sz w:val="15"/>
                <w:szCs w:val="15"/>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57,978</w:t>
            </w:r>
          </w:p>
        </w:tc>
        <w:tc>
          <w:tcPr>
            <w:tcW w:w="1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42,009</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15,969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23. Segmented Information</w:t>
      </w:r>
    </w:p>
    <w:p>
      <w:pPr>
        <w:spacing w:after="0" w:line="196" w:lineRule="exact"/>
        <w:rPr>
          <w:sz w:val="20"/>
          <w:szCs w:val="20"/>
          <w:color w:val="auto"/>
        </w:rPr>
      </w:pPr>
    </w:p>
    <w:p>
      <w:pPr>
        <w:jc w:val="both"/>
        <w:ind w:left="360" w:right="100"/>
        <w:spacing w:after="0" w:line="276" w:lineRule="auto"/>
        <w:rPr>
          <w:sz w:val="20"/>
          <w:szCs w:val="20"/>
          <w:color w:val="auto"/>
        </w:rPr>
      </w:pPr>
      <w:r>
        <w:rPr>
          <w:rFonts w:ascii="Arial" w:cs="Arial" w:eastAsia="Arial" w:hAnsi="Arial"/>
          <w:sz w:val="15"/>
          <w:szCs w:val="15"/>
          <w:color w:val="auto"/>
        </w:rPr>
        <w:t>The Company’s business consists of only one operating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3040" w:type="dxa"/>
            <w:vAlign w:val="bottom"/>
            <w:gridSpan w:val="2"/>
          </w:tcPr>
          <w:p>
            <w:pPr>
              <w:ind w:left="280"/>
              <w:spacing w:after="0"/>
              <w:rPr>
                <w:sz w:val="20"/>
                <w:szCs w:val="20"/>
                <w:color w:val="auto"/>
              </w:rPr>
            </w:pPr>
            <w:r>
              <w:rPr>
                <w:rFonts w:ascii="Arial" w:cs="Arial" w:eastAsia="Arial" w:hAnsi="Arial"/>
                <w:sz w:val="12"/>
                <w:szCs w:val="12"/>
                <w:b w:val="1"/>
                <w:bCs w:val="1"/>
                <w:color w:val="auto"/>
              </w:rPr>
              <w:t>Equipment</w:t>
            </w:r>
          </w:p>
        </w:tc>
        <w:tc>
          <w:tcPr>
            <w:tcW w:w="3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December 31, 2024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December 31, 2023</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76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Nauru</w:t>
            </w:r>
          </w:p>
        </w:tc>
        <w:tc>
          <w:tcPr>
            <w:tcW w:w="3540" w:type="dxa"/>
            <w:vAlign w:val="bottom"/>
            <w:tcBorders>
              <w:top w:val="single" w:sz="8" w:color="auto"/>
            </w:tcBorders>
            <w:shd w:val="clear" w:color="auto" w:fill="D2EEF5"/>
          </w:tcPr>
          <w:p>
            <w:pPr>
              <w:spacing w:after="0"/>
              <w:rPr>
                <w:sz w:val="15"/>
                <w:szCs w:val="15"/>
                <w:color w:val="auto"/>
              </w:rPr>
            </w:pPr>
          </w:p>
        </w:tc>
        <w:tc>
          <w:tcPr>
            <w:tcW w:w="200" w:type="dxa"/>
            <w:vAlign w:val="bottom"/>
            <w:tcBorders>
              <w:top w:val="single" w:sz="8" w:color="D2EEF5"/>
            </w:tcBorders>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771</w:t>
            </w:r>
          </w:p>
        </w:tc>
        <w:tc>
          <w:tcPr>
            <w:tcW w:w="2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jc w:val="right"/>
              <w:ind w:right="191"/>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1,128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76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Tonga</w:t>
            </w:r>
          </w:p>
        </w:tc>
        <w:tc>
          <w:tcPr>
            <w:tcW w:w="3540" w:type="dxa"/>
            <w:vAlign w:val="bottom"/>
            <w:tcBorders>
              <w:bottom w:val="single" w:sz="8" w:color="D2EEF5"/>
            </w:tcBorders>
          </w:tcPr>
          <w:p>
            <w:pPr>
              <w:spacing w:after="0"/>
              <w:rPr>
                <w:sz w:val="15"/>
                <w:szCs w:val="15"/>
                <w:color w:val="auto"/>
              </w:rPr>
            </w:pPr>
          </w:p>
        </w:tc>
        <w:tc>
          <w:tcPr>
            <w:tcW w:w="200" w:type="dxa"/>
            <w:vAlign w:val="bottom"/>
            <w:tcBorders>
              <w:bottom w:val="single" w:sz="8" w:color="D2EEF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D2EEF5"/>
            </w:tcBorders>
          </w:tcPr>
          <w:p>
            <w:pPr>
              <w:spacing w:after="0"/>
              <w:rPr>
                <w:sz w:val="15"/>
                <w:szCs w:val="15"/>
                <w:color w:val="auto"/>
              </w:rPr>
            </w:pPr>
          </w:p>
        </w:tc>
        <w:tc>
          <w:tcPr>
            <w:tcW w:w="180" w:type="dxa"/>
            <w:vAlign w:val="bottom"/>
            <w:tcBorders>
              <w:bottom w:val="single" w:sz="8" w:color="D2EEF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7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Total</w:t>
            </w:r>
          </w:p>
        </w:tc>
        <w:tc>
          <w:tcPr>
            <w:tcW w:w="3540" w:type="dxa"/>
            <w:vAlign w:val="bottom"/>
            <w:tcBorders>
              <w:bottom w:val="single" w:sz="8" w:color="D2EEF5"/>
            </w:tcBorders>
            <w:shd w:val="clear" w:color="auto" w:fill="D2EEF5"/>
          </w:tcPr>
          <w:p>
            <w:pPr>
              <w:spacing w:after="0"/>
              <w:rPr>
                <w:sz w:val="15"/>
                <w:szCs w:val="15"/>
                <w:color w:val="auto"/>
              </w:rPr>
            </w:pPr>
          </w:p>
        </w:tc>
        <w:tc>
          <w:tcPr>
            <w:tcW w:w="200" w:type="dxa"/>
            <w:vAlign w:val="bottom"/>
            <w:tcBorders>
              <w:bottom w:val="single" w:sz="8" w:color="D2EEF5"/>
            </w:tcBorders>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771</w:t>
            </w:r>
          </w:p>
        </w:tc>
        <w:tc>
          <w:tcPr>
            <w:tcW w:w="20" w:type="dxa"/>
            <w:vAlign w:val="bottom"/>
            <w:tcBorders>
              <w:bottom w:val="single" w:sz="8" w:color="D2EEF5"/>
            </w:tcBorders>
            <w:shd w:val="clear" w:color="auto" w:fill="D2EEF5"/>
          </w:tcPr>
          <w:p>
            <w:pPr>
              <w:spacing w:after="0"/>
              <w:rPr>
                <w:sz w:val="15"/>
                <w:szCs w:val="15"/>
                <w:color w:val="auto"/>
              </w:rPr>
            </w:pPr>
          </w:p>
        </w:tc>
        <w:tc>
          <w:tcPr>
            <w:tcW w:w="180" w:type="dxa"/>
            <w:vAlign w:val="bottom"/>
            <w:tcBorders>
              <w:bottom w:val="single" w:sz="8" w:color="D2EEF5"/>
            </w:tcBorders>
            <w:shd w:val="clear" w:color="auto" w:fill="D2EEF5"/>
          </w:tcPr>
          <w:p>
            <w:pPr>
              <w:spacing w:after="0"/>
              <w:rPr>
                <w:sz w:val="15"/>
                <w:szCs w:val="15"/>
                <w:color w:val="auto"/>
              </w:rPr>
            </w:pPr>
          </w:p>
        </w:tc>
        <w:tc>
          <w:tcPr>
            <w:tcW w:w="300" w:type="dxa"/>
            <w:vAlign w:val="bottom"/>
            <w:tcBorders>
              <w:bottom w:val="single" w:sz="8" w:color="auto"/>
            </w:tcBorders>
            <w:shd w:val="clear" w:color="auto" w:fill="D2EEF5"/>
          </w:tcPr>
          <w:p>
            <w:pPr>
              <w:jc w:val="right"/>
              <w:ind w:right="19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1,133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0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Software</w:t>
            </w:r>
          </w:p>
        </w:tc>
        <w:tc>
          <w:tcPr>
            <w:tcW w:w="3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304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76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rPr>
              <w:t>Singapore</w:t>
            </w:r>
          </w:p>
        </w:tc>
        <w:tc>
          <w:tcPr>
            <w:tcW w:w="3540" w:type="dxa"/>
            <w:vAlign w:val="bottom"/>
            <w:tcBorders>
              <w:top w:val="single" w:sz="8" w:color="auto"/>
            </w:tcBorders>
            <w:shd w:val="clear" w:color="auto" w:fill="D2EEF5"/>
          </w:tcPr>
          <w:p>
            <w:pPr>
              <w:spacing w:after="0"/>
              <w:rPr>
                <w:sz w:val="15"/>
                <w:szCs w:val="15"/>
                <w:color w:val="auto"/>
              </w:rPr>
            </w:pPr>
          </w:p>
        </w:tc>
        <w:tc>
          <w:tcPr>
            <w:tcW w:w="200" w:type="dxa"/>
            <w:vAlign w:val="bottom"/>
            <w:tcBorders>
              <w:top w:val="single" w:sz="8" w:color="D2EEF5"/>
            </w:tcBorders>
            <w:shd w:val="clear" w:color="auto" w:fill="D2EEF5"/>
          </w:tcPr>
          <w:p>
            <w:pPr>
              <w:spacing w:after="0"/>
              <w:rPr>
                <w:sz w:val="15"/>
                <w:szCs w:val="15"/>
                <w:color w:val="auto"/>
              </w:rPr>
            </w:pPr>
          </w:p>
        </w:tc>
        <w:tc>
          <w:tcPr>
            <w:tcW w:w="300" w:type="dxa"/>
            <w:vAlign w:val="bottom"/>
            <w:tcBorders>
              <w:top w:val="single" w:sz="8" w:color="auto"/>
              <w:bottom w:val="single" w:sz="8" w:color="auto"/>
            </w:tcBorders>
            <w:shd w:val="clear" w:color="auto" w:fill="D2EEF5"/>
          </w:tcPr>
          <w:p>
            <w:pPr>
              <w:spacing w:after="0"/>
              <w:rPr>
                <w:sz w:val="15"/>
                <w:szCs w:val="15"/>
                <w:color w:val="auto"/>
              </w:rPr>
            </w:pPr>
          </w:p>
        </w:tc>
        <w:tc>
          <w:tcPr>
            <w:tcW w:w="12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1,928</w:t>
            </w:r>
          </w:p>
        </w:tc>
        <w:tc>
          <w:tcPr>
            <w:tcW w:w="2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D2EEF5"/>
            </w:tcBorders>
            <w:shd w:val="clear" w:color="auto" w:fill="D2EEF5"/>
          </w:tcPr>
          <w:p>
            <w:pPr>
              <w:spacing w:after="0"/>
              <w:rPr>
                <w:sz w:val="15"/>
                <w:szCs w:val="15"/>
                <w:color w:val="auto"/>
              </w:rPr>
            </w:pPr>
          </w:p>
        </w:tc>
        <w:tc>
          <w:tcPr>
            <w:tcW w:w="300" w:type="dxa"/>
            <w:vAlign w:val="bottom"/>
            <w:tcBorders>
              <w:top w:val="single" w:sz="8" w:color="auto"/>
              <w:bottom w:val="single" w:sz="8" w:color="auto"/>
            </w:tcBorders>
            <w:shd w:val="clear" w:color="auto" w:fill="D2EEF5"/>
          </w:tcPr>
          <w:p>
            <w:pPr>
              <w:spacing w:after="0"/>
              <w:rPr>
                <w:sz w:val="15"/>
                <w:szCs w:val="15"/>
                <w:color w:val="auto"/>
              </w:rPr>
            </w:pPr>
          </w:p>
        </w:tc>
        <w:tc>
          <w:tcPr>
            <w:tcW w:w="12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1,643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3740" w:type="dxa"/>
            <w:vAlign w:val="bottom"/>
            <w:gridSpan w:val="2"/>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1,928</w:t>
            </w:r>
          </w:p>
        </w:tc>
        <w:tc>
          <w:tcPr>
            <w:tcW w:w="200" w:type="dxa"/>
            <w:vAlign w:val="bottom"/>
            <w:gridSpan w:val="2"/>
          </w:tcPr>
          <w:p>
            <w:pPr>
              <w:spacing w:after="0"/>
              <w:rPr>
                <w:sz w:val="15"/>
                <w:szCs w:val="15"/>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40" w:type="dxa"/>
            <w:vAlign w:val="bottom"/>
            <w:vMerge w:val="restart"/>
          </w:tcPr>
          <w:p>
            <w:pPr>
              <w:jc w:val="right"/>
              <w:ind w:right="1064"/>
              <w:spacing w:after="0"/>
              <w:rPr>
                <w:sz w:val="20"/>
                <w:szCs w:val="20"/>
                <w:color w:val="auto"/>
              </w:rPr>
            </w:pPr>
            <w:r>
              <w:rPr>
                <w:rFonts w:ascii="Arial" w:cs="Arial" w:eastAsia="Arial" w:hAnsi="Arial"/>
                <w:sz w:val="15"/>
                <w:szCs w:val="15"/>
                <w:color w:val="auto"/>
              </w:rPr>
              <w:t>154</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360" w:hanging="280"/>
        <w:spacing w:after="0"/>
        <w:tabs>
          <w:tab w:leader="none" w:pos="36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95"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5"/>
          <w:szCs w:val="15"/>
          <w:color w:val="auto"/>
        </w:rPr>
        <w:t>Reconciliation of Effective Tax Rate</w:t>
      </w:r>
    </w:p>
    <w:p>
      <w:pPr>
        <w:spacing w:after="0" w:line="193" w:lineRule="exact"/>
        <w:rPr>
          <w:rFonts w:ascii="Arial" w:cs="Arial" w:eastAsia="Arial" w:hAnsi="Arial"/>
          <w:sz w:val="15"/>
          <w:szCs w:val="15"/>
          <w:b w:val="1"/>
          <w:bCs w:val="1"/>
          <w:color w:val="auto"/>
        </w:rPr>
      </w:pPr>
    </w:p>
    <w:p>
      <w:pPr>
        <w:ind w:left="360" w:right="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The Company is subject to Canadian federal and provincial tax for the estimated assessable profit at a rate of 26.72% for the year ended December 31, 2024 (2023: 26.68%). The Company had no assessable profit in Canada for all periods disclosed.</w:t>
      </w:r>
    </w:p>
    <w:p>
      <w:pPr>
        <w:spacing w:after="0" w:line="119" w:lineRule="exact"/>
        <w:rPr>
          <w:rFonts w:ascii="Arial" w:cs="Arial" w:eastAsia="Arial" w:hAnsi="Arial"/>
          <w:sz w:val="15"/>
          <w:szCs w:val="15"/>
          <w:b w:val="1"/>
          <w:bCs w:val="1"/>
          <w:color w:val="auto"/>
        </w:rPr>
      </w:pPr>
    </w:p>
    <w:p>
      <w:pPr>
        <w:ind w:left="360" w:right="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The income tax expense at statutory rates for the Company can be reconciled to the reported loss for the years 2024 and 2023 per the statement of loss and comprehensive loss as follows:</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For the year ended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For the year ended</w:t>
            </w:r>
          </w:p>
        </w:tc>
      </w:tr>
      <w:tr>
        <w:trPr>
          <w:trHeight w:val="126"/>
        </w:trPr>
        <w:tc>
          <w:tcPr>
            <w:tcW w:w="26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right"/>
              <w:ind w:right="320"/>
              <w:spacing w:after="0" w:line="126"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jc w:val="right"/>
              <w:ind w:right="260"/>
              <w:spacing w:after="0" w:line="126" w:lineRule="exact"/>
              <w:rPr>
                <w:sz w:val="20"/>
                <w:szCs w:val="20"/>
                <w:color w:val="auto"/>
              </w:rPr>
            </w:pPr>
            <w:r>
              <w:rPr>
                <w:rFonts w:ascii="Arial" w:cs="Arial" w:eastAsia="Arial" w:hAnsi="Arial"/>
                <w:sz w:val="12"/>
                <w:szCs w:val="12"/>
                <w:b w:val="1"/>
                <w:bCs w:val="1"/>
                <w:color w:val="auto"/>
              </w:rPr>
              <w:t>December 31,</w:t>
            </w:r>
          </w:p>
        </w:tc>
      </w:tr>
      <w:tr>
        <w:trPr>
          <w:trHeight w:val="149"/>
        </w:trPr>
        <w:tc>
          <w:tcPr>
            <w:tcW w:w="2640" w:type="dxa"/>
            <w:vAlign w:val="bottom"/>
            <w:tcBorders>
              <w:bottom w:val="single" w:sz="8" w:color="D2EEF5"/>
            </w:tcBorders>
          </w:tcPr>
          <w:p>
            <w:pPr>
              <w:spacing w:after="0"/>
              <w:rPr>
                <w:sz w:val="12"/>
                <w:szCs w:val="12"/>
                <w:color w:val="auto"/>
              </w:rPr>
            </w:pPr>
          </w:p>
        </w:tc>
        <w:tc>
          <w:tcPr>
            <w:tcW w:w="3640" w:type="dxa"/>
            <w:vAlign w:val="bottom"/>
            <w:tcBorders>
              <w:bottom w:val="single" w:sz="8" w:color="D2EEF5"/>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bottom w:val="single" w:sz="8" w:color="D2EEF5"/>
            </w:tcBorders>
          </w:tcPr>
          <w:p>
            <w:pPr>
              <w:spacing w:after="0"/>
              <w:rPr>
                <w:sz w:val="12"/>
                <w:szCs w:val="12"/>
                <w:color w:val="auto"/>
              </w:rPr>
            </w:pPr>
          </w:p>
        </w:tc>
        <w:tc>
          <w:tcPr>
            <w:tcW w:w="80" w:type="dxa"/>
            <w:vAlign w:val="bottom"/>
            <w:tcBorders>
              <w:bottom w:val="single" w:sz="8" w:color="D2EEF5"/>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2"/>
                <w:szCs w:val="12"/>
                <w:b w:val="1"/>
                <w:bCs w:val="1"/>
                <w:color w:val="auto"/>
              </w:rPr>
              <w:t>2023</w:t>
            </w:r>
            <w:r>
              <w:rPr>
                <w:rFonts w:ascii="Arial" w:cs="Arial" w:eastAsia="Arial" w:hAnsi="Arial"/>
                <w:sz w:val="17"/>
                <w:szCs w:val="17"/>
                <w:b w:val="1"/>
                <w:bCs w:val="1"/>
                <w:color w:val="auto"/>
                <w:vertAlign w:val="superscript"/>
              </w:rPr>
              <w:t>(1)</w:t>
            </w:r>
          </w:p>
        </w:tc>
        <w:tc>
          <w:tcPr>
            <w:tcW w:w="180" w:type="dxa"/>
            <w:vAlign w:val="bottom"/>
            <w:tcBorders>
              <w:bottom w:val="single" w:sz="8" w:color="D2EEF5"/>
            </w:tcBorders>
          </w:tcPr>
          <w:p>
            <w:pPr>
              <w:spacing w:after="0"/>
              <w:rPr>
                <w:sz w:val="12"/>
                <w:szCs w:val="12"/>
                <w:color w:val="auto"/>
              </w:rPr>
            </w:pPr>
          </w:p>
        </w:tc>
      </w:tr>
      <w:tr>
        <w:trPr>
          <w:trHeight w:val="174"/>
        </w:trPr>
        <w:tc>
          <w:tcPr>
            <w:tcW w:w="628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Loss for the year, before taxes</w:t>
            </w:r>
          </w:p>
        </w:tc>
        <w:tc>
          <w:tcPr>
            <w:tcW w:w="280" w:type="dxa"/>
            <w:vAlign w:val="bottom"/>
            <w:shd w:val="clear" w:color="auto" w:fill="D2EEF5"/>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(81,895)</w:t>
            </w:r>
          </w:p>
        </w:tc>
        <w:tc>
          <w:tcPr>
            <w:tcW w:w="24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60" w:type="dxa"/>
            <w:vAlign w:val="bottom"/>
            <w:shd w:val="clear" w:color="auto" w:fill="D2EEF5"/>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(73,740)</w:t>
            </w:r>
          </w:p>
        </w:tc>
        <w:tc>
          <w:tcPr>
            <w:tcW w:w="180" w:type="dxa"/>
            <w:vAlign w:val="bottom"/>
            <w:shd w:val="clear" w:color="auto" w:fill="D2EEF5"/>
          </w:tcPr>
          <w:p>
            <w:pPr>
              <w:spacing w:after="0"/>
              <w:rPr>
                <w:sz w:val="15"/>
                <w:szCs w:val="15"/>
                <w:color w:val="auto"/>
              </w:rPr>
            </w:pPr>
          </w:p>
        </w:tc>
      </w:tr>
      <w:tr>
        <w:trPr>
          <w:trHeight w:val="183"/>
        </w:trPr>
        <w:tc>
          <w:tcPr>
            <w:tcW w:w="6280" w:type="dxa"/>
            <w:vAlign w:val="bottom"/>
            <w:gridSpan w:val="2"/>
          </w:tcPr>
          <w:p>
            <w:pPr>
              <w:spacing w:after="0"/>
              <w:rPr>
                <w:sz w:val="20"/>
                <w:szCs w:val="20"/>
                <w:color w:val="auto"/>
              </w:rPr>
            </w:pPr>
            <w:r>
              <w:rPr>
                <w:rFonts w:ascii="Arial" w:cs="Arial" w:eastAsia="Arial" w:hAnsi="Arial"/>
                <w:sz w:val="15"/>
                <w:szCs w:val="15"/>
                <w:color w:val="auto"/>
              </w:rPr>
              <w:t>Canadian Federal and Provincial income tax rates</w:t>
            </w:r>
          </w:p>
        </w:tc>
        <w:tc>
          <w:tcPr>
            <w:tcW w:w="2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26.72 %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5"/>
                <w:szCs w:val="15"/>
                <w:color w:val="auto"/>
              </w:rPr>
              <w:t>26.68 %</w:t>
            </w:r>
          </w:p>
        </w:tc>
      </w:tr>
      <w:tr>
        <w:trPr>
          <w:trHeight w:val="174"/>
        </w:trPr>
        <w:tc>
          <w:tcPr>
            <w:tcW w:w="628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5"/>
                <w:szCs w:val="15"/>
                <w:color w:val="auto"/>
              </w:rPr>
              <w:t>Income tax recovery based on the above rates</w:t>
            </w:r>
          </w:p>
        </w:tc>
        <w:tc>
          <w:tcPr>
            <w:tcW w:w="280" w:type="dxa"/>
            <w:vAlign w:val="bottom"/>
            <w:tcBorders>
              <w:top w:val="single" w:sz="8" w:color="auto"/>
            </w:tcBorders>
            <w:shd w:val="clear" w:color="auto" w:fill="D2EEF5"/>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(21,882)</w:t>
            </w:r>
          </w:p>
        </w:tc>
        <w:tc>
          <w:tcPr>
            <w:tcW w:w="2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260" w:type="dxa"/>
            <w:vAlign w:val="bottom"/>
            <w:tcBorders>
              <w:top w:val="single" w:sz="8" w:color="auto"/>
            </w:tcBorders>
            <w:shd w:val="clear" w:color="auto" w:fill="D2EEF5"/>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(19,674)</w:t>
            </w:r>
          </w:p>
        </w:tc>
        <w:tc>
          <w:tcPr>
            <w:tcW w:w="180" w:type="dxa"/>
            <w:vAlign w:val="bottom"/>
            <w:tcBorders>
              <w:top w:val="single" w:sz="8" w:color="D2EEF5"/>
            </w:tcBorders>
            <w:shd w:val="clear" w:color="auto" w:fill="D2EEF5"/>
          </w:tcPr>
          <w:p>
            <w:pPr>
              <w:spacing w:after="0"/>
              <w:rPr>
                <w:sz w:val="15"/>
                <w:szCs w:val="15"/>
                <w:color w:val="auto"/>
              </w:rPr>
            </w:pPr>
          </w:p>
        </w:tc>
      </w:tr>
      <w:tr>
        <w:trPr>
          <w:trHeight w:val="183"/>
        </w:trPr>
        <w:tc>
          <w:tcPr>
            <w:tcW w:w="6280" w:type="dxa"/>
            <w:vAlign w:val="bottom"/>
            <w:gridSpan w:val="2"/>
          </w:tcPr>
          <w:p>
            <w:pPr>
              <w:spacing w:after="0"/>
              <w:rPr>
                <w:sz w:val="20"/>
                <w:szCs w:val="20"/>
                <w:color w:val="auto"/>
              </w:rPr>
            </w:pPr>
            <w:r>
              <w:rPr>
                <w:rFonts w:ascii="Arial" w:cs="Arial" w:eastAsia="Arial" w:hAnsi="Arial"/>
                <w:sz w:val="15"/>
                <w:szCs w:val="15"/>
                <w:color w:val="auto"/>
              </w:rPr>
              <w:t>Permanent differences</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2,502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1,556</w:t>
            </w:r>
          </w:p>
        </w:tc>
        <w:tc>
          <w:tcPr>
            <w:tcW w:w="180" w:type="dxa"/>
            <w:vAlign w:val="bottom"/>
          </w:tcPr>
          <w:p>
            <w:pPr>
              <w:spacing w:after="0"/>
              <w:rPr>
                <w:sz w:val="15"/>
                <w:szCs w:val="15"/>
                <w:color w:val="auto"/>
              </w:rPr>
            </w:pPr>
          </w:p>
        </w:tc>
      </w:tr>
      <w:tr>
        <w:trPr>
          <w:trHeight w:val="183"/>
        </w:trPr>
        <w:tc>
          <w:tcPr>
            <w:tcW w:w="628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Effect of differences in future and foreign tax rates</w:t>
            </w:r>
          </w:p>
        </w:tc>
        <w:tc>
          <w:tcPr>
            <w:tcW w:w="280" w:type="dxa"/>
            <w:vAlign w:val="bottom"/>
            <w:shd w:val="clear" w:color="auto" w:fill="D2EEF5"/>
          </w:tcPr>
          <w:p>
            <w:pPr>
              <w:spacing w:after="0"/>
              <w:rPr>
                <w:sz w:val="15"/>
                <w:szCs w:val="15"/>
                <w:color w:val="auto"/>
              </w:rPr>
            </w:pP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14,424</w:t>
            </w:r>
          </w:p>
        </w:tc>
        <w:tc>
          <w:tcPr>
            <w:tcW w:w="24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60" w:type="dxa"/>
            <w:vAlign w:val="bottom"/>
            <w:shd w:val="clear" w:color="auto" w:fill="D2EEF5"/>
          </w:tcPr>
          <w:p>
            <w:pPr>
              <w:spacing w:after="0"/>
              <w:rPr>
                <w:sz w:val="15"/>
                <w:szCs w:val="15"/>
                <w:color w:val="auto"/>
              </w:rPr>
            </w:pPr>
          </w:p>
        </w:tc>
        <w:tc>
          <w:tcPr>
            <w:tcW w:w="12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14,038</w:t>
            </w:r>
          </w:p>
        </w:tc>
        <w:tc>
          <w:tcPr>
            <w:tcW w:w="180" w:type="dxa"/>
            <w:vAlign w:val="bottom"/>
            <w:shd w:val="clear" w:color="auto" w:fill="D2EEF5"/>
          </w:tcPr>
          <w:p>
            <w:pPr>
              <w:spacing w:after="0"/>
              <w:rPr>
                <w:sz w:val="15"/>
                <w:szCs w:val="15"/>
                <w:color w:val="auto"/>
              </w:rPr>
            </w:pPr>
          </w:p>
        </w:tc>
      </w:tr>
      <w:tr>
        <w:trPr>
          <w:trHeight w:val="183"/>
        </w:trPr>
        <w:tc>
          <w:tcPr>
            <w:tcW w:w="6280" w:type="dxa"/>
            <w:vAlign w:val="bottom"/>
            <w:tcBorders>
              <w:bottom w:val="single" w:sz="8" w:color="D2EEF5"/>
            </w:tcBorders>
            <w:gridSpan w:val="2"/>
          </w:tcPr>
          <w:p>
            <w:pPr>
              <w:spacing w:after="0"/>
              <w:rPr>
                <w:sz w:val="20"/>
                <w:szCs w:val="20"/>
                <w:color w:val="auto"/>
              </w:rPr>
            </w:pPr>
            <w:r>
              <w:rPr>
                <w:rFonts w:ascii="Arial" w:cs="Arial" w:eastAsia="Arial" w:hAnsi="Arial"/>
                <w:sz w:val="15"/>
                <w:szCs w:val="15"/>
                <w:color w:val="auto"/>
              </w:rPr>
              <w:t>Valuation allowance changes affecting the provision of income taxes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5,004</w:t>
            </w:r>
          </w:p>
        </w:tc>
        <w:tc>
          <w:tcPr>
            <w:tcW w:w="240" w:type="dxa"/>
            <w:vAlign w:val="bottom"/>
            <w:tcBorders>
              <w:bottom w:val="single" w:sz="8" w:color="D2EEF5"/>
            </w:tcBorders>
          </w:tcPr>
          <w:p>
            <w:pPr>
              <w:spacing w:after="0"/>
              <w:rPr>
                <w:sz w:val="15"/>
                <w:szCs w:val="15"/>
                <w:color w:val="auto"/>
              </w:rPr>
            </w:pPr>
          </w:p>
        </w:tc>
        <w:tc>
          <w:tcPr>
            <w:tcW w:w="80" w:type="dxa"/>
            <w:vAlign w:val="bottom"/>
            <w:tcBorders>
              <w:bottom w:val="single" w:sz="8" w:color="D2EE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4,121</w:t>
            </w:r>
          </w:p>
        </w:tc>
        <w:tc>
          <w:tcPr>
            <w:tcW w:w="180" w:type="dxa"/>
            <w:vAlign w:val="bottom"/>
            <w:tcBorders>
              <w:bottom w:val="single" w:sz="8" w:color="D2EEF5"/>
            </w:tcBorders>
          </w:tcPr>
          <w:p>
            <w:pPr>
              <w:spacing w:after="0"/>
              <w:rPr>
                <w:sz w:val="15"/>
                <w:szCs w:val="15"/>
                <w:color w:val="auto"/>
              </w:rPr>
            </w:pPr>
          </w:p>
        </w:tc>
      </w:tr>
      <w:tr>
        <w:trPr>
          <w:trHeight w:val="174"/>
        </w:trPr>
        <w:tc>
          <w:tcPr>
            <w:tcW w:w="6280" w:type="dxa"/>
            <w:vAlign w:val="bottom"/>
            <w:gridSpan w:val="2"/>
            <w:shd w:val="clear" w:color="auto" w:fill="D2EEF5"/>
          </w:tcPr>
          <w:p>
            <w:pPr>
              <w:spacing w:after="0"/>
              <w:rPr>
                <w:sz w:val="20"/>
                <w:szCs w:val="20"/>
                <w:color w:val="auto"/>
              </w:rPr>
            </w:pPr>
            <w:r>
              <w:rPr>
                <w:rFonts w:ascii="Arial" w:cs="Arial" w:eastAsia="Arial" w:hAnsi="Arial"/>
                <w:sz w:val="15"/>
                <w:szCs w:val="15"/>
                <w:b w:val="1"/>
                <w:bCs w:val="1"/>
                <w:color w:val="auto"/>
              </w:rPr>
              <w:t>Total income taxes</w:t>
            </w:r>
          </w:p>
        </w:tc>
        <w:tc>
          <w:tcPr>
            <w:tcW w:w="280" w:type="dxa"/>
            <w:vAlign w:val="bottom"/>
            <w:tcBorders>
              <w:bottom w:val="single" w:sz="8" w:color="auto"/>
            </w:tcBorders>
            <w:shd w:val="clear" w:color="auto" w:fill="D2EEF5"/>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48</w:t>
            </w:r>
          </w:p>
        </w:tc>
        <w:tc>
          <w:tcPr>
            <w:tcW w:w="24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60" w:type="dxa"/>
            <w:vAlign w:val="bottom"/>
            <w:tcBorders>
              <w:bottom w:val="single" w:sz="8" w:color="auto"/>
            </w:tcBorders>
            <w:shd w:val="clear" w:color="auto" w:fill="D2EEF5"/>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41</w:t>
            </w:r>
          </w:p>
        </w:tc>
        <w:tc>
          <w:tcPr>
            <w:tcW w:w="180" w:type="dxa"/>
            <w:vAlign w:val="bottom"/>
            <w:shd w:val="clear" w:color="auto" w:fill="D2EEF5"/>
          </w:tcPr>
          <w:p>
            <w:pPr>
              <w:spacing w:after="0"/>
              <w:rPr>
                <w:sz w:val="15"/>
                <w:szCs w:val="15"/>
                <w:color w:val="auto"/>
              </w:rPr>
            </w:pPr>
          </w:p>
        </w:tc>
      </w:tr>
      <w:tr>
        <w:trPr>
          <w:trHeight w:val="83"/>
        </w:trPr>
        <w:tc>
          <w:tcPr>
            <w:tcW w:w="264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59" w:lineRule="exact"/>
        <w:rPr>
          <w:sz w:val="20"/>
          <w:szCs w:val="20"/>
          <w:color w:val="auto"/>
        </w:rPr>
      </w:pPr>
    </w:p>
    <w:p>
      <w:pPr>
        <w:ind w:left="360" w:right="3680" w:hanging="5"/>
        <w:spacing w:after="0" w:line="436" w:lineRule="auto"/>
        <w:tabs>
          <w:tab w:leader="none" w:pos="652"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Comparative amounts for the year ended December 31, 2023 are restated based on actual tax returns filed. The Company currently has no uncertain tax positions and is therefore not reflecting any adjustments.</w:t>
      </w:r>
    </w:p>
    <w:p>
      <w:pPr>
        <w:ind w:left="360"/>
        <w:spacing w:after="0"/>
        <w:rPr>
          <w:rFonts w:ascii="Arial" w:cs="Arial" w:eastAsia="Arial" w:hAnsi="Arial"/>
          <w:sz w:val="21"/>
          <w:szCs w:val="21"/>
          <w:color w:val="auto"/>
          <w:vertAlign w:val="superscript"/>
        </w:rPr>
      </w:pPr>
      <w:r>
        <w:rPr>
          <w:rFonts w:ascii="Arial" w:cs="Arial" w:eastAsia="Arial" w:hAnsi="Arial"/>
          <w:sz w:val="15"/>
          <w:szCs w:val="15"/>
          <w:color w:val="auto"/>
        </w:rPr>
        <w:t>Components of the Company’s deferred income tax assets (liabilities) are as follows:</w:t>
      </w: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2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b w:val="1"/>
                <w:bCs w:val="1"/>
                <w:color w:val="auto"/>
              </w:rPr>
              <w:t>December 31, 2024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tcPr>
          <w:p>
            <w:pPr>
              <w:ind w:left="320"/>
              <w:spacing w:after="0"/>
              <w:rPr>
                <w:sz w:val="20"/>
                <w:szCs w:val="20"/>
                <w:color w:val="auto"/>
              </w:rPr>
            </w:pPr>
            <w:r>
              <w:rPr>
                <w:rFonts w:ascii="Arial" w:cs="Arial" w:eastAsia="Arial" w:hAnsi="Arial"/>
                <w:sz w:val="12"/>
                <w:szCs w:val="12"/>
                <w:b w:val="1"/>
                <w:bCs w:val="1"/>
                <w:color w:val="auto"/>
              </w:rPr>
              <w:t>December 31, 2023</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63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Deferred Tax Assets</w:t>
            </w:r>
          </w:p>
        </w:tc>
        <w:tc>
          <w:tcPr>
            <w:tcW w:w="34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spacing w:after="0"/>
              <w:rPr>
                <w:sz w:val="15"/>
                <w:szCs w:val="15"/>
                <w:color w:val="auto"/>
              </w:rPr>
            </w:pPr>
          </w:p>
        </w:tc>
        <w:tc>
          <w:tcPr>
            <w:tcW w:w="134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spacing w:after="0"/>
              <w:rPr>
                <w:sz w:val="15"/>
                <w:szCs w:val="15"/>
                <w:color w:val="auto"/>
              </w:rPr>
            </w:pPr>
          </w:p>
        </w:tc>
        <w:tc>
          <w:tcPr>
            <w:tcW w:w="1340" w:type="dxa"/>
            <w:vAlign w:val="bottom"/>
            <w:tcBorders>
              <w:top w:val="single" w:sz="8" w:color="auto"/>
            </w:tcBorders>
            <w:shd w:val="clear" w:color="auto" w:fill="D2EEF5"/>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6360" w:type="dxa"/>
            <w:vAlign w:val="bottom"/>
          </w:tcPr>
          <w:p>
            <w:pPr>
              <w:ind w:left="80"/>
              <w:spacing w:after="0"/>
              <w:rPr>
                <w:sz w:val="20"/>
                <w:szCs w:val="20"/>
                <w:color w:val="auto"/>
              </w:rPr>
            </w:pPr>
            <w:r>
              <w:rPr>
                <w:rFonts w:ascii="Arial" w:cs="Arial" w:eastAsia="Arial" w:hAnsi="Arial"/>
                <w:sz w:val="15"/>
                <w:szCs w:val="15"/>
                <w:color w:val="auto"/>
              </w:rPr>
              <w:t>Non-capital losses</w:t>
            </w:r>
          </w:p>
        </w:tc>
        <w:tc>
          <w:tcPr>
            <w:tcW w:w="4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24,270</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21,195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6360" w:type="dxa"/>
            <w:vAlign w:val="bottom"/>
            <w:shd w:val="clear" w:color="auto" w:fill="D2EEF5"/>
          </w:tcPr>
          <w:p>
            <w:pPr>
              <w:ind w:left="80"/>
              <w:spacing w:after="0"/>
              <w:rPr>
                <w:sz w:val="20"/>
                <w:szCs w:val="20"/>
                <w:color w:val="auto"/>
              </w:rPr>
            </w:pPr>
            <w:r>
              <w:rPr>
                <w:rFonts w:ascii="Arial" w:cs="Arial" w:eastAsia="Arial" w:hAnsi="Arial"/>
                <w:sz w:val="15"/>
                <w:szCs w:val="15"/>
                <w:color w:val="auto"/>
              </w:rPr>
              <w:t>Investments</w:t>
            </w:r>
          </w:p>
        </w:tc>
        <w:tc>
          <w:tcPr>
            <w:tcW w:w="34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3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111</w:t>
            </w: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3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384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6360" w:type="dxa"/>
            <w:vAlign w:val="bottom"/>
          </w:tcPr>
          <w:p>
            <w:pPr>
              <w:ind w:left="80"/>
              <w:spacing w:after="0"/>
              <w:rPr>
                <w:sz w:val="20"/>
                <w:szCs w:val="20"/>
                <w:color w:val="auto"/>
              </w:rPr>
            </w:pPr>
            <w:r>
              <w:rPr>
                <w:rFonts w:ascii="Arial" w:cs="Arial" w:eastAsia="Arial" w:hAnsi="Arial"/>
                <w:sz w:val="15"/>
                <w:szCs w:val="15"/>
                <w:color w:val="auto"/>
              </w:rPr>
              <w:t>Equipment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227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6360" w:type="dxa"/>
            <w:vAlign w:val="bottom"/>
            <w:shd w:val="clear" w:color="auto" w:fill="D2EEF5"/>
          </w:tcPr>
          <w:p>
            <w:pPr>
              <w:ind w:left="80"/>
              <w:spacing w:after="0"/>
              <w:rPr>
                <w:sz w:val="20"/>
                <w:szCs w:val="20"/>
                <w:color w:val="auto"/>
              </w:rPr>
            </w:pPr>
            <w:r>
              <w:rPr>
                <w:rFonts w:ascii="Arial" w:cs="Arial" w:eastAsia="Arial" w:hAnsi="Arial"/>
                <w:sz w:val="15"/>
                <w:szCs w:val="15"/>
                <w:color w:val="auto"/>
              </w:rPr>
              <w:t>Share issuance costs</w:t>
            </w:r>
          </w:p>
        </w:tc>
        <w:tc>
          <w:tcPr>
            <w:tcW w:w="34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spacing w:after="0"/>
              <w:rPr>
                <w:sz w:val="15"/>
                <w:szCs w:val="15"/>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1,804</w:t>
            </w:r>
          </w:p>
        </w:tc>
        <w:tc>
          <w:tcPr>
            <w:tcW w:w="160" w:type="dxa"/>
            <w:vAlign w:val="bottom"/>
            <w:shd w:val="clear" w:color="auto" w:fill="D2EEF5"/>
          </w:tcPr>
          <w:p>
            <w:pPr>
              <w:spacing w:after="0"/>
              <w:rPr>
                <w:sz w:val="15"/>
                <w:szCs w:val="15"/>
                <w:color w:val="auto"/>
              </w:rPr>
            </w:pPr>
          </w:p>
        </w:tc>
        <w:tc>
          <w:tcPr>
            <w:tcW w:w="140" w:type="dxa"/>
            <w:vAlign w:val="bottom"/>
            <w:tcBorders>
              <w:bottom w:val="single" w:sz="8" w:color="auto"/>
            </w:tcBorders>
            <w:shd w:val="clear" w:color="auto" w:fill="D2EEF5"/>
          </w:tcPr>
          <w:p>
            <w:pPr>
              <w:spacing w:after="0"/>
              <w:rPr>
                <w:sz w:val="15"/>
                <w:szCs w:val="15"/>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496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Total deferred income tax assets</w:t>
            </w:r>
          </w:p>
        </w:tc>
        <w:tc>
          <w:tcPr>
            <w:tcW w:w="3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26,412</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22,335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3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Valuation allowance</w:t>
            </w:r>
          </w:p>
        </w:tc>
        <w:tc>
          <w:tcPr>
            <w:tcW w:w="340" w:type="dxa"/>
            <w:vAlign w:val="bottom"/>
            <w:tcBorders>
              <w:bottom w:val="single" w:sz="8" w:color="D2EEF5"/>
            </w:tcBorders>
            <w:shd w:val="clear" w:color="auto" w:fill="D2EEF5"/>
          </w:tcPr>
          <w:p>
            <w:pPr>
              <w:spacing w:after="0"/>
              <w:rPr>
                <w:sz w:val="17"/>
                <w:szCs w:val="17"/>
                <w:color w:val="auto"/>
              </w:rPr>
            </w:pPr>
          </w:p>
        </w:tc>
        <w:tc>
          <w:tcPr>
            <w:tcW w:w="140" w:type="dxa"/>
            <w:vAlign w:val="bottom"/>
            <w:tcBorders>
              <w:bottom w:val="single" w:sz="8" w:color="auto"/>
            </w:tcBorders>
            <w:shd w:val="clear" w:color="auto" w:fill="D2EEF5"/>
          </w:tcPr>
          <w:p>
            <w:pPr>
              <w:spacing w:after="0"/>
              <w:rPr>
                <w:sz w:val="17"/>
                <w:szCs w:val="17"/>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(26,412)</w:t>
            </w:r>
          </w:p>
        </w:tc>
        <w:tc>
          <w:tcPr>
            <w:tcW w:w="160" w:type="dxa"/>
            <w:vAlign w:val="bottom"/>
            <w:tcBorders>
              <w:bottom w:val="single" w:sz="8" w:color="D2EEF5"/>
            </w:tcBorders>
            <w:shd w:val="clear" w:color="auto" w:fill="D2EEF5"/>
          </w:tcPr>
          <w:p>
            <w:pPr>
              <w:spacing w:after="0"/>
              <w:rPr>
                <w:sz w:val="17"/>
                <w:szCs w:val="17"/>
                <w:color w:val="auto"/>
              </w:rPr>
            </w:pPr>
          </w:p>
        </w:tc>
        <w:tc>
          <w:tcPr>
            <w:tcW w:w="140" w:type="dxa"/>
            <w:vAlign w:val="bottom"/>
            <w:tcBorders>
              <w:bottom w:val="single" w:sz="8" w:color="auto"/>
            </w:tcBorders>
            <w:shd w:val="clear" w:color="auto" w:fill="D2EEF5"/>
          </w:tcPr>
          <w:p>
            <w:pPr>
              <w:spacing w:after="0"/>
              <w:rPr>
                <w:sz w:val="17"/>
                <w:szCs w:val="17"/>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(22,335)</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6360" w:type="dxa"/>
            <w:vAlign w:val="bottom"/>
            <w:tcBorders>
              <w:bottom w:val="single" w:sz="8" w:color="D2EEF5"/>
            </w:tcBorders>
          </w:tcPr>
          <w:p>
            <w:pPr>
              <w:spacing w:after="0" w:line="154" w:lineRule="exact"/>
              <w:rPr>
                <w:sz w:val="20"/>
                <w:szCs w:val="20"/>
                <w:color w:val="auto"/>
              </w:rPr>
            </w:pPr>
            <w:r>
              <w:rPr>
                <w:rFonts w:ascii="Arial" w:cs="Arial" w:eastAsia="Arial" w:hAnsi="Arial"/>
                <w:sz w:val="15"/>
                <w:szCs w:val="15"/>
                <w:b w:val="1"/>
                <w:bCs w:val="1"/>
                <w:color w:val="auto"/>
              </w:rPr>
              <w:t>Deferred tax asset recognized</w:t>
            </w:r>
          </w:p>
        </w:tc>
        <w:tc>
          <w:tcPr>
            <w:tcW w:w="340" w:type="dxa"/>
            <w:vAlign w:val="bottom"/>
            <w:tcBorders>
              <w:bottom w:val="single" w:sz="8" w:color="D2EEF5"/>
            </w:tcBorders>
          </w:tcPr>
          <w:p>
            <w:pPr>
              <w:spacing w:after="0"/>
              <w:rPr>
                <w:sz w:val="13"/>
                <w:szCs w:val="13"/>
                <w:color w:val="auto"/>
              </w:rPr>
            </w:pPr>
          </w:p>
        </w:tc>
        <w:tc>
          <w:tcPr>
            <w:tcW w:w="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2EEF5"/>
            </w:tcBorders>
          </w:tcPr>
          <w:p>
            <w:pPr>
              <w:spacing w:after="0"/>
              <w:rPr>
                <w:sz w:val="13"/>
                <w:szCs w:val="13"/>
                <w:color w:val="auto"/>
              </w:rPr>
            </w:pPr>
          </w:p>
        </w:tc>
        <w:tc>
          <w:tcPr>
            <w:tcW w:w="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0" w:type="dxa"/>
            <w:vAlign w:val="bottom"/>
            <w:vMerge w:val="restart"/>
          </w:tcPr>
          <w:p>
            <w:pPr>
              <w:spacing w:after="0"/>
              <w:rPr>
                <w:sz w:val="15"/>
                <w:szCs w:val="15"/>
                <w:color w:val="auto"/>
              </w:rPr>
            </w:pPr>
          </w:p>
        </w:tc>
        <w:tc>
          <w:tcPr>
            <w:tcW w:w="6360" w:type="dxa"/>
            <w:vAlign w:val="bottom"/>
            <w:shd w:val="clear" w:color="auto" w:fill="D2EEF5"/>
          </w:tcPr>
          <w:p>
            <w:pPr>
              <w:spacing w:after="0"/>
              <w:rPr>
                <w:sz w:val="15"/>
                <w:szCs w:val="15"/>
                <w:color w:val="auto"/>
              </w:rPr>
            </w:pPr>
          </w:p>
        </w:tc>
        <w:tc>
          <w:tcPr>
            <w:tcW w:w="34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3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340" w:type="dxa"/>
            <w:vAlign w:val="bottom"/>
            <w:shd w:val="clear" w:color="auto" w:fill="D2EEF5"/>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vMerge w:val="continue"/>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b w:val="1"/>
                <w:bCs w:val="1"/>
                <w:color w:val="auto"/>
              </w:rPr>
              <w:t>Deferred Tax Liability</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6360" w:type="dxa"/>
            <w:vAlign w:val="bottom"/>
            <w:shd w:val="clear" w:color="auto" w:fill="D2EEF5"/>
          </w:tcPr>
          <w:p>
            <w:pPr>
              <w:ind w:left="80"/>
              <w:spacing w:after="0"/>
              <w:rPr>
                <w:sz w:val="20"/>
                <w:szCs w:val="20"/>
                <w:color w:val="auto"/>
              </w:rPr>
            </w:pPr>
            <w:r>
              <w:rPr>
                <w:rFonts w:ascii="Arial" w:cs="Arial" w:eastAsia="Arial" w:hAnsi="Arial"/>
                <w:sz w:val="15"/>
                <w:szCs w:val="15"/>
                <w:color w:val="auto"/>
                <w:w w:val="98"/>
              </w:rPr>
              <w:t>Difference between the book value and the tax basis of the TOML exploration contract (Note 10)</w:t>
            </w:r>
          </w:p>
        </w:tc>
        <w:tc>
          <w:tcPr>
            <w:tcW w:w="480" w:type="dxa"/>
            <w:vAlign w:val="bottom"/>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(10,675)</w:t>
            </w:r>
          </w:p>
        </w:tc>
        <w:tc>
          <w:tcPr>
            <w:tcW w:w="30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(10,675)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b w:val="1"/>
                <w:bCs w:val="1"/>
                <w:color w:val="auto"/>
              </w:rPr>
              <w:t>Deferred tax liability recognized</w:t>
            </w:r>
          </w:p>
        </w:tc>
        <w:tc>
          <w:tcPr>
            <w:tcW w:w="3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(10,675)</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(10,675)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3"/>
        </w:trPr>
        <w:tc>
          <w:tcPr>
            <w:tcW w:w="6640" w:type="dxa"/>
            <w:vAlign w:val="bottom"/>
            <w:gridSpan w:val="2"/>
          </w:tcPr>
          <w:p>
            <w:pPr>
              <w:jc w:val="right"/>
              <w:ind w:right="1124"/>
              <w:spacing w:after="0"/>
              <w:rPr>
                <w:sz w:val="20"/>
                <w:szCs w:val="20"/>
                <w:color w:val="auto"/>
              </w:rPr>
            </w:pPr>
            <w:r>
              <w:rPr>
                <w:rFonts w:ascii="Arial" w:cs="Arial" w:eastAsia="Arial" w:hAnsi="Arial"/>
                <w:sz w:val="15"/>
                <w:szCs w:val="15"/>
                <w:color w:val="auto"/>
              </w:rPr>
              <w:t>155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Deductible temporary differences, unused tax losses and unused tax credits are as follows: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Arial" w:cs="Arial" w:eastAsia="Arial" w:hAnsi="Arial"/>
                <w:sz w:val="12"/>
                <w:szCs w:val="12"/>
                <w:b w:val="1"/>
                <w:bCs w:val="1"/>
                <w:color w:val="auto"/>
              </w:rPr>
              <w:t>December 31, 2023</w:t>
            </w:r>
          </w:p>
        </w:tc>
        <w:tc>
          <w:tcPr>
            <w:tcW w:w="1520" w:type="dxa"/>
            <w:vAlign w:val="bottom"/>
          </w:tcPr>
          <w:p>
            <w:pPr>
              <w:jc w:val="right"/>
              <w:spacing w:after="0"/>
              <w:rPr>
                <w:sz w:val="20"/>
                <w:szCs w:val="20"/>
                <w:color w:val="auto"/>
              </w:rPr>
            </w:pPr>
            <w:r>
              <w:rPr>
                <w:rFonts w:ascii="Arial" w:cs="Arial" w:eastAsia="Arial" w:hAnsi="Arial"/>
                <w:sz w:val="12"/>
                <w:szCs w:val="12"/>
                <w:b w:val="1"/>
                <w:bCs w:val="1"/>
                <w:color w:val="auto"/>
              </w:rPr>
              <w:t>Expiry Date Range</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3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vMerge w:val="restart"/>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740" w:type="dxa"/>
            <w:vAlign w:val="bottom"/>
            <w:shd w:val="clear" w:color="auto" w:fill="D2EEF5"/>
          </w:tcPr>
          <w:p>
            <w:pPr>
              <w:spacing w:after="0"/>
              <w:rPr>
                <w:sz w:val="20"/>
                <w:szCs w:val="20"/>
                <w:color w:val="auto"/>
              </w:rPr>
            </w:pPr>
            <w:r>
              <w:rPr>
                <w:rFonts w:ascii="Arial" w:cs="Arial" w:eastAsia="Arial" w:hAnsi="Arial"/>
                <w:sz w:val="15"/>
                <w:szCs w:val="15"/>
                <w:color w:val="auto"/>
              </w:rPr>
              <w:t>Non-capital losses</w:t>
            </w:r>
          </w:p>
        </w:tc>
        <w:tc>
          <w:tcPr>
            <w:tcW w:w="1360" w:type="dxa"/>
            <w:vAlign w:val="bottom"/>
            <w:gridSpan w:val="2"/>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w:t>
            </w:r>
          </w:p>
        </w:tc>
        <w:tc>
          <w:tcPr>
            <w:tcW w:w="20" w:type="dxa"/>
            <w:vAlign w:val="bottom"/>
            <w:vMerge w:val="continue"/>
          </w:tcPr>
          <w:p>
            <w:pPr>
              <w:spacing w:after="0"/>
              <w:rPr>
                <w:sz w:val="15"/>
                <w:szCs w:val="15"/>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100,995</w:t>
            </w:r>
          </w:p>
        </w:tc>
        <w:tc>
          <w:tcPr>
            <w:tcW w:w="46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89,333</w:t>
            </w:r>
          </w:p>
        </w:tc>
        <w:tc>
          <w:tcPr>
            <w:tcW w:w="160" w:type="dxa"/>
            <w:vAlign w:val="bottom"/>
            <w:shd w:val="clear" w:color="auto" w:fill="D2EEF5"/>
          </w:tcPr>
          <w:p>
            <w:pPr>
              <w:spacing w:after="0"/>
              <w:rPr>
                <w:sz w:val="15"/>
                <w:szCs w:val="15"/>
                <w:color w:val="auto"/>
              </w:rPr>
            </w:pPr>
          </w:p>
        </w:tc>
        <w:tc>
          <w:tcPr>
            <w:tcW w:w="15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See below</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Investments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829</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2,856</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Not applicable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shd w:val="clear" w:color="auto" w:fill="D2EEF5"/>
          </w:tcPr>
          <w:p>
            <w:pPr>
              <w:spacing w:after="0"/>
              <w:rPr>
                <w:sz w:val="20"/>
                <w:szCs w:val="20"/>
                <w:color w:val="auto"/>
              </w:rPr>
            </w:pPr>
            <w:r>
              <w:rPr>
                <w:rFonts w:ascii="Arial" w:cs="Arial" w:eastAsia="Arial" w:hAnsi="Arial"/>
                <w:sz w:val="15"/>
                <w:szCs w:val="15"/>
                <w:color w:val="auto"/>
              </w:rPr>
              <w:t>Equipment</w:t>
            </w:r>
          </w:p>
        </w:tc>
        <w:tc>
          <w:tcPr>
            <w:tcW w:w="1360" w:type="dxa"/>
            <w:vAlign w:val="bottom"/>
            <w:gridSpan w:val="2"/>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841</w:t>
            </w:r>
          </w:p>
        </w:tc>
        <w:tc>
          <w:tcPr>
            <w:tcW w:w="46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962</w:t>
            </w:r>
          </w:p>
        </w:tc>
        <w:tc>
          <w:tcPr>
            <w:tcW w:w="160" w:type="dxa"/>
            <w:vAlign w:val="bottom"/>
            <w:shd w:val="clear" w:color="auto" w:fill="D2EEF5"/>
          </w:tcPr>
          <w:p>
            <w:pPr>
              <w:spacing w:after="0"/>
              <w:rPr>
                <w:sz w:val="15"/>
                <w:szCs w:val="15"/>
                <w:color w:val="auto"/>
              </w:rPr>
            </w:pPr>
          </w:p>
        </w:tc>
        <w:tc>
          <w:tcPr>
            <w:tcW w:w="15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Not applicable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Share issuance costs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3,649</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1,860</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2025-2028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D2EEF5"/>
          </w:tcPr>
          <w:p>
            <w:pPr>
              <w:spacing w:after="0"/>
              <w:rPr>
                <w:sz w:val="20"/>
                <w:szCs w:val="20"/>
                <w:color w:val="auto"/>
              </w:rPr>
            </w:pPr>
            <w:r>
              <w:rPr>
                <w:rFonts w:ascii="Arial" w:cs="Arial" w:eastAsia="Arial" w:hAnsi="Arial"/>
                <w:sz w:val="15"/>
                <w:szCs w:val="15"/>
                <w:color w:val="auto"/>
              </w:rPr>
              <w:t>Restricted interest and financing expenses</w:t>
            </w:r>
          </w:p>
        </w:tc>
        <w:tc>
          <w:tcPr>
            <w:tcW w:w="1360" w:type="dxa"/>
            <w:vAlign w:val="bottom"/>
            <w:gridSpan w:val="2"/>
            <w:shd w:val="clear" w:color="auto" w:fill="D2EEF5"/>
          </w:tcPr>
          <w:p>
            <w:pPr>
              <w:jc w:val="right"/>
              <w:ind w:right="6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7"/>
                <w:szCs w:val="17"/>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5"/>
                <w:szCs w:val="15"/>
                <w:b w:val="1"/>
                <w:bCs w:val="1"/>
                <w:color w:val="auto"/>
              </w:rPr>
              <w:t>3,102</w:t>
            </w:r>
          </w:p>
        </w:tc>
        <w:tc>
          <w:tcPr>
            <w:tcW w:w="46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b w:val="1"/>
                <w:bCs w:val="1"/>
                <w:color w:val="auto"/>
              </w:rPr>
              <w:t>—</w:t>
            </w:r>
          </w:p>
        </w:tc>
        <w:tc>
          <w:tcPr>
            <w:tcW w:w="15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Not applicable</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at December 31, 2024, the Company had non-capital loss carry-forwards of $101.0 million that may be used to offset future taxable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These losses, if not utilized, will expire as follows: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52"/>
        </w:trPr>
        <w:tc>
          <w:tcPr>
            <w:tcW w:w="3480" w:type="dxa"/>
            <w:vAlign w:val="bottom"/>
            <w:tcBorders>
              <w:bottom w:val="single" w:sz="8" w:color="D2EEF5"/>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Canada</w:t>
            </w:r>
          </w:p>
        </w:tc>
        <w:tc>
          <w:tcPr>
            <w:tcW w:w="280" w:type="dxa"/>
            <w:vAlign w:val="bottom"/>
            <w:tcBorders>
              <w:bottom w:val="single" w:sz="8" w:color="D2EEF5"/>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Singapore</w:t>
            </w:r>
          </w:p>
        </w:tc>
        <w:tc>
          <w:tcPr>
            <w:tcW w:w="280" w:type="dxa"/>
            <w:vAlign w:val="bottom"/>
            <w:tcBorders>
              <w:bottom w:val="single" w:sz="8" w:color="D2EEF5"/>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United States</w:t>
            </w:r>
          </w:p>
        </w:tc>
        <w:tc>
          <w:tcPr>
            <w:tcW w:w="300" w:type="dxa"/>
            <w:vAlign w:val="bottom"/>
            <w:tcBorders>
              <w:bottom w:val="single" w:sz="8" w:color="D2EEF5"/>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Tonga</w:t>
            </w:r>
          </w:p>
        </w:tc>
      </w:tr>
      <w:tr>
        <w:trPr>
          <w:trHeight w:val="174"/>
        </w:trPr>
        <w:tc>
          <w:tcPr>
            <w:tcW w:w="3480" w:type="dxa"/>
            <w:vAlign w:val="bottom"/>
            <w:shd w:val="clear" w:color="auto" w:fill="D2EEF5"/>
          </w:tcPr>
          <w:p>
            <w:pPr>
              <w:spacing w:after="0"/>
              <w:rPr>
                <w:sz w:val="20"/>
                <w:szCs w:val="20"/>
                <w:color w:val="auto"/>
              </w:rPr>
            </w:pPr>
            <w:r>
              <w:rPr>
                <w:rFonts w:ascii="Arial" w:cs="Arial" w:eastAsia="Arial" w:hAnsi="Arial"/>
                <w:sz w:val="15"/>
                <w:szCs w:val="15"/>
                <w:color w:val="auto"/>
              </w:rPr>
              <w:t>2035</w:t>
            </w:r>
          </w:p>
        </w:tc>
        <w:tc>
          <w:tcPr>
            <w:tcW w:w="480" w:type="dxa"/>
            <w:vAlign w:val="bottom"/>
            <w:shd w:val="clear" w:color="auto" w:fill="D2EEF5"/>
          </w:tcPr>
          <w:p>
            <w:pPr>
              <w:jc w:val="right"/>
              <w:ind w:right="3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D2EEF5"/>
          </w:tcPr>
          <w:p>
            <w:pPr>
              <w:spacing w:after="0"/>
              <w:rPr>
                <w:sz w:val="15"/>
                <w:szCs w:val="15"/>
                <w:color w:val="auto"/>
              </w:rPr>
            </w:pPr>
          </w:p>
        </w:tc>
        <w:tc>
          <w:tcPr>
            <w:tcW w:w="440" w:type="dxa"/>
            <w:vAlign w:val="bottom"/>
            <w:shd w:val="clear" w:color="auto" w:fill="D2EEF5"/>
          </w:tcPr>
          <w:p>
            <w:pPr>
              <w:jc w:val="right"/>
              <w:ind w:right="2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D2EEF5"/>
          </w:tcPr>
          <w:p>
            <w:pPr>
              <w:spacing w:after="0"/>
              <w:rPr>
                <w:sz w:val="15"/>
                <w:szCs w:val="15"/>
                <w:color w:val="auto"/>
              </w:rPr>
            </w:pPr>
          </w:p>
        </w:tc>
        <w:tc>
          <w:tcPr>
            <w:tcW w:w="360" w:type="dxa"/>
            <w:vAlign w:val="bottom"/>
            <w:shd w:val="clear" w:color="auto" w:fill="D2EEF5"/>
          </w:tcPr>
          <w:p>
            <w:pPr>
              <w:jc w:val="right"/>
              <w:ind w:right="2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w:t>
            </w:r>
          </w:p>
        </w:tc>
        <w:tc>
          <w:tcPr>
            <w:tcW w:w="300" w:type="dxa"/>
            <w:vAlign w:val="bottom"/>
            <w:shd w:val="clear" w:color="auto" w:fill="D2EEF5"/>
          </w:tcPr>
          <w:p>
            <w:pPr>
              <w:spacing w:after="0"/>
              <w:rPr>
                <w:sz w:val="15"/>
                <w:szCs w:val="15"/>
                <w:color w:val="auto"/>
              </w:rPr>
            </w:pPr>
          </w:p>
        </w:tc>
        <w:tc>
          <w:tcPr>
            <w:tcW w:w="500" w:type="dxa"/>
            <w:vAlign w:val="bottom"/>
            <w:shd w:val="clear" w:color="auto" w:fill="D2EEF5"/>
          </w:tcPr>
          <w:p>
            <w:pPr>
              <w:jc w:val="right"/>
              <w:ind w:right="3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3480" w:type="dxa"/>
            <w:vAlign w:val="bottom"/>
          </w:tcPr>
          <w:p>
            <w:pPr>
              <w:spacing w:after="0"/>
              <w:rPr>
                <w:sz w:val="20"/>
                <w:szCs w:val="20"/>
                <w:color w:val="auto"/>
              </w:rPr>
            </w:pPr>
            <w:r>
              <w:rPr>
                <w:rFonts w:ascii="Arial" w:cs="Arial" w:eastAsia="Arial" w:hAnsi="Arial"/>
                <w:sz w:val="15"/>
                <w:szCs w:val="15"/>
                <w:color w:val="auto"/>
              </w:rPr>
              <w:t>2041</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3,183</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3480" w:type="dxa"/>
            <w:vAlign w:val="bottom"/>
            <w:shd w:val="clear" w:color="auto" w:fill="D2EEF5"/>
          </w:tcPr>
          <w:p>
            <w:pPr>
              <w:spacing w:after="0"/>
              <w:rPr>
                <w:sz w:val="20"/>
                <w:szCs w:val="20"/>
                <w:color w:val="auto"/>
              </w:rPr>
            </w:pPr>
            <w:r>
              <w:rPr>
                <w:rFonts w:ascii="Arial" w:cs="Arial" w:eastAsia="Arial" w:hAnsi="Arial"/>
                <w:sz w:val="15"/>
                <w:szCs w:val="15"/>
                <w:color w:val="auto"/>
              </w:rPr>
              <w:t>2042</w:t>
            </w:r>
          </w:p>
        </w:tc>
        <w:tc>
          <w:tcPr>
            <w:tcW w:w="48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12,599</w:t>
            </w:r>
          </w:p>
        </w:tc>
        <w:tc>
          <w:tcPr>
            <w:tcW w:w="28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D2EEF5"/>
          </w:tcPr>
          <w:p>
            <w:pPr>
              <w:spacing w:after="0"/>
              <w:rPr>
                <w:sz w:val="15"/>
                <w:szCs w:val="15"/>
                <w:color w:val="auto"/>
              </w:rPr>
            </w:pPr>
          </w:p>
        </w:tc>
        <w:tc>
          <w:tcPr>
            <w:tcW w:w="36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w:t>
            </w:r>
          </w:p>
        </w:tc>
        <w:tc>
          <w:tcPr>
            <w:tcW w:w="300" w:type="dxa"/>
            <w:vAlign w:val="bottom"/>
            <w:shd w:val="clear" w:color="auto" w:fill="D2EEF5"/>
          </w:tcPr>
          <w:p>
            <w:pPr>
              <w:spacing w:after="0"/>
              <w:rPr>
                <w:sz w:val="15"/>
                <w:szCs w:val="15"/>
                <w:color w:val="auto"/>
              </w:rPr>
            </w:pPr>
          </w:p>
        </w:tc>
        <w:tc>
          <w:tcPr>
            <w:tcW w:w="5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3480" w:type="dxa"/>
            <w:vAlign w:val="bottom"/>
          </w:tcPr>
          <w:p>
            <w:pPr>
              <w:spacing w:after="0"/>
              <w:rPr>
                <w:sz w:val="20"/>
                <w:szCs w:val="20"/>
                <w:color w:val="auto"/>
              </w:rPr>
            </w:pPr>
            <w:r>
              <w:rPr>
                <w:rFonts w:ascii="Arial" w:cs="Arial" w:eastAsia="Arial" w:hAnsi="Arial"/>
                <w:sz w:val="15"/>
                <w:szCs w:val="15"/>
                <w:color w:val="auto"/>
              </w:rPr>
              <w:t>2043</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11,324</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3480" w:type="dxa"/>
            <w:vAlign w:val="bottom"/>
            <w:shd w:val="clear" w:color="auto" w:fill="D2EEF5"/>
          </w:tcPr>
          <w:p>
            <w:pPr>
              <w:spacing w:after="0"/>
              <w:rPr>
                <w:sz w:val="20"/>
                <w:szCs w:val="20"/>
                <w:color w:val="auto"/>
              </w:rPr>
            </w:pPr>
            <w:r>
              <w:rPr>
                <w:rFonts w:ascii="Arial" w:cs="Arial" w:eastAsia="Arial" w:hAnsi="Arial"/>
                <w:sz w:val="15"/>
                <w:szCs w:val="15"/>
                <w:color w:val="auto"/>
              </w:rPr>
              <w:t>2044</w:t>
            </w:r>
          </w:p>
        </w:tc>
        <w:tc>
          <w:tcPr>
            <w:tcW w:w="48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10,778</w:t>
            </w:r>
          </w:p>
        </w:tc>
        <w:tc>
          <w:tcPr>
            <w:tcW w:w="280" w:type="dxa"/>
            <w:vAlign w:val="bottom"/>
            <w:shd w:val="clear" w:color="auto" w:fill="D2EEF5"/>
          </w:tcPr>
          <w:p>
            <w:pPr>
              <w:spacing w:after="0"/>
              <w:rPr>
                <w:sz w:val="15"/>
                <w:szCs w:val="15"/>
                <w:color w:val="auto"/>
              </w:rPr>
            </w:pPr>
          </w:p>
        </w:tc>
        <w:tc>
          <w:tcPr>
            <w:tcW w:w="440" w:type="dxa"/>
            <w:vAlign w:val="bottom"/>
            <w:shd w:val="clear" w:color="auto" w:fill="D2EEF5"/>
          </w:tcPr>
          <w:p>
            <w:pPr>
              <w:spacing w:after="0"/>
              <w:rPr>
                <w:sz w:val="15"/>
                <w:szCs w:val="15"/>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D2EEF5"/>
          </w:tcPr>
          <w:p>
            <w:pPr>
              <w:spacing w:after="0"/>
              <w:rPr>
                <w:sz w:val="15"/>
                <w:szCs w:val="15"/>
                <w:color w:val="auto"/>
              </w:rPr>
            </w:pPr>
          </w:p>
        </w:tc>
        <w:tc>
          <w:tcPr>
            <w:tcW w:w="36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179</w:t>
            </w:r>
          </w:p>
        </w:tc>
        <w:tc>
          <w:tcPr>
            <w:tcW w:w="300" w:type="dxa"/>
            <w:vAlign w:val="bottom"/>
            <w:shd w:val="clear" w:color="auto" w:fill="D2EEF5"/>
          </w:tcPr>
          <w:p>
            <w:pPr>
              <w:spacing w:after="0"/>
              <w:rPr>
                <w:sz w:val="15"/>
                <w:szCs w:val="15"/>
                <w:color w:val="auto"/>
              </w:rPr>
            </w:pPr>
          </w:p>
        </w:tc>
        <w:tc>
          <w:tcPr>
            <w:tcW w:w="5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34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No expiry</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D2EEF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20,361</w:t>
            </w:r>
          </w:p>
        </w:tc>
        <w:tc>
          <w:tcPr>
            <w:tcW w:w="280" w:type="dxa"/>
            <w:vAlign w:val="bottom"/>
            <w:tcBorders>
              <w:bottom w:val="single" w:sz="8" w:color="D2EEF5"/>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D2EEF5"/>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42,566</w:t>
            </w:r>
          </w:p>
        </w:tc>
      </w:tr>
      <w:tr>
        <w:trPr>
          <w:trHeight w:val="174"/>
        </w:trPr>
        <w:tc>
          <w:tcPr>
            <w:tcW w:w="34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Loss carry-forwards</w:t>
            </w:r>
          </w:p>
        </w:tc>
        <w:tc>
          <w:tcPr>
            <w:tcW w:w="480" w:type="dxa"/>
            <w:vAlign w:val="bottom"/>
            <w:tcBorders>
              <w:bottom w:val="single" w:sz="8" w:color="auto"/>
            </w:tcBorders>
            <w:shd w:val="clear" w:color="auto" w:fill="D2EEF5"/>
          </w:tcPr>
          <w:p>
            <w:pPr>
              <w:jc w:val="right"/>
              <w:ind w:right="32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37,884</w:t>
            </w:r>
          </w:p>
        </w:tc>
        <w:tc>
          <w:tcPr>
            <w:tcW w:w="280" w:type="dxa"/>
            <w:vAlign w:val="bottom"/>
            <w:tcBorders>
              <w:bottom w:val="single" w:sz="8" w:color="D2EEF5"/>
            </w:tcBorders>
            <w:shd w:val="clear" w:color="auto" w:fill="D2EEF5"/>
          </w:tcPr>
          <w:p>
            <w:pPr>
              <w:spacing w:after="0"/>
              <w:rPr>
                <w:sz w:val="15"/>
                <w:szCs w:val="15"/>
                <w:color w:val="auto"/>
              </w:rPr>
            </w:pPr>
          </w:p>
        </w:tc>
        <w:tc>
          <w:tcPr>
            <w:tcW w:w="440" w:type="dxa"/>
            <w:vAlign w:val="bottom"/>
            <w:tcBorders>
              <w:bottom w:val="single" w:sz="8" w:color="auto"/>
            </w:tcBorders>
            <w:shd w:val="clear" w:color="auto" w:fill="D2EEF5"/>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20,361</w:t>
            </w:r>
          </w:p>
        </w:tc>
        <w:tc>
          <w:tcPr>
            <w:tcW w:w="280" w:type="dxa"/>
            <w:vAlign w:val="bottom"/>
            <w:tcBorders>
              <w:bottom w:val="single" w:sz="8" w:color="D2EEF5"/>
            </w:tcBorders>
            <w:shd w:val="clear" w:color="auto" w:fill="D2EEF5"/>
          </w:tcPr>
          <w:p>
            <w:pPr>
              <w:spacing w:after="0"/>
              <w:rPr>
                <w:sz w:val="15"/>
                <w:szCs w:val="15"/>
                <w:color w:val="auto"/>
              </w:rPr>
            </w:pPr>
          </w:p>
        </w:tc>
        <w:tc>
          <w:tcPr>
            <w:tcW w:w="360" w:type="dxa"/>
            <w:vAlign w:val="bottom"/>
            <w:tcBorders>
              <w:bottom w:val="single" w:sz="8" w:color="auto"/>
            </w:tcBorders>
            <w:shd w:val="clear" w:color="auto" w:fill="D2EEF5"/>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185</w:t>
            </w:r>
          </w:p>
        </w:tc>
        <w:tc>
          <w:tcPr>
            <w:tcW w:w="300" w:type="dxa"/>
            <w:vAlign w:val="bottom"/>
            <w:tcBorders>
              <w:bottom w:val="single" w:sz="8" w:color="D2EEF5"/>
            </w:tcBorders>
            <w:shd w:val="clear" w:color="auto" w:fill="D2EEF5"/>
          </w:tcPr>
          <w:p>
            <w:pPr>
              <w:spacing w:after="0"/>
              <w:rPr>
                <w:sz w:val="15"/>
                <w:szCs w:val="15"/>
                <w:color w:val="auto"/>
              </w:rPr>
            </w:pPr>
          </w:p>
        </w:tc>
        <w:tc>
          <w:tcPr>
            <w:tcW w:w="500" w:type="dxa"/>
            <w:vAlign w:val="bottom"/>
            <w:tcBorders>
              <w:bottom w:val="single" w:sz="8" w:color="auto"/>
            </w:tcBorders>
            <w:shd w:val="clear" w:color="auto" w:fill="D2EEF5"/>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42,566</w:t>
            </w:r>
          </w:p>
        </w:tc>
      </w:tr>
      <w:tr>
        <w:trPr>
          <w:trHeight w:val="20"/>
        </w:trPr>
        <w:tc>
          <w:tcPr>
            <w:tcW w:w="3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360" w:right="80" w:firstLine="274"/>
        <w:spacing w:after="0" w:line="283" w:lineRule="auto"/>
        <w:rPr>
          <w:sz w:val="20"/>
          <w:szCs w:val="20"/>
          <w:color w:val="auto"/>
        </w:rPr>
      </w:pPr>
      <w:r>
        <w:rPr>
          <w:rFonts w:ascii="Arial" w:cs="Arial" w:eastAsia="Arial" w:hAnsi="Arial"/>
          <w:sz w:val="14"/>
          <w:szCs w:val="14"/>
          <w:color w:val="auto"/>
        </w:rPr>
        <w:t>The Company files income tax returns in Canada, the United States, Singapore and Tonga, and is subject to examination in these jurisdictions for all years since the Company’s inception in 2011. As at December 31, 2024,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2024, the 2024 tax year filings for the Company and its subsidiaries (where applicable) remain unfiled and have not been assessed by the relative tax authorities.</w:t>
      </w:r>
    </w:p>
    <w:p>
      <w:pPr>
        <w:spacing w:after="0" w:line="133" w:lineRule="exact"/>
        <w:rPr>
          <w:sz w:val="20"/>
          <w:szCs w:val="20"/>
          <w:color w:val="auto"/>
        </w:rPr>
      </w:pPr>
    </w:p>
    <w:p>
      <w:pPr>
        <w:ind w:left="360" w:hanging="279"/>
        <w:spacing w:after="0"/>
        <w:tabs>
          <w:tab w:leader="none" w:pos="360"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95" w:lineRule="exact"/>
        <w:rPr>
          <w:rFonts w:ascii="Arial" w:cs="Arial" w:eastAsia="Arial" w:hAnsi="Arial"/>
          <w:sz w:val="15"/>
          <w:szCs w:val="15"/>
          <w:b w:val="1"/>
          <w:bCs w:val="1"/>
          <w:color w:val="auto"/>
        </w:rPr>
      </w:pPr>
    </w:p>
    <w:p>
      <w:pPr>
        <w:ind w:left="360" w:right="80"/>
        <w:spacing w:after="0" w:line="337" w:lineRule="auto"/>
        <w:rPr>
          <w:rFonts w:ascii="Arial" w:cs="Arial" w:eastAsia="Arial" w:hAnsi="Arial"/>
          <w:sz w:val="15"/>
          <w:szCs w:val="15"/>
          <w:b w:val="1"/>
          <w:bCs w:val="1"/>
          <w:color w:val="auto"/>
        </w:rPr>
      </w:pPr>
      <w:r>
        <w:rPr>
          <w:rFonts w:ascii="Arial" w:cs="Arial" w:eastAsia="Arial" w:hAnsi="Arial"/>
          <w:sz w:val="14"/>
          <w:szCs w:val="14"/>
          <w:color w:val="auto"/>
        </w:rPr>
        <w:t>On March 24, 2025, we entered into a Letter Agreement (the “Letter Agreement”) with Allseas Investments and Argentum Cedit Virtuti GCV, pursuant to which the repayment date under our Working Capital Loan agreement with Allseas Investments dated September 9, 2024 was extended to September 30, 2025.</w:t>
      </w:r>
    </w:p>
    <w:p>
      <w:pPr>
        <w:spacing w:after="0" w:line="96" w:lineRule="exact"/>
        <w:rPr>
          <w:rFonts w:ascii="Arial" w:cs="Arial" w:eastAsia="Arial" w:hAnsi="Arial"/>
          <w:sz w:val="15"/>
          <w:szCs w:val="15"/>
          <w:b w:val="1"/>
          <w:bCs w:val="1"/>
          <w:color w:val="auto"/>
        </w:rPr>
      </w:pPr>
    </w:p>
    <w:p>
      <w:pPr>
        <w:ind w:left="360" w:right="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Additionally, under the Letter Agreement, we and Argentum Cedit Virtuti GCV agreed to cancel the unsecured credit facility established in 2023 with no outstanding amounts remaining, other than our obligation to pay the underutilization fee thereunder.</w:t>
      </w:r>
    </w:p>
    <w:p>
      <w:pPr>
        <w:spacing w:after="0" w:line="119" w:lineRule="exact"/>
        <w:rPr>
          <w:rFonts w:ascii="Arial" w:cs="Arial" w:eastAsia="Arial" w:hAnsi="Arial"/>
          <w:sz w:val="15"/>
          <w:szCs w:val="15"/>
          <w:b w:val="1"/>
          <w:bCs w:val="1"/>
          <w:color w:val="auto"/>
        </w:rPr>
      </w:pPr>
    </w:p>
    <w:p>
      <w:pPr>
        <w:jc w:val="both"/>
        <w:ind w:left="360" w:right="8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On March 27, 2025, the Company announced that it initiated a process with the U.S. National Oceanic and Atmospheric Administration and the U.S. Department of Commerce under the U.S. Deep Seabed Hard Mineral Resources Act to consider a U.S.-based regulatory pathway for the commercial production of deep-sea polymetallic nodules in the CCZ.</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8pt"/>
            </w:pict>
          </mc:Fallback>
        </mc:AlternateContent>
      </w:r>
    </w:p>
    <w:p>
      <w:pPr>
        <w:sectPr>
          <w:pgSz w:w="13680" w:h="17280" w:orient="portrait"/>
          <w:cols w:equalWidth="0" w:num="1">
            <w:col w:w="10800"/>
          </w:cols>
          <w:pgMar w:left="1440" w:top="1440" w:right="1440"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5"/>
          <w:szCs w:val="15"/>
          <w:b w:val="1"/>
          <w:bCs w:val="1"/>
          <w:color w:val="auto"/>
        </w:rPr>
        <w:t>Item 9A.</w:t>
        <w:tab/>
        <w:t>CONTROLS AND PROCEDURES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58" w:lineRule="exact"/>
        <w:rPr>
          <w:sz w:val="20"/>
          <w:szCs w:val="20"/>
          <w:color w:val="auto"/>
        </w:rPr>
      </w:pPr>
    </w:p>
    <w:p>
      <w:pPr>
        <w:jc w:val="both"/>
        <w:ind w:left="80" w:right="80" w:firstLine="274"/>
        <w:spacing w:after="0" w:line="269"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and considering the previously reported material weakness as described below, our Chief Executive Officer and Chief Financial Officer concluded that our disclosure controls and procedures were not effective as of December 31, 2024.</w:t>
      </w:r>
    </w:p>
    <w:p>
      <w:pPr>
        <w:spacing w:after="0" w:line="118" w:lineRule="exact"/>
        <w:rPr>
          <w:sz w:val="20"/>
          <w:szCs w:val="20"/>
          <w:color w:val="auto"/>
        </w:rPr>
      </w:pPr>
    </w:p>
    <w:p>
      <w:pPr>
        <w:jc w:val="both"/>
        <w:ind w:left="80" w:right="80" w:firstLine="275"/>
        <w:spacing w:after="0" w:line="294" w:lineRule="auto"/>
        <w:rPr>
          <w:sz w:val="20"/>
          <w:szCs w:val="20"/>
          <w:color w:val="auto"/>
        </w:rPr>
      </w:pPr>
      <w:r>
        <w:rPr>
          <w:rFonts w:ascii="Arial" w:cs="Arial" w:eastAsia="Arial" w:hAnsi="Arial"/>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Management’s Annual Report on Internal Control over Financial Reporting</w:t>
      </w:r>
    </w:p>
    <w:p>
      <w:pPr>
        <w:spacing w:after="0" w:line="158" w:lineRule="exact"/>
        <w:rPr>
          <w:sz w:val="20"/>
          <w:szCs w:val="20"/>
          <w:color w:val="auto"/>
        </w:rPr>
      </w:pPr>
    </w:p>
    <w:p>
      <w:pPr>
        <w:jc w:val="both"/>
        <w:ind w:left="80" w:right="80" w:firstLine="275"/>
        <w:spacing w:after="0" w:line="26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23" w:lineRule="exact"/>
        <w:rPr>
          <w:sz w:val="20"/>
          <w:szCs w:val="20"/>
          <w:color w:val="auto"/>
        </w:rPr>
      </w:pPr>
    </w:p>
    <w:p>
      <w:pPr>
        <w:ind w:left="660" w:hanging="283"/>
        <w:spacing w:after="0"/>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21" w:lineRule="exact"/>
        <w:rPr>
          <w:rFonts w:ascii="Arial" w:cs="Arial" w:eastAsia="Arial" w:hAnsi="Arial"/>
          <w:sz w:val="14"/>
          <w:szCs w:val="14"/>
          <w:color w:val="auto"/>
        </w:rPr>
      </w:pPr>
    </w:p>
    <w:p>
      <w:pPr>
        <w:jc w:val="both"/>
        <w:ind w:left="660" w:right="80" w:hanging="283"/>
        <w:spacing w:after="0" w:line="254" w:lineRule="auto"/>
        <w:tabs>
          <w:tab w:leader="none" w:pos="6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5"/>
          <w:szCs w:val="15"/>
          <w:color w:val="auto"/>
        </w:rPr>
      </w:pPr>
    </w:p>
    <w:p>
      <w:pPr>
        <w:ind w:left="660" w:right="100" w:hanging="282"/>
        <w:spacing w:after="0" w:line="299" w:lineRule="auto"/>
        <w:tabs>
          <w:tab w:leader="none" w:pos="6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 xml:space="preserve">As of December 31, 2024,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xml:space="preserve"> issued by the Committee of Sponsoring Organizations of the Treadway Commission. Based on this assessment, our management concluded that, as of December 31, 2024, our internal control over financial reporting, were not effective, as a result of the material weakness discussed below.</w:t>
      </w:r>
    </w:p>
    <w:p>
      <w:pPr>
        <w:spacing w:after="0" w:line="107" w:lineRule="exact"/>
        <w:rPr>
          <w:sz w:val="20"/>
          <w:szCs w:val="20"/>
          <w:color w:val="auto"/>
        </w:rPr>
      </w:pPr>
    </w:p>
    <w:p>
      <w:pPr>
        <w:jc w:val="both"/>
        <w:ind w:left="80" w:right="100" w:firstLine="275"/>
        <w:spacing w:after="0" w:line="265" w:lineRule="auto"/>
        <w:rPr>
          <w:sz w:val="20"/>
          <w:szCs w:val="20"/>
          <w:color w:val="auto"/>
        </w:rPr>
      </w:pPr>
      <w:r>
        <w:rPr>
          <w:rFonts w:ascii="Arial" w:cs="Arial" w:eastAsia="Arial" w:hAnsi="Arial"/>
          <w:sz w:val="15"/>
          <w:szCs w:val="15"/>
          <w:color w:val="auto"/>
        </w:rPr>
        <w:t>As previously disclosed in our Annual Report on Form 10-K for the year ended December 31, 2023 (the “2023 Annual Report on Form 10-K”),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23" w:lineRule="exact"/>
        <w:rPr>
          <w:sz w:val="20"/>
          <w:szCs w:val="20"/>
          <w:color w:val="auto"/>
        </w:rPr>
      </w:pPr>
    </w:p>
    <w:p>
      <w:pPr>
        <w:jc w:val="both"/>
        <w:ind w:left="80" w:right="80" w:firstLine="275"/>
        <w:spacing w:after="0" w:line="269" w:lineRule="auto"/>
        <w:rPr>
          <w:sz w:val="20"/>
          <w:szCs w:val="20"/>
          <w:color w:val="auto"/>
        </w:rPr>
      </w:pPr>
      <w:r>
        <w:rPr>
          <w:rFonts w:ascii="Arial" w:cs="Arial" w:eastAsia="Arial" w:hAnsi="Arial"/>
          <w:sz w:val="15"/>
          <w:szCs w:val="15"/>
          <w:color w:val="auto"/>
        </w:rPr>
        <w:t>This material weakness resulted in errors in the financial statements and related disclosures in our Quarterly Reports on Form 10-Q for the quarter ended March 31, 2023, and for the six months ended June 30, 2023 and nine months ended September 30, 2023. See Note 23 to the audited consolidated financial statements for the year ended December 31, 2023, included in our 2023 Annual Report on Form 10-K for more information about these errors and our revisions to these previously issued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399pt"/>
            </w:pict>
          </mc:Fallback>
        </mc:AlternateContent>
      </w:r>
    </w:p>
    <w:p>
      <w:pPr>
        <w:sectPr>
          <w:pgSz w:w="13680" w:h="17280" w:orient="portrait"/>
          <w:cols w:equalWidth="0" w:num="1">
            <w:col w:w="10800"/>
          </w:cols>
          <w:pgMar w:left="1440" w:top="1440" w:right="1440"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80" w:right="80" w:firstLine="275"/>
        <w:spacing w:after="0" w:line="283" w:lineRule="auto"/>
        <w:rPr>
          <w:sz w:val="20"/>
          <w:szCs w:val="20"/>
          <w:color w:val="auto"/>
        </w:rPr>
      </w:pPr>
      <w:r>
        <w:rPr>
          <w:rFonts w:ascii="Arial" w:cs="Arial" w:eastAsia="Arial" w:hAnsi="Arial"/>
          <w:sz w:val="14"/>
          <w:szCs w:val="14"/>
          <w:color w:val="auto"/>
        </w:rPr>
        <w:t>In order to remediate this material weakness, during 2024, we developed a policy to assist with the identification of significant, non-routine transactions and to define the processes to follow in addressing the accounting and reporting requirements of these transactions. In addition, we rolled out training on processes and controls related to significant, non-routine transactions and identifying circumstances under which we use technical advisors in connection with evaluating such transactions. During the fourth quarter of the year ended December 31, 2024, we identified a significant, non-routine transaction that occurred and we applied the processes as required under the new policy. Although management believes the new policy, processes and training worked effectively for this significant, non-routine transaction, the new internal control over significant, non-routine transactions needs to be in operation and tested for sufficient instances to be considered effective and, therefore, these changes can only be deemed effective once they have been in place over a longer time period and applied in additional instances.</w:t>
      </w:r>
    </w:p>
    <w:p>
      <w:pPr>
        <w:spacing w:after="0" w:line="101"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We will continue to review the effectiveness of our newly implemented controls and make improvements as warranted. This is no assurance, however, that these control modifications will ultimately have the intended effects.</w:t>
      </w:r>
    </w:p>
    <w:p>
      <w:pPr>
        <w:spacing w:after="0" w:line="85"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Notwithstanding the material weakness, management has concluded that our audited financial statements included in this Annual Report on Form 10-K are fairly stated in all material respects in accordance with U.S. GAAP for each of the periods presented therein.</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192" w:lineRule="exact"/>
        <w:rPr>
          <w:sz w:val="20"/>
          <w:szCs w:val="20"/>
          <w:color w:val="auto"/>
        </w:rPr>
      </w:pPr>
    </w:p>
    <w:p>
      <w:pPr>
        <w:jc w:val="both"/>
        <w:ind w:left="80" w:right="100" w:firstLine="274"/>
        <w:spacing w:after="0" w:line="276" w:lineRule="auto"/>
        <w:rPr>
          <w:sz w:val="20"/>
          <w:szCs w:val="20"/>
          <w:color w:val="auto"/>
        </w:rPr>
      </w:pPr>
      <w:r>
        <w:rPr>
          <w:rFonts w:ascii="Arial" w:cs="Arial" w:eastAsia="Arial" w:hAnsi="Arial"/>
          <w:sz w:val="15"/>
          <w:szCs w:val="15"/>
          <w:color w:val="auto"/>
        </w:rPr>
        <w:t>Except as noted above, there were no changes in our internal control over financial reporting identified in connection with the evaluation of such internal control that occurred during the fourth quarter of the year ended December 31, 2024 that have materially affected, or are reasonably likely to materially affect, our internal control over financial reporting.</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Limitations on the Effectiveness of Disclosure Controls and Procedures</w:t>
      </w:r>
    </w:p>
    <w:p>
      <w:pPr>
        <w:spacing w:after="0" w:line="192" w:lineRule="exact"/>
        <w:rPr>
          <w:sz w:val="20"/>
          <w:szCs w:val="20"/>
          <w:color w:val="auto"/>
        </w:rPr>
      </w:pPr>
    </w:p>
    <w:p>
      <w:pPr>
        <w:jc w:val="both"/>
        <w:ind w:left="80" w:right="80" w:firstLine="275"/>
        <w:spacing w:after="0" w:line="280" w:lineRule="auto"/>
        <w:rPr>
          <w:sz w:val="20"/>
          <w:szCs w:val="20"/>
          <w:color w:val="auto"/>
        </w:rPr>
      </w:pPr>
      <w:r>
        <w:rPr>
          <w:rFonts w:ascii="Arial" w:cs="Arial" w:eastAsia="Arial" w:hAnsi="Arial"/>
          <w:sz w:val="14"/>
          <w:szCs w:val="14"/>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5"/>
          <w:szCs w:val="15"/>
          <w:b w:val="1"/>
          <w:bCs w:val="1"/>
          <w:color w:val="auto"/>
        </w:rPr>
        <w:t>Item 9B.</w:t>
        <w:tab/>
        <w:t>OTHER INFORMATION</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Extension of Credit Facility with ERAS Capital LLC and Gerard Barron</w:t>
      </w:r>
    </w:p>
    <w:p>
      <w:pPr>
        <w:spacing w:after="0" w:line="192" w:lineRule="exact"/>
        <w:rPr>
          <w:sz w:val="20"/>
          <w:szCs w:val="20"/>
          <w:color w:val="auto"/>
        </w:rPr>
      </w:pPr>
    </w:p>
    <w:p>
      <w:pPr>
        <w:jc w:val="both"/>
        <w:ind w:left="80" w:right="80" w:firstLine="275"/>
        <w:spacing w:after="0" w:line="288" w:lineRule="auto"/>
        <w:rPr>
          <w:sz w:val="20"/>
          <w:szCs w:val="20"/>
          <w:color w:val="auto"/>
        </w:rPr>
      </w:pPr>
      <w:r>
        <w:rPr>
          <w:rFonts w:ascii="Arial" w:cs="Arial" w:eastAsia="Arial" w:hAnsi="Arial"/>
          <w:sz w:val="14"/>
          <w:szCs w:val="14"/>
          <w:color w:val="auto"/>
        </w:rPr>
        <w:t>On March 26, 2025, we entered into the Third Amendment to increase the borrowing limit to $44 million in the aggregate ($22 million from each of the 2024 Lenders) and to extend the maturity of the 2024 Credit Facility to June 30, 2026. The Third Amendment also provides that the 2024 Lenders may extend the term of the 2024 Credit Facility by up to two additional one-year periods (until June 30, 2028 at the latest) and that the 2024 Lenders may terminate the 2024 Credit Facility upon certain company financings. The foregoing description of the Third Amendment does not purport to be a complete description of the rights and obligations of the parties thereunder and is qualified in its entirety by reference to the full text of the Third Amendment attached as Exhibit 10.45 to this Annual Report and incorporated herein by reference.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Extension of Allseas Working Capital Loan Agreement and Termination of Allseas 2023 Credit Facility</w:t>
      </w:r>
    </w:p>
    <w:p>
      <w:pPr>
        <w:spacing w:after="0" w:line="158" w:lineRule="exact"/>
        <w:rPr>
          <w:sz w:val="20"/>
          <w:szCs w:val="20"/>
          <w:color w:val="auto"/>
        </w:rPr>
      </w:pPr>
    </w:p>
    <w:p>
      <w:pPr>
        <w:jc w:val="both"/>
        <w:ind w:left="80" w:right="80" w:firstLine="275"/>
        <w:spacing w:after="0" w:line="276" w:lineRule="auto"/>
        <w:rPr>
          <w:sz w:val="20"/>
          <w:szCs w:val="20"/>
          <w:color w:val="auto"/>
        </w:rPr>
      </w:pPr>
      <w:r>
        <w:rPr>
          <w:rFonts w:ascii="Arial" w:cs="Arial" w:eastAsia="Arial" w:hAnsi="Arial"/>
          <w:sz w:val="15"/>
          <w:szCs w:val="15"/>
          <w:color w:val="auto"/>
        </w:rPr>
        <w:t>On March 24, 2025, we entered into a Letter Agreement (the “Letter Agreement”) with Allseas Investments SA (“Allseas Investments”) and Argentum Cedit Virtuti GCV, pursuant to which the repayment date under our working capital loan agreement with Allseas Investments dated September 9, 2024 was extended to September 30, 2025.</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16">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099pt"/>
            </w:pict>
          </mc:Fallback>
        </mc:AlternateContent>
      </w:r>
    </w:p>
    <w:p>
      <w:pPr>
        <w:sectPr>
          <w:pgSz w:w="13680" w:h="17280" w:orient="portrait"/>
          <w:cols w:equalWidth="0" w:num="1">
            <w:col w:w="10800"/>
          </w:cols>
          <w:pgMar w:left="1440" w:top="1440" w:right="1440"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80" w:right="80" w:firstLine="275"/>
        <w:spacing w:after="0" w:line="299" w:lineRule="auto"/>
        <w:rPr>
          <w:sz w:val="20"/>
          <w:szCs w:val="20"/>
          <w:color w:val="auto"/>
        </w:rPr>
      </w:pPr>
      <w:r>
        <w:rPr>
          <w:rFonts w:ascii="Arial" w:cs="Arial" w:eastAsia="Arial" w:hAnsi="Arial"/>
          <w:sz w:val="15"/>
          <w:szCs w:val="15"/>
          <w:color w:val="auto"/>
        </w:rPr>
        <w:t>Additionally, under the Letter Agreement, we and Argentum Cedit Virtuti GCV agreed to cancel the unsecured credit facility established in 2023 with no outstanding amounts remaining, other than our obligation to pay the underutilization fee thereunder.</w:t>
      </w:r>
    </w:p>
    <w:p>
      <w:pPr>
        <w:spacing w:after="0" w:line="85"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foregoing description of the Letter Agreement does not purport to be a complete description of the rights and obligations of the parties thereunder and is qualified in its entirety by reference to the full text of the Letter Agreement attached as Exhibit 10.41 to this Annual Report and incorporated herein by reference.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Rule 10b5-1 Trading Arrangements</w:t>
      </w:r>
    </w:p>
    <w:p>
      <w:pPr>
        <w:spacing w:after="0" w:line="192" w:lineRule="exact"/>
        <w:rPr>
          <w:sz w:val="20"/>
          <w:szCs w:val="20"/>
          <w:color w:val="auto"/>
        </w:rPr>
      </w:pPr>
    </w:p>
    <w:p>
      <w:pPr>
        <w:jc w:val="both"/>
        <w:ind w:left="80" w:right="100" w:firstLine="275"/>
        <w:spacing w:after="0" w:line="276" w:lineRule="auto"/>
        <w:rPr>
          <w:sz w:val="20"/>
          <w:szCs w:val="20"/>
          <w:color w:val="auto"/>
        </w:rPr>
      </w:pPr>
      <w:r>
        <w:rPr>
          <w:rFonts w:ascii="Arial" w:cs="Arial" w:eastAsia="Arial" w:hAnsi="Arial"/>
          <w:sz w:val="15"/>
          <w:szCs w:val="15"/>
          <w:color w:val="auto"/>
        </w:rPr>
        <w:t>During the fiscal quarter ended December 31, 2024,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134"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5"/>
          <w:szCs w:val="15"/>
          <w:b w:val="1"/>
          <w:bCs w:val="1"/>
          <w:color w:val="auto"/>
        </w:rPr>
        <w:t>Item 9C.</w:t>
        <w:tab/>
        <w:t>DISCLOSURE REGARDING FOREIGN JURISDICTIONS THAT PREVENT INSPECTIONS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PART III</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10.DIRECTORS, EXECUTIVE OFFICERS AND CORPORATE GOVERNANCE</w:t>
      </w:r>
    </w:p>
    <w:p>
      <w:pPr>
        <w:spacing w:after="0" w:line="196" w:lineRule="exact"/>
        <w:rPr>
          <w:sz w:val="20"/>
          <w:szCs w:val="20"/>
          <w:color w:val="auto"/>
        </w:rPr>
      </w:pPr>
    </w:p>
    <w:p>
      <w:pPr>
        <w:jc w:val="both"/>
        <w:ind w:left="80" w:right="80" w:firstLine="275"/>
        <w:spacing w:after="0" w:line="305" w:lineRule="auto"/>
        <w:rPr>
          <w:sz w:val="20"/>
          <w:szCs w:val="20"/>
          <w:color w:val="auto"/>
        </w:rPr>
      </w:pPr>
      <w:r>
        <w:rPr>
          <w:rFonts w:ascii="Arial" w:cs="Arial" w:eastAsia="Arial" w:hAnsi="Arial"/>
          <w:sz w:val="14"/>
          <w:szCs w:val="14"/>
          <w:color w:val="auto"/>
        </w:rPr>
        <w:t>The response to this item is incorporated by reference from the discussion responsive thereto under the captions “Management and Corporate Governance,” “Code of Business Conduct and Ethics” and “Delinquent Section 16(a) Reports”, if applicable, in our Proxy Statement for the 2025 annual meeting of shareholders (the “Proxy Statement”) to be filed with the SEC within 120 days of the fiscal year ended December 31, 2024 and any other applicable sections of the Proxy Statement.</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11. EXECUTIVE COMPENSATION</w:t>
      </w:r>
    </w:p>
    <w:p>
      <w:pPr>
        <w:spacing w:after="0" w:line="196"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 “Executive Officer and Director Compensation” in the Proxy Statement and any other applicable sections of the Proxy Statement.</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12.SECURITY OWNERSHIP OF CERTAIN BENEFICIAL OWNERS AND MANAGEMENT AND RELATED STOCKHOLDER MATTERS</w:t>
      </w:r>
    </w:p>
    <w:p>
      <w:pPr>
        <w:spacing w:after="0" w:line="196" w:lineRule="exact"/>
        <w:rPr>
          <w:sz w:val="20"/>
          <w:szCs w:val="20"/>
          <w:color w:val="auto"/>
        </w:rPr>
      </w:pPr>
    </w:p>
    <w:p>
      <w:pPr>
        <w:jc w:val="both"/>
        <w:ind w:left="80" w:right="80" w:firstLine="274"/>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captions “Security Ownership of Certain Beneficial Owners and Management” and “Equity Compensation Plan Information” in the Proxy Statement and any other applicable sections of the Proxy Statement.</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13.CERTAIN RELATIONSHIPS AND RELATED TRANSACTIONS, AND DIRECTOR INDEPENDENCE</w:t>
      </w:r>
    </w:p>
    <w:p>
      <w:pPr>
        <w:spacing w:after="0" w:line="196" w:lineRule="exact"/>
        <w:rPr>
          <w:sz w:val="20"/>
          <w:szCs w:val="20"/>
          <w:color w:val="auto"/>
        </w:rPr>
      </w:pPr>
    </w:p>
    <w:p>
      <w:pPr>
        <w:jc w:val="both"/>
        <w:ind w:left="80" w:right="100" w:firstLine="274"/>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captions “Certain Relationships and Related Person Transactions” and “Management and Corporate Governance” in the Proxy Statement and any other applicable sections of the Proxy Statement.</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14.PRINCIPAL ACCOUNTANT FEES AND SERVICES</w:t>
      </w:r>
    </w:p>
    <w:p>
      <w:pPr>
        <w:spacing w:after="0" w:line="173" w:lineRule="exact"/>
        <w:rPr>
          <w:sz w:val="20"/>
          <w:szCs w:val="20"/>
          <w:color w:val="auto"/>
        </w:rPr>
      </w:pPr>
    </w:p>
    <w:p>
      <w:pPr>
        <w:jc w:val="both"/>
        <w:ind w:left="80" w:right="100" w:firstLine="275"/>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 “Proposal No. 3 - Appointment of the Independent Registered Public Accounting Firm” in the Proxy Statement and any other applicable sections of the Proxy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321310</wp:posOffset>
                </wp:positionV>
                <wp:extent cx="675322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18">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3pt" to="535.75pt,25.3pt" o:allowincell="f" strokecolor="#000000" strokeweight="1.718pt"/>
            </w:pict>
          </mc:Fallback>
        </mc:AlternateContent>
      </w:r>
    </w:p>
    <w:p>
      <w:pPr>
        <w:sectPr>
          <w:pgSz w:w="13680" w:h="17280" w:orient="portrait"/>
          <w:cols w:equalWidth="0" w:num="1">
            <w:col w:w="10800"/>
          </w:cols>
          <w:pgMar w:left="1440" w:top="1440" w:right="1440"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IV</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15.EXHIBITS AND FINANCIAL STATEMENT SCHEDULES</w:t>
      </w:r>
    </w:p>
    <w:p>
      <w:pPr>
        <w:spacing w:after="0" w:line="194" w:lineRule="exact"/>
        <w:rPr>
          <w:sz w:val="20"/>
          <w:szCs w:val="20"/>
          <w:color w:val="auto"/>
        </w:rPr>
      </w:pPr>
    </w:p>
    <w:p>
      <w:pPr>
        <w:ind w:left="600" w:hanging="245"/>
        <w:spacing w:after="0"/>
        <w:tabs>
          <w:tab w:leader="none" w:pos="60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Financial Statements.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See “Index to Financial Statements and Financial Statement Schedules” under Part II, Item 8 to this Annual Report.</w:t>
      </w:r>
    </w:p>
    <w:p>
      <w:pPr>
        <w:spacing w:after="0" w:line="191" w:lineRule="exact"/>
        <w:rPr>
          <w:sz w:val="20"/>
          <w:szCs w:val="20"/>
          <w:color w:val="auto"/>
        </w:rPr>
      </w:pPr>
    </w:p>
    <w:p>
      <w:pPr>
        <w:ind w:left="600" w:hanging="245"/>
        <w:spacing w:after="0"/>
        <w:tabs>
          <w:tab w:leader="none" w:pos="600" w:val="left"/>
        </w:tabs>
        <w:numPr>
          <w:ilvl w:val="0"/>
          <w:numId w:val="82"/>
        </w:numPr>
        <w:rPr>
          <w:rFonts w:ascii="Arial" w:cs="Arial" w:eastAsia="Arial" w:hAnsi="Arial"/>
          <w:sz w:val="15"/>
          <w:szCs w:val="15"/>
          <w:color w:val="auto"/>
        </w:rPr>
      </w:pPr>
      <w:r>
        <w:rPr>
          <w:rFonts w:ascii="Arial" w:cs="Arial" w:eastAsia="Arial" w:hAnsi="Arial"/>
          <w:sz w:val="15"/>
          <w:szCs w:val="15"/>
          <w:b w:val="1"/>
          <w:bCs w:val="1"/>
          <w:color w:val="auto"/>
        </w:rPr>
        <w:t>Financial Statement Schedules.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Financial Statement schedules have not been included because they are not applicable or the information is included in the financial statements or notes thereto.</w:t>
      </w:r>
    </w:p>
    <w:p>
      <w:pPr>
        <w:spacing w:after="0" w:line="202" w:lineRule="exact"/>
        <w:rPr>
          <w:sz w:val="20"/>
          <w:szCs w:val="20"/>
          <w:color w:val="auto"/>
        </w:rPr>
      </w:pPr>
    </w:p>
    <w:p>
      <w:pPr>
        <w:ind w:left="600" w:hanging="245"/>
        <w:spacing w:after="0"/>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b w:val="1"/>
          <w:bCs w:val="1"/>
          <w:color w:val="auto"/>
        </w:rPr>
        <w:t>Exhibits.</w:t>
      </w:r>
    </w:p>
    <w:p>
      <w:pPr>
        <w:spacing w:after="0" w:line="196" w:lineRule="exact"/>
        <w:rPr>
          <w:sz w:val="20"/>
          <w:szCs w:val="20"/>
          <w:color w:val="auto"/>
        </w:rPr>
      </w:pPr>
    </w:p>
    <w:tbl>
      <w:tblPr>
        <w:tblLayout w:type="fixed"/>
        <w:tblInd w:w="9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Incorporated by</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Reference</w:t>
            </w:r>
          </w:p>
        </w:tc>
        <w:tc>
          <w:tcPr>
            <w:tcW w:w="1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5"/>
                <w:szCs w:val="15"/>
                <w:b w:val="1"/>
                <w:bCs w:val="1"/>
                <w:color w:val="auto"/>
              </w:rPr>
              <w:t>Exhibit</w:t>
            </w:r>
          </w:p>
        </w:tc>
        <w:tc>
          <w:tcPr>
            <w:tcW w:w="1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1"/>
              </w:rPr>
              <w:t>Filed</w:t>
            </w: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herein from</w:t>
            </w:r>
          </w:p>
        </w:tc>
        <w:tc>
          <w:tcPr>
            <w:tcW w:w="1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20" w:type="dxa"/>
            <w:vAlign w:val="bottom"/>
            <w:tcBorders>
              <w:left w:val="single" w:sz="8" w:color="auto"/>
              <w:right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1"/>
              </w:rPr>
              <w:t>with this</w:t>
            </w:r>
          </w:p>
        </w:tc>
        <w:tc>
          <w:tcPr>
            <w:tcW w:w="180" w:type="dxa"/>
            <w:vAlign w:val="bottom"/>
          </w:tcPr>
          <w:p>
            <w:pPr>
              <w:spacing w:after="0"/>
              <w:rPr>
                <w:sz w:val="14"/>
                <w:szCs w:val="1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 or</w:t>
            </w:r>
          </w:p>
        </w:tc>
        <w:tc>
          <w:tcPr>
            <w:tcW w:w="12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SEC File/Reg.</w:t>
            </w:r>
          </w:p>
        </w:tc>
        <w:tc>
          <w:tcPr>
            <w:tcW w:w="0" w:type="dxa"/>
            <w:vAlign w:val="bottom"/>
          </w:tcPr>
          <w:p>
            <w:pPr>
              <w:spacing w:after="0"/>
              <w:rPr>
                <w:sz w:val="1"/>
                <w:szCs w:val="1"/>
                <w:color w:val="auto"/>
              </w:rPr>
            </w:pPr>
          </w:p>
        </w:tc>
      </w:tr>
      <w:tr>
        <w:trPr>
          <w:trHeight w:val="218"/>
        </w:trPr>
        <w:tc>
          <w:tcPr>
            <w:tcW w:w="102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5"/>
                <w:szCs w:val="15"/>
                <w:b w:val="1"/>
                <w:bCs w:val="1"/>
                <w:color w:val="auto"/>
              </w:rPr>
              <w:t>Number</w:t>
            </w:r>
          </w:p>
        </w:tc>
        <w:tc>
          <w:tcPr>
            <w:tcW w:w="180" w:type="dxa"/>
            <w:vAlign w:val="bottom"/>
            <w:tcBorders>
              <w:bottom w:val="single" w:sz="8" w:color="auto"/>
            </w:tcBorders>
          </w:tcPr>
          <w:p>
            <w:pPr>
              <w:spacing w:after="0"/>
              <w:rPr>
                <w:sz w:val="18"/>
                <w:szCs w:val="18"/>
                <w:color w:val="auto"/>
              </w:rPr>
            </w:pPr>
          </w:p>
        </w:tc>
        <w:tc>
          <w:tcPr>
            <w:tcW w:w="4300" w:type="dxa"/>
            <w:vAlign w:val="bottom"/>
            <w:tcBorders>
              <w:bottom w:val="single" w:sz="8" w:color="auto"/>
              <w:right w:val="single" w:sz="8" w:color="auto"/>
            </w:tcBorders>
            <w:gridSpan w:val="3"/>
          </w:tcPr>
          <w:p>
            <w:pPr>
              <w:ind w:left="1500"/>
              <w:spacing w:after="0"/>
              <w:rPr>
                <w:sz w:val="20"/>
                <w:szCs w:val="20"/>
                <w:color w:val="auto"/>
              </w:rPr>
            </w:pPr>
            <w:r>
              <w:rPr>
                <w:rFonts w:ascii="Arial" w:cs="Arial" w:eastAsia="Arial" w:hAnsi="Arial"/>
                <w:sz w:val="15"/>
                <w:szCs w:val="15"/>
                <w:b w:val="1"/>
                <w:bCs w:val="1"/>
                <w:color w:val="auto"/>
              </w:rPr>
              <w:t>Exhibit Description</w:t>
            </w:r>
          </w:p>
        </w:tc>
        <w:tc>
          <w:tcPr>
            <w:tcW w:w="8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0"/>
              </w:rPr>
              <w:t>Report</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Schedule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auto"/>
              </w:rPr>
              <w:t>Filing Date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Number</w:t>
            </w: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2.1††</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2"/>
              </w:rPr>
              <w:t>Business Combination Agreement, dated as of March 4, 2021, by and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D2EEF5"/>
          </w:tcPr>
          <w:p>
            <w:pPr>
              <w:spacing w:after="0"/>
              <w:rPr>
                <w:sz w:val="13"/>
                <w:szCs w:val="13"/>
                <w:color w:val="auto"/>
              </w:rPr>
            </w:pPr>
          </w:p>
        </w:tc>
        <w:tc>
          <w:tcPr>
            <w:tcW w:w="9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3/4/2021</w:t>
            </w:r>
          </w:p>
        </w:tc>
        <w:tc>
          <w:tcPr>
            <w:tcW w:w="1360" w:type="dxa"/>
            <w:vAlign w:val="bottom"/>
            <w:tcBorders>
              <w:right w:val="single" w:sz="8" w:color="auto"/>
            </w:tcBorders>
            <w:shd w:val="clear" w:color="auto" w:fill="D2EEF5"/>
          </w:tcPr>
          <w:p>
            <w:pPr>
              <w:jc w:val="center"/>
              <w:ind w:left="65"/>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w w:val="96"/>
              </w:rPr>
              <w:t>among Sustainable Opportunities Acquisition Corp., 1291924 B.C.</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2.1)</w:t>
            </w:r>
          </w:p>
        </w:tc>
        <w:tc>
          <w:tcPr>
            <w:tcW w:w="120" w:type="dxa"/>
            <w:vAlign w:val="bottom"/>
            <w:shd w:val="clear" w:color="auto" w:fill="D2EEF5"/>
          </w:tcPr>
          <w:p>
            <w:pPr>
              <w:spacing w:after="0"/>
              <w:rPr>
                <w:sz w:val="15"/>
                <w:szCs w:val="15"/>
                <w:color w:val="auto"/>
              </w:rPr>
            </w:pPr>
          </w:p>
        </w:tc>
        <w:tc>
          <w:tcPr>
            <w:tcW w:w="980" w:type="dxa"/>
            <w:vAlign w:val="bottom"/>
            <w:tcBorders>
              <w:right w:val="single" w:sz="8" w:color="auto"/>
            </w:tcBorders>
            <w:shd w:val="clear" w:color="auto" w:fill="D2EEF5"/>
          </w:tcPr>
          <w:p>
            <w:pPr>
              <w:spacing w:after="0"/>
              <w:rPr>
                <w:sz w:val="15"/>
                <w:szCs w:val="15"/>
                <w:color w:val="auto"/>
              </w:rPr>
            </w:pPr>
          </w:p>
        </w:tc>
        <w:tc>
          <w:tcPr>
            <w:tcW w:w="1360" w:type="dxa"/>
            <w:vAlign w:val="bottom"/>
            <w:tcBorders>
              <w:right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rPr>
              <w:t>Unlimited Liability Company and DeepGreen Metals Inc.</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20" w:type="dxa"/>
            <w:vAlign w:val="bottom"/>
            <w:tcBorders>
              <w:bottom w:val="single" w:sz="8" w:color="auto"/>
            </w:tcBorders>
            <w:shd w:val="clear" w:color="auto" w:fill="D2EEF5"/>
          </w:tcPr>
          <w:p>
            <w:pPr>
              <w:spacing w:after="0"/>
              <w:rPr>
                <w:sz w:val="17"/>
                <w:szCs w:val="17"/>
                <w:color w:val="auto"/>
              </w:rPr>
            </w:pPr>
          </w:p>
        </w:tc>
        <w:tc>
          <w:tcPr>
            <w:tcW w:w="980" w:type="dxa"/>
            <w:vAlign w:val="bottom"/>
            <w:tcBorders>
              <w:bottom w:val="single" w:sz="8" w:color="auto"/>
              <w:right w:val="single" w:sz="8" w:color="auto"/>
            </w:tcBorders>
            <w:shd w:val="clear" w:color="auto" w:fill="D2EEF5"/>
          </w:tcPr>
          <w:p>
            <w:pPr>
              <w:spacing w:after="0"/>
              <w:rPr>
                <w:sz w:val="17"/>
                <w:szCs w:val="17"/>
                <w:color w:val="auto"/>
              </w:rPr>
            </w:pPr>
          </w:p>
        </w:tc>
        <w:tc>
          <w:tcPr>
            <w:tcW w:w="1360" w:type="dxa"/>
            <w:vAlign w:val="bottom"/>
            <w:tcBorders>
              <w:bottom w:val="single" w:sz="8" w:color="auto"/>
              <w:right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3.1</w:t>
            </w:r>
          </w:p>
        </w:tc>
        <w:tc>
          <w:tcPr>
            <w:tcW w:w="4480" w:type="dxa"/>
            <w:vAlign w:val="bottom"/>
            <w:tcBorders>
              <w:right w:val="single" w:sz="8" w:color="auto"/>
            </w:tcBorders>
            <w:gridSpan w:val="4"/>
          </w:tcPr>
          <w:p>
            <w:pPr>
              <w:ind w:left="180"/>
              <w:spacing w:after="0" w:line="154" w:lineRule="exact"/>
              <w:rPr>
                <w:sz w:val="20"/>
                <w:szCs w:val="20"/>
                <w:color w:val="auto"/>
              </w:rPr>
            </w:pPr>
            <w:r>
              <w:rPr>
                <w:rFonts w:ascii="Arial" w:cs="Arial" w:eastAsia="Arial" w:hAnsi="Arial"/>
                <w:sz w:val="15"/>
                <w:szCs w:val="15"/>
                <w:u w:val="single" w:color="auto"/>
                <w:color w:val="auto"/>
              </w:rPr>
              <w:t>Notice of Articles of TMC the metals company Inc.</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9/15/2021</w:t>
            </w:r>
          </w:p>
        </w:tc>
        <w:tc>
          <w:tcPr>
            <w:tcW w:w="1360" w:type="dxa"/>
            <w:vAlign w:val="bottom"/>
            <w:tcBorders>
              <w:right w:val="single" w:sz="8" w:color="auto"/>
            </w:tcBorders>
          </w:tcPr>
          <w:p>
            <w:pPr>
              <w:jc w:val="center"/>
              <w:ind w:left="65"/>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3.1)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3" w:lineRule="exact"/>
              <w:rPr>
                <w:sz w:val="20"/>
                <w:szCs w:val="20"/>
                <w:color w:val="auto"/>
              </w:rPr>
            </w:pPr>
            <w:r>
              <w:rPr>
                <w:rFonts w:ascii="Arial" w:cs="Arial" w:eastAsia="Arial" w:hAnsi="Arial"/>
                <w:sz w:val="15"/>
                <w:szCs w:val="15"/>
                <w:color w:val="auto"/>
              </w:rPr>
              <w:t>3.2</w:t>
            </w:r>
          </w:p>
        </w:tc>
        <w:tc>
          <w:tcPr>
            <w:tcW w:w="4480" w:type="dxa"/>
            <w:vAlign w:val="bottom"/>
            <w:tcBorders>
              <w:right w:val="single" w:sz="8" w:color="auto"/>
            </w:tcBorders>
            <w:gridSpan w:val="4"/>
            <w:shd w:val="clear" w:color="auto" w:fill="D2EEF5"/>
          </w:tcPr>
          <w:p>
            <w:pPr>
              <w:ind w:left="180"/>
              <w:spacing w:after="0" w:line="153" w:lineRule="exact"/>
              <w:rPr>
                <w:sz w:val="20"/>
                <w:szCs w:val="20"/>
                <w:color w:val="auto"/>
              </w:rPr>
            </w:pPr>
            <w:r>
              <w:rPr>
                <w:rFonts w:ascii="Arial" w:cs="Arial" w:eastAsia="Arial" w:hAnsi="Arial"/>
                <w:sz w:val="15"/>
                <w:szCs w:val="15"/>
                <w:u w:val="single" w:color="auto"/>
                <w:color w:val="auto"/>
              </w:rPr>
              <w:t>Articles of TMC the metals company Inc.</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D2EEF5"/>
          </w:tcPr>
          <w:p>
            <w:pPr>
              <w:spacing w:after="0"/>
              <w:rPr>
                <w:sz w:val="13"/>
                <w:szCs w:val="13"/>
                <w:color w:val="auto"/>
              </w:rPr>
            </w:pPr>
          </w:p>
        </w:tc>
        <w:tc>
          <w:tcPr>
            <w:tcW w:w="980" w:type="dxa"/>
            <w:vAlign w:val="bottom"/>
            <w:tcBorders>
              <w:right w:val="single" w:sz="8" w:color="auto"/>
            </w:tcBorders>
            <w:shd w:val="clear" w:color="auto" w:fill="D2EEF5"/>
          </w:tcPr>
          <w:p>
            <w:pPr>
              <w:jc w:val="center"/>
              <w:spacing w:after="0" w:line="153" w:lineRule="exact"/>
              <w:rPr>
                <w:sz w:val="20"/>
                <w:szCs w:val="20"/>
                <w:color w:val="auto"/>
              </w:rPr>
            </w:pPr>
            <w:r>
              <w:rPr>
                <w:rFonts w:ascii="Arial" w:cs="Arial" w:eastAsia="Arial" w:hAnsi="Arial"/>
                <w:sz w:val="15"/>
                <w:szCs w:val="15"/>
                <w:color w:val="auto"/>
                <w:w w:val="89"/>
              </w:rPr>
              <w:t>9/15/2021</w:t>
            </w:r>
          </w:p>
        </w:tc>
        <w:tc>
          <w:tcPr>
            <w:tcW w:w="1360" w:type="dxa"/>
            <w:vAlign w:val="bottom"/>
            <w:tcBorders>
              <w:right w:val="single" w:sz="8" w:color="auto"/>
            </w:tcBorders>
            <w:shd w:val="clear" w:color="auto" w:fill="D2EEF5"/>
          </w:tcPr>
          <w:p>
            <w:pPr>
              <w:jc w:val="center"/>
              <w:ind w:left="65"/>
              <w:spacing w:after="0" w:line="153"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3260" w:type="dxa"/>
            <w:vAlign w:val="bottom"/>
            <w:tcBorders>
              <w:bottom w:val="single" w:sz="8" w:color="auto"/>
            </w:tcBorders>
            <w:shd w:val="clear" w:color="auto" w:fill="D2EEF5"/>
          </w:tcPr>
          <w:p>
            <w:pPr>
              <w:spacing w:after="0"/>
              <w:rPr>
                <w:sz w:val="17"/>
                <w:szCs w:val="17"/>
                <w:color w:val="auto"/>
              </w:rPr>
            </w:pPr>
          </w:p>
        </w:tc>
        <w:tc>
          <w:tcPr>
            <w:tcW w:w="20" w:type="dxa"/>
            <w:vAlign w:val="bottom"/>
            <w:tcBorders>
              <w:bottom w:val="single" w:sz="8" w:color="auto"/>
            </w:tcBorders>
            <w:shd w:val="clear" w:color="auto" w:fill="D2EEF5"/>
          </w:tcPr>
          <w:p>
            <w:pPr>
              <w:spacing w:after="0"/>
              <w:rPr>
                <w:sz w:val="17"/>
                <w:szCs w:val="17"/>
                <w:color w:val="auto"/>
              </w:rPr>
            </w:pPr>
          </w:p>
        </w:tc>
        <w:tc>
          <w:tcPr>
            <w:tcW w:w="1020" w:type="dxa"/>
            <w:vAlign w:val="bottom"/>
            <w:tcBorders>
              <w:bottom w:val="single" w:sz="8" w:color="auto"/>
              <w:right w:val="single" w:sz="8" w:color="auto"/>
            </w:tcBorders>
            <w:shd w:val="clear" w:color="auto" w:fill="D2EEF5"/>
          </w:tcPr>
          <w:p>
            <w:pPr>
              <w:spacing w:after="0"/>
              <w:rPr>
                <w:sz w:val="17"/>
                <w:szCs w:val="17"/>
                <w:color w:val="auto"/>
              </w:rPr>
            </w:pP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3.2)</w:t>
            </w:r>
          </w:p>
        </w:tc>
        <w:tc>
          <w:tcPr>
            <w:tcW w:w="120" w:type="dxa"/>
            <w:vAlign w:val="bottom"/>
            <w:tcBorders>
              <w:bottom w:val="single" w:sz="8" w:color="auto"/>
            </w:tcBorders>
            <w:shd w:val="clear" w:color="auto" w:fill="D2EEF5"/>
          </w:tcPr>
          <w:p>
            <w:pPr>
              <w:spacing w:after="0"/>
              <w:rPr>
                <w:sz w:val="17"/>
                <w:szCs w:val="17"/>
                <w:color w:val="auto"/>
              </w:rPr>
            </w:pPr>
          </w:p>
        </w:tc>
        <w:tc>
          <w:tcPr>
            <w:tcW w:w="980" w:type="dxa"/>
            <w:vAlign w:val="bottom"/>
            <w:tcBorders>
              <w:bottom w:val="single" w:sz="8" w:color="auto"/>
              <w:right w:val="single" w:sz="8" w:color="auto"/>
            </w:tcBorders>
            <w:shd w:val="clear" w:color="auto" w:fill="D2EEF5"/>
          </w:tcPr>
          <w:p>
            <w:pPr>
              <w:spacing w:after="0"/>
              <w:rPr>
                <w:sz w:val="17"/>
                <w:szCs w:val="17"/>
                <w:color w:val="auto"/>
              </w:rPr>
            </w:pPr>
          </w:p>
        </w:tc>
        <w:tc>
          <w:tcPr>
            <w:tcW w:w="1360" w:type="dxa"/>
            <w:vAlign w:val="bottom"/>
            <w:tcBorders>
              <w:bottom w:val="single" w:sz="8" w:color="auto"/>
              <w:right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4.1</w:t>
            </w: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Description of Securities</w:t>
            </w:r>
          </w:p>
        </w:tc>
        <w:tc>
          <w:tcPr>
            <w:tcW w:w="8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4.2</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TMC the metals company Inc. Common Share Certificate</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D2EEF5"/>
          </w:tcPr>
          <w:p>
            <w:pPr>
              <w:spacing w:after="0"/>
              <w:rPr>
                <w:sz w:val="13"/>
                <w:szCs w:val="13"/>
                <w:color w:val="auto"/>
              </w:rPr>
            </w:pPr>
          </w:p>
        </w:tc>
        <w:tc>
          <w:tcPr>
            <w:tcW w:w="9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89"/>
              </w:rPr>
              <w:t>9/15/2021</w:t>
            </w:r>
          </w:p>
        </w:tc>
        <w:tc>
          <w:tcPr>
            <w:tcW w:w="1360" w:type="dxa"/>
            <w:vAlign w:val="bottom"/>
            <w:tcBorders>
              <w:right w:val="single" w:sz="8" w:color="auto"/>
            </w:tcBorders>
            <w:shd w:val="clear" w:color="auto" w:fill="D2EEF5"/>
          </w:tcPr>
          <w:p>
            <w:pPr>
              <w:jc w:val="center"/>
              <w:ind w:left="65"/>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3260" w:type="dxa"/>
            <w:vAlign w:val="bottom"/>
            <w:tcBorders>
              <w:bottom w:val="single" w:sz="8" w:color="auto"/>
            </w:tcBorders>
            <w:shd w:val="clear" w:color="auto" w:fill="D2EEF5"/>
          </w:tcPr>
          <w:p>
            <w:pPr>
              <w:spacing w:after="0"/>
              <w:rPr>
                <w:sz w:val="17"/>
                <w:szCs w:val="17"/>
                <w:color w:val="auto"/>
              </w:rPr>
            </w:pPr>
          </w:p>
        </w:tc>
        <w:tc>
          <w:tcPr>
            <w:tcW w:w="20" w:type="dxa"/>
            <w:vAlign w:val="bottom"/>
            <w:tcBorders>
              <w:bottom w:val="single" w:sz="8" w:color="auto"/>
            </w:tcBorders>
            <w:shd w:val="clear" w:color="auto" w:fill="D2EEF5"/>
          </w:tcPr>
          <w:p>
            <w:pPr>
              <w:spacing w:after="0"/>
              <w:rPr>
                <w:sz w:val="17"/>
                <w:szCs w:val="17"/>
                <w:color w:val="auto"/>
              </w:rPr>
            </w:pPr>
          </w:p>
        </w:tc>
        <w:tc>
          <w:tcPr>
            <w:tcW w:w="1020" w:type="dxa"/>
            <w:vAlign w:val="bottom"/>
            <w:tcBorders>
              <w:bottom w:val="single" w:sz="8" w:color="auto"/>
              <w:right w:val="single" w:sz="8" w:color="auto"/>
            </w:tcBorders>
            <w:shd w:val="clear" w:color="auto" w:fill="D2EEF5"/>
          </w:tcPr>
          <w:p>
            <w:pPr>
              <w:spacing w:after="0"/>
              <w:rPr>
                <w:sz w:val="17"/>
                <w:szCs w:val="17"/>
                <w:color w:val="auto"/>
              </w:rPr>
            </w:pP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shd w:val="clear" w:color="auto" w:fill="D2EEF5"/>
          </w:tcPr>
          <w:p>
            <w:pPr>
              <w:spacing w:after="0"/>
              <w:rPr>
                <w:sz w:val="17"/>
                <w:szCs w:val="17"/>
                <w:color w:val="auto"/>
              </w:rPr>
            </w:pPr>
          </w:p>
        </w:tc>
        <w:tc>
          <w:tcPr>
            <w:tcW w:w="980" w:type="dxa"/>
            <w:vAlign w:val="bottom"/>
            <w:tcBorders>
              <w:bottom w:val="single" w:sz="8" w:color="auto"/>
              <w:right w:val="single" w:sz="8" w:color="auto"/>
            </w:tcBorders>
            <w:shd w:val="clear" w:color="auto" w:fill="D2EEF5"/>
          </w:tcPr>
          <w:p>
            <w:pPr>
              <w:spacing w:after="0"/>
              <w:rPr>
                <w:sz w:val="17"/>
                <w:szCs w:val="17"/>
                <w:color w:val="auto"/>
              </w:rPr>
            </w:pPr>
          </w:p>
        </w:tc>
        <w:tc>
          <w:tcPr>
            <w:tcW w:w="1360" w:type="dxa"/>
            <w:vAlign w:val="bottom"/>
            <w:tcBorders>
              <w:bottom w:val="single" w:sz="8" w:color="auto"/>
              <w:right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5"/>
                <w:szCs w:val="15"/>
                <w:color w:val="auto"/>
              </w:rPr>
              <w:t>4.3</w:t>
            </w:r>
          </w:p>
        </w:tc>
        <w:tc>
          <w:tcPr>
            <w:tcW w:w="4480" w:type="dxa"/>
            <w:vAlign w:val="bottom"/>
            <w:tcBorders>
              <w:right w:val="single" w:sz="8" w:color="auto"/>
            </w:tcBorders>
            <w:gridSpan w:val="4"/>
          </w:tcPr>
          <w:p>
            <w:pPr>
              <w:ind w:left="180"/>
              <w:spacing w:after="0" w:line="153" w:lineRule="exact"/>
              <w:rPr>
                <w:sz w:val="20"/>
                <w:szCs w:val="20"/>
                <w:color w:val="auto"/>
              </w:rPr>
            </w:pPr>
            <w:r>
              <w:rPr>
                <w:rFonts w:ascii="Arial" w:cs="Arial" w:eastAsia="Arial" w:hAnsi="Arial"/>
                <w:sz w:val="15"/>
                <w:szCs w:val="15"/>
                <w:u w:val="single" w:color="auto"/>
                <w:color w:val="auto"/>
                <w:w w:val="95"/>
              </w:rPr>
              <w:t>Warrant Agreement, dated as of May 8, 2020, between Continental</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Form S-1</w:t>
            </w:r>
          </w:p>
        </w:tc>
        <w:tc>
          <w:tcPr>
            <w:tcW w:w="120" w:type="dxa"/>
            <w:vAlign w:val="bottom"/>
          </w:tcPr>
          <w:p>
            <w:pPr>
              <w:spacing w:after="0"/>
              <w:rPr>
                <w:sz w:val="13"/>
                <w:szCs w:val="13"/>
                <w:color w:val="auto"/>
              </w:rPr>
            </w:pPr>
          </w:p>
        </w:tc>
        <w:tc>
          <w:tcPr>
            <w:tcW w:w="9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89"/>
              </w:rPr>
              <w:t>10/7/2021</w:t>
            </w:r>
          </w:p>
        </w:tc>
        <w:tc>
          <w:tcPr>
            <w:tcW w:w="1360" w:type="dxa"/>
            <w:vAlign w:val="bottom"/>
            <w:tcBorders>
              <w:right w:val="single" w:sz="8" w:color="auto"/>
            </w:tcBorders>
          </w:tcPr>
          <w:p>
            <w:pPr>
              <w:jc w:val="center"/>
              <w:ind w:left="65"/>
              <w:spacing w:after="0" w:line="153" w:lineRule="exact"/>
              <w:rPr>
                <w:sz w:val="20"/>
                <w:szCs w:val="20"/>
                <w:color w:val="auto"/>
              </w:rPr>
            </w:pPr>
            <w:r>
              <w:rPr>
                <w:rFonts w:ascii="Arial" w:cs="Arial" w:eastAsia="Arial" w:hAnsi="Arial"/>
                <w:sz w:val="15"/>
                <w:szCs w:val="15"/>
                <w:color w:val="auto"/>
                <w:w w:val="92"/>
              </w:rPr>
              <w:t>333-260126</w:t>
            </w: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Stock Transfer &amp; Trust Company and Sustainable Opportunities</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4.2)</w:t>
            </w:r>
          </w:p>
        </w:tc>
        <w:tc>
          <w:tcPr>
            <w:tcW w:w="1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Acquisition Corp.</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20" w:type="dxa"/>
            <w:vAlign w:val="bottom"/>
            <w:tcBorders>
              <w:left w:val="single" w:sz="8" w:color="auto"/>
              <w:right w:val="single" w:sz="8" w:color="auto"/>
            </w:tcBorders>
            <w:shd w:val="clear" w:color="auto" w:fill="D2EEF5"/>
          </w:tcPr>
          <w:p>
            <w:pPr>
              <w:ind w:left="20"/>
              <w:spacing w:after="0" w:line="140" w:lineRule="exact"/>
              <w:rPr>
                <w:sz w:val="20"/>
                <w:szCs w:val="20"/>
                <w:color w:val="auto"/>
              </w:rPr>
            </w:pPr>
            <w:r>
              <w:rPr>
                <w:rFonts w:ascii="Arial" w:cs="Arial" w:eastAsia="Arial" w:hAnsi="Arial"/>
                <w:sz w:val="15"/>
                <w:szCs w:val="15"/>
                <w:color w:val="auto"/>
              </w:rPr>
              <w:t>4.4</w:t>
            </w:r>
          </w:p>
        </w:tc>
        <w:tc>
          <w:tcPr>
            <w:tcW w:w="4480" w:type="dxa"/>
            <w:vAlign w:val="bottom"/>
            <w:tcBorders>
              <w:right w:val="single" w:sz="8" w:color="auto"/>
            </w:tcBorders>
            <w:gridSpan w:val="4"/>
            <w:shd w:val="clear" w:color="auto" w:fill="D2EEF5"/>
          </w:tcPr>
          <w:p>
            <w:pPr>
              <w:ind w:left="180"/>
              <w:spacing w:after="0" w:line="140" w:lineRule="exact"/>
              <w:rPr>
                <w:sz w:val="20"/>
                <w:szCs w:val="20"/>
                <w:color w:val="auto"/>
              </w:rPr>
            </w:pPr>
            <w:r>
              <w:rPr>
                <w:rFonts w:ascii="Arial" w:cs="Arial" w:eastAsia="Arial" w:hAnsi="Arial"/>
                <w:sz w:val="15"/>
                <w:szCs w:val="15"/>
                <w:color w:val="auto"/>
              </w:rPr>
              <w:t>Form of Class A Warrant to Purchase Common Stock</w:t>
            </w:r>
          </w:p>
        </w:tc>
        <w:tc>
          <w:tcPr>
            <w:tcW w:w="800" w:type="dxa"/>
            <w:vAlign w:val="bottom"/>
            <w:tcBorders>
              <w:right w:val="single" w:sz="8" w:color="auto"/>
            </w:tcBorders>
            <w:shd w:val="clear" w:color="auto" w:fill="D2EEF5"/>
          </w:tcPr>
          <w:p>
            <w:pPr>
              <w:spacing w:after="0"/>
              <w:rPr>
                <w:sz w:val="12"/>
                <w:szCs w:val="12"/>
                <w:color w:val="auto"/>
              </w:rPr>
            </w:pPr>
          </w:p>
        </w:tc>
        <w:tc>
          <w:tcPr>
            <w:tcW w:w="180" w:type="dxa"/>
            <w:vAlign w:val="bottom"/>
            <w:shd w:val="clear" w:color="auto" w:fill="D2EEF5"/>
          </w:tcPr>
          <w:p>
            <w:pPr>
              <w:spacing w:after="0"/>
              <w:rPr>
                <w:sz w:val="12"/>
                <w:szCs w:val="12"/>
                <w:color w:val="auto"/>
              </w:rPr>
            </w:pPr>
          </w:p>
        </w:tc>
        <w:tc>
          <w:tcPr>
            <w:tcW w:w="1720" w:type="dxa"/>
            <w:vAlign w:val="bottom"/>
            <w:tcBorders>
              <w:right w:val="single" w:sz="8" w:color="auto"/>
            </w:tcBorders>
            <w:shd w:val="clear" w:color="auto" w:fill="D2EEF5"/>
          </w:tcPr>
          <w:p>
            <w:pPr>
              <w:jc w:val="center"/>
              <w:spacing w:after="0" w:line="140"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D2EEF5"/>
          </w:tcPr>
          <w:p>
            <w:pPr>
              <w:spacing w:after="0"/>
              <w:rPr>
                <w:sz w:val="12"/>
                <w:szCs w:val="12"/>
                <w:color w:val="auto"/>
              </w:rPr>
            </w:pPr>
          </w:p>
        </w:tc>
        <w:tc>
          <w:tcPr>
            <w:tcW w:w="980" w:type="dxa"/>
            <w:vAlign w:val="bottom"/>
            <w:tcBorders>
              <w:right w:val="single" w:sz="8" w:color="auto"/>
            </w:tcBorders>
            <w:shd w:val="clear" w:color="auto" w:fill="D2EEF5"/>
          </w:tcPr>
          <w:p>
            <w:pPr>
              <w:jc w:val="center"/>
              <w:spacing w:after="0" w:line="140" w:lineRule="exact"/>
              <w:rPr>
                <w:sz w:val="20"/>
                <w:szCs w:val="20"/>
                <w:color w:val="auto"/>
              </w:rPr>
            </w:pPr>
            <w:r>
              <w:rPr>
                <w:rFonts w:ascii="Arial" w:cs="Arial" w:eastAsia="Arial" w:hAnsi="Arial"/>
                <w:sz w:val="15"/>
                <w:szCs w:val="15"/>
                <w:color w:val="auto"/>
                <w:w w:val="89"/>
              </w:rPr>
              <w:t>8/14/2023</w:t>
            </w:r>
          </w:p>
        </w:tc>
        <w:tc>
          <w:tcPr>
            <w:tcW w:w="1360" w:type="dxa"/>
            <w:vAlign w:val="bottom"/>
            <w:tcBorders>
              <w:right w:val="single" w:sz="8" w:color="auto"/>
            </w:tcBorders>
            <w:shd w:val="clear" w:color="auto" w:fill="D2EEF5"/>
          </w:tcPr>
          <w:p>
            <w:pPr>
              <w:jc w:val="center"/>
              <w:ind w:left="65"/>
              <w:spacing w:after="0" w:line="140"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17"/>
        </w:trPr>
        <w:tc>
          <w:tcPr>
            <w:tcW w:w="1020" w:type="dxa"/>
            <w:vAlign w:val="bottom"/>
            <w:tcBorders>
              <w:top w:val="single" w:sz="8" w:color="D2EEF5"/>
              <w:left w:val="single" w:sz="8" w:color="auto"/>
              <w:bottom w:val="single" w:sz="8" w:color="auto"/>
              <w:right w:val="single" w:sz="8" w:color="auto"/>
            </w:tcBorders>
            <w:shd w:val="clear" w:color="auto" w:fill="D2EEF5"/>
          </w:tcPr>
          <w:p>
            <w:pPr>
              <w:spacing w:after="0"/>
              <w:rPr>
                <w:sz w:val="18"/>
                <w:szCs w:val="18"/>
                <w:color w:val="auto"/>
              </w:rPr>
            </w:pPr>
          </w:p>
        </w:tc>
        <w:tc>
          <w:tcPr>
            <w:tcW w:w="180" w:type="dxa"/>
            <w:vAlign w:val="bottom"/>
            <w:tcBorders>
              <w:top w:val="single" w:sz="8" w:color="D2EEF5"/>
              <w:bottom w:val="single" w:sz="8" w:color="auto"/>
            </w:tcBorders>
            <w:shd w:val="clear" w:color="auto" w:fill="D2EEF5"/>
          </w:tcPr>
          <w:p>
            <w:pPr>
              <w:spacing w:after="0"/>
              <w:rPr>
                <w:sz w:val="18"/>
                <w:szCs w:val="18"/>
                <w:color w:val="auto"/>
              </w:rPr>
            </w:pPr>
          </w:p>
        </w:tc>
        <w:tc>
          <w:tcPr>
            <w:tcW w:w="3260" w:type="dxa"/>
            <w:vAlign w:val="bottom"/>
            <w:tcBorders>
              <w:top w:val="single" w:sz="8" w:color="auto"/>
              <w:bottom w:val="single" w:sz="8" w:color="auto"/>
            </w:tcBorders>
            <w:shd w:val="clear" w:color="auto" w:fill="D2EEF5"/>
          </w:tcPr>
          <w:p>
            <w:pPr>
              <w:spacing w:after="0"/>
              <w:rPr>
                <w:sz w:val="18"/>
                <w:szCs w:val="18"/>
                <w:color w:val="auto"/>
              </w:rPr>
            </w:pPr>
          </w:p>
        </w:tc>
        <w:tc>
          <w:tcPr>
            <w:tcW w:w="20" w:type="dxa"/>
            <w:vAlign w:val="bottom"/>
            <w:tcBorders>
              <w:top w:val="single" w:sz="8" w:color="auto"/>
              <w:bottom w:val="single" w:sz="8" w:color="auto"/>
            </w:tcBorders>
            <w:shd w:val="clear" w:color="auto" w:fill="D2EEF5"/>
          </w:tcPr>
          <w:p>
            <w:pPr>
              <w:spacing w:after="0"/>
              <w:rPr>
                <w:sz w:val="18"/>
                <w:szCs w:val="18"/>
                <w:color w:val="auto"/>
              </w:rPr>
            </w:pPr>
          </w:p>
        </w:tc>
        <w:tc>
          <w:tcPr>
            <w:tcW w:w="1020" w:type="dxa"/>
            <w:vAlign w:val="bottom"/>
            <w:tcBorders>
              <w:top w:val="single" w:sz="8" w:color="D2EEF5"/>
              <w:bottom w:val="single" w:sz="8" w:color="auto"/>
              <w:right w:val="single" w:sz="8" w:color="auto"/>
            </w:tcBorders>
            <w:shd w:val="clear" w:color="auto" w:fill="D2EEF5"/>
          </w:tcPr>
          <w:p>
            <w:pPr>
              <w:spacing w:after="0"/>
              <w:rPr>
                <w:sz w:val="18"/>
                <w:szCs w:val="18"/>
                <w:color w:val="auto"/>
              </w:rPr>
            </w:pPr>
          </w:p>
        </w:tc>
        <w:tc>
          <w:tcPr>
            <w:tcW w:w="800" w:type="dxa"/>
            <w:vAlign w:val="bottom"/>
            <w:tcBorders>
              <w:top w:val="single" w:sz="8" w:color="D2EEF5"/>
              <w:bottom w:val="single" w:sz="8" w:color="auto"/>
              <w:right w:val="single" w:sz="8" w:color="auto"/>
            </w:tcBorders>
            <w:shd w:val="clear" w:color="auto" w:fill="D2EEF5"/>
          </w:tcPr>
          <w:p>
            <w:pPr>
              <w:spacing w:after="0"/>
              <w:rPr>
                <w:sz w:val="18"/>
                <w:szCs w:val="18"/>
                <w:color w:val="auto"/>
              </w:rPr>
            </w:pPr>
          </w:p>
        </w:tc>
        <w:tc>
          <w:tcPr>
            <w:tcW w:w="180" w:type="dxa"/>
            <w:vAlign w:val="bottom"/>
            <w:tcBorders>
              <w:top w:val="single" w:sz="8" w:color="D2EEF5"/>
              <w:bottom w:val="single" w:sz="8" w:color="auto"/>
            </w:tcBorders>
            <w:shd w:val="clear" w:color="auto" w:fill="D2EEF5"/>
          </w:tcPr>
          <w:p>
            <w:pPr>
              <w:spacing w:after="0"/>
              <w:rPr>
                <w:sz w:val="18"/>
                <w:szCs w:val="18"/>
                <w:color w:val="auto"/>
              </w:rPr>
            </w:pPr>
          </w:p>
        </w:tc>
        <w:tc>
          <w:tcPr>
            <w:tcW w:w="1720" w:type="dxa"/>
            <w:vAlign w:val="bottom"/>
            <w:tcBorders>
              <w:top w:val="single" w:sz="8" w:color="D2EEF5"/>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4.1)</w:t>
            </w:r>
          </w:p>
        </w:tc>
        <w:tc>
          <w:tcPr>
            <w:tcW w:w="120" w:type="dxa"/>
            <w:vAlign w:val="bottom"/>
            <w:tcBorders>
              <w:top w:val="single" w:sz="8" w:color="D2EEF5"/>
              <w:bottom w:val="single" w:sz="8" w:color="auto"/>
            </w:tcBorders>
            <w:shd w:val="clear" w:color="auto" w:fill="D2EEF5"/>
          </w:tcPr>
          <w:p>
            <w:pPr>
              <w:spacing w:after="0"/>
              <w:rPr>
                <w:sz w:val="18"/>
                <w:szCs w:val="18"/>
                <w:color w:val="auto"/>
              </w:rPr>
            </w:pPr>
          </w:p>
        </w:tc>
        <w:tc>
          <w:tcPr>
            <w:tcW w:w="980" w:type="dxa"/>
            <w:vAlign w:val="bottom"/>
            <w:tcBorders>
              <w:top w:val="single" w:sz="8" w:color="D2EEF5"/>
              <w:bottom w:val="single" w:sz="8" w:color="auto"/>
              <w:right w:val="single" w:sz="8" w:color="auto"/>
            </w:tcBorders>
            <w:shd w:val="clear" w:color="auto" w:fill="D2EEF5"/>
          </w:tcPr>
          <w:p>
            <w:pPr>
              <w:spacing w:after="0"/>
              <w:rPr>
                <w:sz w:val="18"/>
                <w:szCs w:val="18"/>
                <w:color w:val="auto"/>
              </w:rPr>
            </w:pPr>
          </w:p>
        </w:tc>
        <w:tc>
          <w:tcPr>
            <w:tcW w:w="1360" w:type="dxa"/>
            <w:vAlign w:val="bottom"/>
            <w:tcBorders>
              <w:top w:val="single" w:sz="8" w:color="D2EEF5"/>
              <w:bottom w:val="single" w:sz="8" w:color="auto"/>
              <w:right w:val="single" w:sz="8" w:color="auto"/>
            </w:tcBorders>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02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3"/>
                <w:szCs w:val="13"/>
                <w:color w:val="auto"/>
              </w:rPr>
              <w:t>4.5</w:t>
            </w:r>
          </w:p>
        </w:tc>
        <w:tc>
          <w:tcPr>
            <w:tcW w:w="180" w:type="dxa"/>
            <w:vAlign w:val="bottom"/>
          </w:tcPr>
          <w:p>
            <w:pPr>
              <w:spacing w:after="0"/>
              <w:rPr>
                <w:sz w:val="10"/>
                <w:szCs w:val="10"/>
                <w:color w:val="auto"/>
              </w:rPr>
            </w:pPr>
          </w:p>
        </w:tc>
        <w:tc>
          <w:tcPr>
            <w:tcW w:w="3260" w:type="dxa"/>
            <w:vAlign w:val="bottom"/>
            <w:tcBorders>
              <w:bottom w:val="single" w:sz="8" w:color="auto"/>
            </w:tcBorders>
          </w:tcPr>
          <w:p>
            <w:pPr>
              <w:spacing w:after="0" w:line="120" w:lineRule="exact"/>
              <w:rPr>
                <w:sz w:val="20"/>
                <w:szCs w:val="20"/>
                <w:color w:val="auto"/>
              </w:rPr>
            </w:pPr>
            <w:r>
              <w:rPr>
                <w:rFonts w:ascii="Arial" w:cs="Arial" w:eastAsia="Arial" w:hAnsi="Arial"/>
                <w:sz w:val="13"/>
                <w:szCs w:val="13"/>
                <w:color w:val="auto"/>
              </w:rPr>
              <w:t>Form of Class B Warrant to Purchase Common Stock</w:t>
            </w:r>
          </w:p>
        </w:tc>
        <w:tc>
          <w:tcPr>
            <w:tcW w:w="1040" w:type="dxa"/>
            <w:vAlign w:val="bottom"/>
            <w:tcBorders>
              <w:right w:val="single" w:sz="8" w:color="auto"/>
            </w:tcBorders>
            <w:gridSpan w:val="2"/>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3"/>
                <w:szCs w:val="13"/>
                <w:color w:val="auto"/>
              </w:rPr>
              <w:t>Form 8-K</w:t>
            </w:r>
          </w:p>
        </w:tc>
        <w:tc>
          <w:tcPr>
            <w:tcW w:w="120" w:type="dxa"/>
            <w:vAlign w:val="bottom"/>
          </w:tcPr>
          <w:p>
            <w:pPr>
              <w:spacing w:after="0"/>
              <w:rPr>
                <w:sz w:val="10"/>
                <w:szCs w:val="10"/>
                <w:color w:val="auto"/>
              </w:rPr>
            </w:pPr>
          </w:p>
        </w:tc>
        <w:tc>
          <w:tcPr>
            <w:tcW w:w="98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3"/>
                <w:szCs w:val="13"/>
                <w:color w:val="auto"/>
              </w:rPr>
              <w:t>11/15/2024</w:t>
            </w:r>
          </w:p>
        </w:tc>
        <w:tc>
          <w:tcPr>
            <w:tcW w:w="1360" w:type="dxa"/>
            <w:vAlign w:val="bottom"/>
            <w:tcBorders>
              <w:right w:val="single" w:sz="8" w:color="auto"/>
            </w:tcBorders>
          </w:tcPr>
          <w:p>
            <w:pPr>
              <w:jc w:val="center"/>
              <w:ind w:left="65"/>
              <w:spacing w:after="0" w:line="120" w:lineRule="exact"/>
              <w:rPr>
                <w:sz w:val="20"/>
                <w:szCs w:val="20"/>
                <w:color w:val="auto"/>
              </w:rPr>
            </w:pPr>
            <w:r>
              <w:rPr>
                <w:rFonts w:ascii="Arial" w:cs="Arial" w:eastAsia="Arial" w:hAnsi="Arial"/>
                <w:sz w:val="13"/>
                <w:szCs w:val="13"/>
                <w:color w:val="auto"/>
              </w:rPr>
              <w:t>001-39281</w:t>
            </w:r>
          </w:p>
        </w:tc>
        <w:tc>
          <w:tcPr>
            <w:tcW w:w="0" w:type="dxa"/>
            <w:vAlign w:val="bottom"/>
          </w:tcPr>
          <w:p>
            <w:pPr>
              <w:spacing w:after="0"/>
              <w:rPr>
                <w:sz w:val="1"/>
                <w:szCs w:val="1"/>
                <w:color w:val="auto"/>
              </w:rPr>
            </w:pPr>
          </w:p>
        </w:tc>
      </w:tr>
      <w:tr>
        <w:trPr>
          <w:trHeight w:val="197"/>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10.1†</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7"/>
              </w:rPr>
              <w:t>Strategic Alliance Agreement, dated as of March 29, 2019, by and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2"/>
              </w:rPr>
              <w:t>Form S-4</w:t>
            </w:r>
          </w:p>
        </w:tc>
        <w:tc>
          <w:tcPr>
            <w:tcW w:w="120" w:type="dxa"/>
            <w:vAlign w:val="bottom"/>
            <w:shd w:val="clear" w:color="auto" w:fill="D2EEF5"/>
          </w:tcPr>
          <w:p>
            <w:pPr>
              <w:spacing w:after="0"/>
              <w:rPr>
                <w:sz w:val="13"/>
                <w:szCs w:val="13"/>
                <w:color w:val="auto"/>
              </w:rPr>
            </w:pPr>
          </w:p>
        </w:tc>
        <w:tc>
          <w:tcPr>
            <w:tcW w:w="9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4/8/2021</w:t>
            </w:r>
          </w:p>
        </w:tc>
        <w:tc>
          <w:tcPr>
            <w:tcW w:w="1360" w:type="dxa"/>
            <w:vAlign w:val="bottom"/>
            <w:tcBorders>
              <w:right w:val="single" w:sz="8" w:color="auto"/>
            </w:tcBorders>
            <w:shd w:val="clear" w:color="auto" w:fill="D2EEF5"/>
          </w:tcPr>
          <w:p>
            <w:pPr>
              <w:jc w:val="center"/>
              <w:ind w:left="65"/>
              <w:spacing w:after="0" w:line="154" w:lineRule="exact"/>
              <w:rPr>
                <w:sz w:val="20"/>
                <w:szCs w:val="20"/>
                <w:color w:val="auto"/>
              </w:rPr>
            </w:pPr>
            <w:r>
              <w:rPr>
                <w:rFonts w:ascii="Arial" w:cs="Arial" w:eastAsia="Arial" w:hAnsi="Arial"/>
                <w:sz w:val="15"/>
                <w:szCs w:val="15"/>
                <w:color w:val="auto"/>
                <w:w w:val="92"/>
              </w:rPr>
              <w:t>333-255118</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rPr>
              <w:t>between DeepGreen Metals Inc. and Allseas Group S.A.</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10.7)</w:t>
            </w:r>
          </w:p>
        </w:tc>
        <w:tc>
          <w:tcPr>
            <w:tcW w:w="120" w:type="dxa"/>
            <w:vAlign w:val="bottom"/>
            <w:tcBorders>
              <w:bottom w:val="single" w:sz="8" w:color="auto"/>
            </w:tcBorders>
            <w:shd w:val="clear" w:color="auto" w:fill="D2EEF5"/>
          </w:tcPr>
          <w:p>
            <w:pPr>
              <w:spacing w:after="0"/>
              <w:rPr>
                <w:sz w:val="17"/>
                <w:szCs w:val="17"/>
                <w:color w:val="auto"/>
              </w:rPr>
            </w:pPr>
          </w:p>
        </w:tc>
        <w:tc>
          <w:tcPr>
            <w:tcW w:w="980" w:type="dxa"/>
            <w:vAlign w:val="bottom"/>
            <w:tcBorders>
              <w:bottom w:val="single" w:sz="8" w:color="auto"/>
              <w:right w:val="single" w:sz="8" w:color="auto"/>
            </w:tcBorders>
            <w:shd w:val="clear" w:color="auto" w:fill="D2EEF5"/>
          </w:tcPr>
          <w:p>
            <w:pPr>
              <w:spacing w:after="0"/>
              <w:rPr>
                <w:sz w:val="17"/>
                <w:szCs w:val="17"/>
                <w:color w:val="auto"/>
              </w:rPr>
            </w:pPr>
          </w:p>
        </w:tc>
        <w:tc>
          <w:tcPr>
            <w:tcW w:w="1360" w:type="dxa"/>
            <w:vAlign w:val="bottom"/>
            <w:tcBorders>
              <w:bottom w:val="single" w:sz="8" w:color="auto"/>
              <w:right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541"/>
        </w:trPr>
        <w:tc>
          <w:tcPr>
            <w:tcW w:w="1020" w:type="dxa"/>
            <w:vAlign w:val="bottom"/>
          </w:tcPr>
          <w:p>
            <w:pPr>
              <w:spacing w:after="0"/>
              <w:rPr>
                <w:sz w:val="24"/>
                <w:szCs w:val="24"/>
                <w:color w:val="auto"/>
              </w:rPr>
            </w:pPr>
          </w:p>
        </w:tc>
        <w:tc>
          <w:tcPr>
            <w:tcW w:w="4480" w:type="dxa"/>
            <w:vAlign w:val="bottom"/>
            <w:gridSpan w:val="4"/>
          </w:tcPr>
          <w:p>
            <w:pPr>
              <w:jc w:val="right"/>
              <w:ind w:right="60"/>
              <w:spacing w:after="0"/>
              <w:rPr>
                <w:sz w:val="20"/>
                <w:szCs w:val="20"/>
                <w:color w:val="auto"/>
              </w:rPr>
            </w:pPr>
            <w:r>
              <w:rPr>
                <w:rFonts w:ascii="Arial" w:cs="Arial" w:eastAsia="Arial" w:hAnsi="Arial"/>
                <w:sz w:val="15"/>
                <w:szCs w:val="15"/>
                <w:color w:val="auto"/>
              </w:rPr>
              <w:t>160</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9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10.2†</w:t>
            </w:r>
          </w:p>
        </w:tc>
        <w:tc>
          <w:tcPr>
            <w:tcW w:w="44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Third Amendment to Pilot Mining Test Agreement and First</w:t>
            </w:r>
          </w:p>
        </w:tc>
        <w:tc>
          <w:tcPr>
            <w:tcW w:w="80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Form S-4</w:t>
            </w:r>
          </w:p>
        </w:tc>
        <w:tc>
          <w:tcPr>
            <w:tcW w:w="1080" w:type="dxa"/>
            <w:vAlign w:val="bottom"/>
            <w:tcBorders>
              <w:top w:val="single" w:sz="8" w:color="auto"/>
              <w:right w:val="single" w:sz="8" w:color="auto"/>
            </w:tcBorders>
          </w:tcPr>
          <w:p>
            <w:pPr>
              <w:jc w:val="center"/>
              <w:ind w:left="24"/>
              <w:spacing w:after="0"/>
              <w:rPr>
                <w:sz w:val="20"/>
                <w:szCs w:val="20"/>
                <w:color w:val="auto"/>
              </w:rPr>
            </w:pPr>
            <w:r>
              <w:rPr>
                <w:rFonts w:ascii="Arial" w:cs="Arial" w:eastAsia="Arial" w:hAnsi="Arial"/>
                <w:sz w:val="15"/>
                <w:szCs w:val="15"/>
                <w:color w:val="auto"/>
                <w:w w:val="92"/>
              </w:rPr>
              <w:t>4/8/2021</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w w:val="96"/>
              </w:rPr>
              <w:t>Amendment to Strategic Alliance Agreement, dated as of March 4</w:t>
            </w:r>
            <w:r>
              <w:rPr>
                <w:rFonts w:ascii="Arial" w:cs="Arial" w:eastAsia="Arial" w:hAnsi="Arial"/>
                <w:sz w:val="15"/>
                <w:szCs w:val="15"/>
                <w:color w:val="auto"/>
                <w:w w:val="96"/>
              </w:rPr>
              <w:t>,</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10.9)</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w w:val="91"/>
              </w:rPr>
              <w:t>2021, by and between DeepGreen Metals Inc. and Allseas Group S.A.</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10.3</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Fourth Amendment to Pilot Mining Test Agreement and Second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6"/>
              </w:rPr>
              <w:t>Form S-4/A</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7/14/2021</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w w:val="96"/>
              </w:rPr>
              <w:t>Amendment to Strategic Alliance Agreement, dated as of June 30</w:t>
            </w:r>
            <w:r>
              <w:rPr>
                <w:rFonts w:ascii="Arial" w:cs="Arial" w:eastAsia="Arial" w:hAnsi="Arial"/>
                <w:sz w:val="15"/>
                <w:szCs w:val="15"/>
                <w:color w:val="auto"/>
                <w:w w:val="96"/>
              </w:rPr>
              <w:t>,</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10.23)</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w w:val="91"/>
              </w:rPr>
              <w:t>2021, by and between DeepGreen Metals Inc. and Allseas Group S.A.</w:t>
            </w: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spacing w:after="0"/>
              <w:rPr>
                <w:sz w:val="19"/>
                <w:szCs w:val="19"/>
                <w:color w:val="auto"/>
              </w:rPr>
            </w:pP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10.4</w:t>
            </w:r>
          </w:p>
        </w:tc>
        <w:tc>
          <w:tcPr>
            <w:tcW w:w="4480" w:type="dxa"/>
            <w:vAlign w:val="bottom"/>
            <w:tcBorders>
              <w:right w:val="single" w:sz="8" w:color="auto"/>
            </w:tcBorders>
            <w:gridSpan w:val="4"/>
          </w:tcPr>
          <w:p>
            <w:pPr>
              <w:ind w:left="180"/>
              <w:spacing w:after="0" w:line="133" w:lineRule="exact"/>
              <w:rPr>
                <w:sz w:val="20"/>
                <w:szCs w:val="20"/>
                <w:color w:val="auto"/>
              </w:rPr>
            </w:pPr>
            <w:r>
              <w:rPr>
                <w:rFonts w:ascii="Arial" w:cs="Arial" w:eastAsia="Arial" w:hAnsi="Arial"/>
                <w:sz w:val="15"/>
                <w:szCs w:val="15"/>
                <w:u w:val="single" w:color="auto"/>
                <w:color w:val="auto"/>
              </w:rPr>
              <w:t>Fifth Amendment to Pilot Mining Test Agreement and Third</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33" w:lineRule="exact"/>
              <w:rPr>
                <w:sz w:val="20"/>
                <w:szCs w:val="20"/>
                <w:color w:val="auto"/>
              </w:rPr>
            </w:pPr>
            <w:r>
              <w:rPr>
                <w:rFonts w:ascii="Arial" w:cs="Arial" w:eastAsia="Arial" w:hAnsi="Arial"/>
                <w:sz w:val="15"/>
                <w:szCs w:val="15"/>
                <w:color w:val="auto"/>
                <w:w w:val="92"/>
              </w:rPr>
              <w:t>2/17/2023</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Amendment to Strategic Alliance Agreement, effective as of</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w w:val="96"/>
              </w:rPr>
              <w:t>February 8, 2023, by and among DeepGreen Engineering Pte Ltd</w:t>
            </w:r>
            <w:r>
              <w:rPr>
                <w:rFonts w:ascii="Arial" w:cs="Arial" w:eastAsia="Arial" w:hAnsi="Arial"/>
                <w:sz w:val="15"/>
                <w:szCs w:val="15"/>
                <w:color w:val="auto"/>
                <w:w w:val="96"/>
              </w:rPr>
              <w:t>,</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w w:val="96"/>
              </w:rPr>
              <w:t>DeepGreen Metals Inc., TMC the metals company Inc. and Allseas</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Group S.A.</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10.5</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Exclusive Vessel Use Agreement, dated August 1, 2023, by and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8/1/2023</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rPr>
              <w:t>between TMC the metals company Inc. and Allseas Group S.A.</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10.6†</w:t>
            </w:r>
          </w:p>
        </w:tc>
        <w:tc>
          <w:tcPr>
            <w:tcW w:w="4480" w:type="dxa"/>
            <w:vAlign w:val="bottom"/>
            <w:tcBorders>
              <w:right w:val="single" w:sz="8" w:color="auto"/>
            </w:tcBorders>
            <w:gridSpan w:val="4"/>
          </w:tcPr>
          <w:p>
            <w:pPr>
              <w:ind w:left="180"/>
              <w:spacing w:after="0" w:line="154" w:lineRule="exact"/>
              <w:rPr>
                <w:sz w:val="20"/>
                <w:szCs w:val="20"/>
                <w:color w:val="auto"/>
              </w:rPr>
            </w:pPr>
            <w:r>
              <w:rPr>
                <w:rFonts w:ascii="Arial" w:cs="Arial" w:eastAsia="Arial" w:hAnsi="Arial"/>
                <w:sz w:val="15"/>
                <w:szCs w:val="15"/>
                <w:u w:val="single" w:color="auto"/>
                <w:color w:val="auto"/>
                <w:w w:val="93"/>
              </w:rPr>
              <w:t>Sponsorship Agreement, dated as of March 8, 2008, by and between</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2"/>
              </w:rPr>
              <w:t>Form S-4</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4/8/2021</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the Kingdom of Tonga and Tonga Offshore Mining Limited</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10.13)</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10.7†</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7"/>
              </w:rPr>
              <w:t>Sponsorship Agreement, dated as of September 23, 2021, by and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2"/>
              </w:rPr>
              <w:t>Form S-1</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10/7/2021</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89"/>
              </w:rPr>
              <w:t>333-260126</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w w:val="95"/>
              </w:rPr>
              <w:t>between the Kingdom of Tonga and Tonga Offshore Mining Limited</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10.13)</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10.8†</w:t>
            </w:r>
          </w:p>
        </w:tc>
        <w:tc>
          <w:tcPr>
            <w:tcW w:w="4480" w:type="dxa"/>
            <w:vAlign w:val="bottom"/>
            <w:tcBorders>
              <w:right w:val="single" w:sz="8" w:color="auto"/>
            </w:tcBorders>
            <w:gridSpan w:val="4"/>
          </w:tcPr>
          <w:p>
            <w:pPr>
              <w:ind w:left="180"/>
              <w:spacing w:after="0" w:line="154" w:lineRule="exact"/>
              <w:rPr>
                <w:sz w:val="20"/>
                <w:szCs w:val="20"/>
                <w:color w:val="auto"/>
              </w:rPr>
            </w:pPr>
            <w:r>
              <w:rPr>
                <w:rFonts w:ascii="Arial" w:cs="Arial" w:eastAsia="Arial" w:hAnsi="Arial"/>
                <w:sz w:val="15"/>
                <w:szCs w:val="15"/>
                <w:u w:val="single" w:color="auto"/>
                <w:color w:val="auto"/>
                <w:w w:val="92"/>
              </w:rPr>
              <w:t>Sponsorship Agreement, dated as of June 5, 2017, by and among the</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2"/>
              </w:rPr>
              <w:t>Form S-4</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4/8/2021</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w w:val="94"/>
              </w:rPr>
              <w:t>Republic of Nauru, the Nauru Seabed Minerals Authority, and Nauru</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10.14)</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170"/>
        </w:trPr>
        <w:tc>
          <w:tcPr>
            <w:tcW w:w="1020" w:type="dxa"/>
            <w:vAlign w:val="bottom"/>
            <w:tcBorders>
              <w:left w:val="single" w:sz="8" w:color="auto"/>
              <w:right w:val="single" w:sz="8" w:color="auto"/>
            </w:tcBorders>
          </w:tcPr>
          <w:p>
            <w:pPr>
              <w:spacing w:after="0"/>
              <w:rPr>
                <w:sz w:val="14"/>
                <w:szCs w:val="14"/>
                <w:color w:val="auto"/>
              </w:rPr>
            </w:pPr>
          </w:p>
        </w:tc>
        <w:tc>
          <w:tcPr>
            <w:tcW w:w="4480" w:type="dxa"/>
            <w:vAlign w:val="bottom"/>
            <w:tcBorders>
              <w:right w:val="single" w:sz="8" w:color="auto"/>
            </w:tcBorders>
            <w:gridSpan w:val="4"/>
          </w:tcPr>
          <w:p>
            <w:pPr>
              <w:ind w:left="180"/>
              <w:spacing w:after="0" w:line="170" w:lineRule="exact"/>
              <w:rPr>
                <w:sz w:val="20"/>
                <w:szCs w:val="20"/>
                <w:color w:val="auto"/>
              </w:rPr>
            </w:pPr>
            <w:r>
              <w:rPr>
                <w:rFonts w:ascii="Arial" w:cs="Arial" w:eastAsia="Arial" w:hAnsi="Arial"/>
                <w:sz w:val="15"/>
                <w:szCs w:val="15"/>
                <w:color w:val="auto"/>
              </w:rPr>
              <w:t>Ocean Resources Inc.</w:t>
            </w:r>
          </w:p>
        </w:tc>
        <w:tc>
          <w:tcPr>
            <w:tcW w:w="8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48"/>
        </w:trPr>
        <w:tc>
          <w:tcPr>
            <w:tcW w:w="1020" w:type="dxa"/>
            <w:vAlign w:val="bottom"/>
            <w:tcBorders>
              <w:left w:val="single" w:sz="8" w:color="auto"/>
              <w:right w:val="single" w:sz="8" w:color="auto"/>
            </w:tcBorders>
            <w:shd w:val="clear" w:color="auto" w:fill="D2EEF5"/>
          </w:tcPr>
          <w:p>
            <w:pPr>
              <w:ind w:left="20"/>
              <w:spacing w:after="0" w:line="148" w:lineRule="exact"/>
              <w:rPr>
                <w:sz w:val="20"/>
                <w:szCs w:val="20"/>
                <w:color w:val="auto"/>
              </w:rPr>
            </w:pPr>
            <w:r>
              <w:rPr>
                <w:rFonts w:ascii="Arial" w:cs="Arial" w:eastAsia="Arial" w:hAnsi="Arial"/>
                <w:sz w:val="15"/>
                <w:szCs w:val="15"/>
                <w:color w:val="auto"/>
              </w:rPr>
              <w:t>10.9</w:t>
            </w:r>
          </w:p>
        </w:tc>
        <w:tc>
          <w:tcPr>
            <w:tcW w:w="4480" w:type="dxa"/>
            <w:vAlign w:val="bottom"/>
            <w:tcBorders>
              <w:right w:val="single" w:sz="8" w:color="auto"/>
            </w:tcBorders>
            <w:gridSpan w:val="4"/>
            <w:shd w:val="clear" w:color="auto" w:fill="D2EEF5"/>
          </w:tcPr>
          <w:p>
            <w:pPr>
              <w:ind w:left="180"/>
              <w:spacing w:after="0" w:line="148" w:lineRule="exact"/>
              <w:rPr>
                <w:sz w:val="20"/>
                <w:szCs w:val="20"/>
                <w:color w:val="auto"/>
              </w:rPr>
            </w:pPr>
            <w:r>
              <w:rPr>
                <w:rFonts w:ascii="Arial" w:cs="Arial" w:eastAsia="Arial" w:hAnsi="Arial"/>
                <w:sz w:val="15"/>
                <w:szCs w:val="15"/>
                <w:u w:val="single" w:color="auto"/>
                <w:color w:val="auto"/>
                <w:w w:val="92"/>
              </w:rPr>
              <w:t>Certificate of the Sponsorship signed by the Government of Nauru on</w:t>
            </w:r>
          </w:p>
        </w:tc>
        <w:tc>
          <w:tcPr>
            <w:tcW w:w="800" w:type="dxa"/>
            <w:vAlign w:val="bottom"/>
            <w:tcBorders>
              <w:right w:val="single" w:sz="8" w:color="auto"/>
            </w:tcBorders>
            <w:shd w:val="clear" w:color="auto" w:fill="D2EEF5"/>
          </w:tcPr>
          <w:p>
            <w:pPr>
              <w:spacing w:after="0"/>
              <w:rPr>
                <w:sz w:val="12"/>
                <w:szCs w:val="12"/>
                <w:color w:val="auto"/>
              </w:rPr>
            </w:pPr>
          </w:p>
        </w:tc>
        <w:tc>
          <w:tcPr>
            <w:tcW w:w="180" w:type="dxa"/>
            <w:vAlign w:val="bottom"/>
            <w:shd w:val="clear" w:color="auto" w:fill="D2EEF5"/>
          </w:tcPr>
          <w:p>
            <w:pPr>
              <w:spacing w:after="0"/>
              <w:rPr>
                <w:sz w:val="12"/>
                <w:szCs w:val="12"/>
                <w:color w:val="auto"/>
              </w:rPr>
            </w:pPr>
          </w:p>
        </w:tc>
        <w:tc>
          <w:tcPr>
            <w:tcW w:w="1720" w:type="dxa"/>
            <w:vAlign w:val="bottom"/>
            <w:tcBorders>
              <w:right w:val="single" w:sz="8" w:color="auto"/>
            </w:tcBorders>
            <w:shd w:val="clear" w:color="auto" w:fill="D2EEF5"/>
          </w:tcPr>
          <w:p>
            <w:pPr>
              <w:jc w:val="center"/>
              <w:spacing w:after="0" w:line="148" w:lineRule="exact"/>
              <w:rPr>
                <w:sz w:val="20"/>
                <w:szCs w:val="20"/>
                <w:color w:val="auto"/>
              </w:rPr>
            </w:pPr>
            <w:r>
              <w:rPr>
                <w:rFonts w:ascii="Arial" w:cs="Arial" w:eastAsia="Arial" w:hAnsi="Arial"/>
                <w:sz w:val="15"/>
                <w:szCs w:val="15"/>
                <w:color w:val="auto"/>
                <w:w w:val="96"/>
              </w:rPr>
              <w:t>Form S-4/A</w:t>
            </w:r>
          </w:p>
        </w:tc>
        <w:tc>
          <w:tcPr>
            <w:tcW w:w="1080" w:type="dxa"/>
            <w:vAlign w:val="bottom"/>
            <w:tcBorders>
              <w:right w:val="single" w:sz="8" w:color="auto"/>
            </w:tcBorders>
            <w:shd w:val="clear" w:color="auto" w:fill="D2EEF5"/>
          </w:tcPr>
          <w:p>
            <w:pPr>
              <w:jc w:val="center"/>
              <w:ind w:left="24"/>
              <w:spacing w:after="0" w:line="148" w:lineRule="exact"/>
              <w:rPr>
                <w:sz w:val="20"/>
                <w:szCs w:val="20"/>
                <w:color w:val="auto"/>
              </w:rPr>
            </w:pPr>
            <w:r>
              <w:rPr>
                <w:rFonts w:ascii="Arial" w:cs="Arial" w:eastAsia="Arial" w:hAnsi="Arial"/>
                <w:sz w:val="15"/>
                <w:szCs w:val="15"/>
                <w:color w:val="auto"/>
                <w:w w:val="92"/>
              </w:rPr>
              <w:t>7/29/2021</w:t>
            </w:r>
          </w:p>
        </w:tc>
        <w:tc>
          <w:tcPr>
            <w:tcW w:w="180" w:type="dxa"/>
            <w:vAlign w:val="bottom"/>
            <w:shd w:val="clear" w:color="auto" w:fill="D2EEF5"/>
          </w:tcPr>
          <w:p>
            <w:pPr>
              <w:spacing w:after="0"/>
              <w:rPr>
                <w:sz w:val="12"/>
                <w:szCs w:val="12"/>
                <w:color w:val="auto"/>
              </w:rPr>
            </w:pPr>
          </w:p>
        </w:tc>
        <w:tc>
          <w:tcPr>
            <w:tcW w:w="1180" w:type="dxa"/>
            <w:vAlign w:val="bottom"/>
            <w:tcBorders>
              <w:right w:val="single" w:sz="8" w:color="auto"/>
            </w:tcBorders>
            <w:shd w:val="clear" w:color="auto" w:fill="D2EEF5"/>
          </w:tcPr>
          <w:p>
            <w:pPr>
              <w:jc w:val="center"/>
              <w:spacing w:after="0" w:line="148" w:lineRule="exact"/>
              <w:rPr>
                <w:sz w:val="20"/>
                <w:szCs w:val="20"/>
                <w:color w:val="auto"/>
              </w:rPr>
            </w:pPr>
            <w:r>
              <w:rPr>
                <w:rFonts w:ascii="Arial" w:cs="Arial" w:eastAsia="Arial" w:hAnsi="Arial"/>
                <w:sz w:val="15"/>
                <w:szCs w:val="15"/>
                <w:color w:val="auto"/>
                <w:w w:val="89"/>
              </w:rPr>
              <w:t>333-255118</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rPr>
              <w:t>April 11, 2011</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10.24)</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10.10</w:t>
            </w:r>
          </w:p>
        </w:tc>
        <w:tc>
          <w:tcPr>
            <w:tcW w:w="4480" w:type="dxa"/>
            <w:vAlign w:val="bottom"/>
            <w:tcBorders>
              <w:right w:val="single" w:sz="8" w:color="auto"/>
            </w:tcBorders>
            <w:gridSpan w:val="4"/>
          </w:tcPr>
          <w:p>
            <w:pPr>
              <w:ind w:left="180"/>
              <w:spacing w:after="0" w:line="154" w:lineRule="exact"/>
              <w:rPr>
                <w:sz w:val="20"/>
                <w:szCs w:val="20"/>
                <w:color w:val="auto"/>
              </w:rPr>
            </w:pPr>
            <w:r>
              <w:rPr>
                <w:rFonts w:ascii="Arial" w:cs="Arial" w:eastAsia="Arial" w:hAnsi="Arial"/>
                <w:sz w:val="15"/>
                <w:szCs w:val="15"/>
                <w:u w:val="single" w:color="auto"/>
                <w:color w:val="auto"/>
                <w:w w:val="93"/>
              </w:rPr>
              <w:t>ISA Contract for Exploration (Republic of Nauru) dated as of July 22</w:t>
            </w:r>
            <w:r>
              <w:rPr>
                <w:rFonts w:ascii="Arial" w:cs="Arial" w:eastAsia="Arial" w:hAnsi="Arial"/>
                <w:sz w:val="15"/>
                <w:szCs w:val="15"/>
                <w:color w:val="auto"/>
                <w:w w:val="93"/>
              </w:rPr>
              <w:t>,</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2"/>
              </w:rPr>
              <w:t>Form S-4</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4/8/2021</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170"/>
        </w:trPr>
        <w:tc>
          <w:tcPr>
            <w:tcW w:w="1020" w:type="dxa"/>
            <w:vAlign w:val="bottom"/>
            <w:tcBorders>
              <w:left w:val="single" w:sz="8" w:color="auto"/>
              <w:right w:val="single" w:sz="8" w:color="auto"/>
            </w:tcBorders>
          </w:tcPr>
          <w:p>
            <w:pPr>
              <w:spacing w:after="0"/>
              <w:rPr>
                <w:sz w:val="14"/>
                <w:szCs w:val="14"/>
                <w:color w:val="auto"/>
              </w:rPr>
            </w:pPr>
          </w:p>
        </w:tc>
        <w:tc>
          <w:tcPr>
            <w:tcW w:w="1500" w:type="dxa"/>
            <w:vAlign w:val="bottom"/>
            <w:gridSpan w:val="3"/>
          </w:tcPr>
          <w:p>
            <w:pPr>
              <w:ind w:left="180"/>
              <w:spacing w:after="0" w:line="170" w:lineRule="exact"/>
              <w:rPr>
                <w:sz w:val="20"/>
                <w:szCs w:val="20"/>
                <w:color w:val="auto"/>
              </w:rPr>
            </w:pPr>
            <w:r>
              <w:rPr>
                <w:rFonts w:ascii="Arial" w:cs="Arial" w:eastAsia="Arial" w:hAnsi="Arial"/>
                <w:sz w:val="15"/>
                <w:szCs w:val="15"/>
                <w:color w:val="auto"/>
              </w:rPr>
              <w:t>2011</w:t>
            </w:r>
          </w:p>
        </w:tc>
        <w:tc>
          <w:tcPr>
            <w:tcW w:w="29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5"/>
                <w:szCs w:val="15"/>
                <w:color w:val="auto"/>
                <w:w w:val="97"/>
              </w:rPr>
              <w:t>(Exhibit 10.15)</w:t>
            </w:r>
          </w:p>
        </w:tc>
        <w:tc>
          <w:tcPr>
            <w:tcW w:w="10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47"/>
        </w:trPr>
        <w:tc>
          <w:tcPr>
            <w:tcW w:w="1020" w:type="dxa"/>
            <w:vAlign w:val="bottom"/>
            <w:tcBorders>
              <w:left w:val="single" w:sz="8" w:color="auto"/>
              <w:right w:val="single" w:sz="8" w:color="auto"/>
            </w:tcBorders>
            <w:shd w:val="clear" w:color="auto" w:fill="D2EEF5"/>
          </w:tcPr>
          <w:p>
            <w:pPr>
              <w:ind w:left="20"/>
              <w:spacing w:after="0" w:line="148" w:lineRule="exact"/>
              <w:rPr>
                <w:sz w:val="20"/>
                <w:szCs w:val="20"/>
                <w:color w:val="auto"/>
              </w:rPr>
            </w:pPr>
            <w:r>
              <w:rPr>
                <w:rFonts w:ascii="Arial" w:cs="Arial" w:eastAsia="Arial" w:hAnsi="Arial"/>
                <w:sz w:val="15"/>
                <w:szCs w:val="15"/>
                <w:color w:val="auto"/>
              </w:rPr>
              <w:t>10.11</w:t>
            </w:r>
          </w:p>
        </w:tc>
        <w:tc>
          <w:tcPr>
            <w:tcW w:w="4480" w:type="dxa"/>
            <w:vAlign w:val="bottom"/>
            <w:tcBorders>
              <w:right w:val="single" w:sz="8" w:color="auto"/>
            </w:tcBorders>
            <w:gridSpan w:val="4"/>
            <w:shd w:val="clear" w:color="auto" w:fill="D2EEF5"/>
          </w:tcPr>
          <w:p>
            <w:pPr>
              <w:ind w:left="180"/>
              <w:spacing w:after="0" w:line="148" w:lineRule="exact"/>
              <w:rPr>
                <w:sz w:val="20"/>
                <w:szCs w:val="20"/>
                <w:color w:val="auto"/>
              </w:rPr>
            </w:pPr>
            <w:r>
              <w:rPr>
                <w:rFonts w:ascii="Arial" w:cs="Arial" w:eastAsia="Arial" w:hAnsi="Arial"/>
                <w:sz w:val="15"/>
                <w:szCs w:val="15"/>
                <w:u w:val="single" w:color="auto"/>
                <w:color w:val="auto"/>
              </w:rPr>
              <w:t>ISA Contract for Exploration (Kingdom of Tonga) dated as of</w:t>
            </w:r>
          </w:p>
        </w:tc>
        <w:tc>
          <w:tcPr>
            <w:tcW w:w="800" w:type="dxa"/>
            <w:vAlign w:val="bottom"/>
            <w:tcBorders>
              <w:right w:val="single" w:sz="8" w:color="auto"/>
            </w:tcBorders>
            <w:shd w:val="clear" w:color="auto" w:fill="D2EEF5"/>
          </w:tcPr>
          <w:p>
            <w:pPr>
              <w:spacing w:after="0"/>
              <w:rPr>
                <w:sz w:val="12"/>
                <w:szCs w:val="12"/>
                <w:color w:val="auto"/>
              </w:rPr>
            </w:pPr>
          </w:p>
        </w:tc>
        <w:tc>
          <w:tcPr>
            <w:tcW w:w="180" w:type="dxa"/>
            <w:vAlign w:val="bottom"/>
            <w:shd w:val="clear" w:color="auto" w:fill="D2EEF5"/>
          </w:tcPr>
          <w:p>
            <w:pPr>
              <w:spacing w:after="0"/>
              <w:rPr>
                <w:sz w:val="12"/>
                <w:szCs w:val="12"/>
                <w:color w:val="auto"/>
              </w:rPr>
            </w:pPr>
          </w:p>
        </w:tc>
        <w:tc>
          <w:tcPr>
            <w:tcW w:w="1720" w:type="dxa"/>
            <w:vAlign w:val="bottom"/>
            <w:tcBorders>
              <w:right w:val="single" w:sz="8" w:color="auto"/>
            </w:tcBorders>
            <w:shd w:val="clear" w:color="auto" w:fill="D2EEF5"/>
          </w:tcPr>
          <w:p>
            <w:pPr>
              <w:jc w:val="center"/>
              <w:spacing w:after="0" w:line="148" w:lineRule="exact"/>
              <w:rPr>
                <w:sz w:val="20"/>
                <w:szCs w:val="20"/>
                <w:color w:val="auto"/>
              </w:rPr>
            </w:pPr>
            <w:r>
              <w:rPr>
                <w:rFonts w:ascii="Arial" w:cs="Arial" w:eastAsia="Arial" w:hAnsi="Arial"/>
                <w:sz w:val="15"/>
                <w:szCs w:val="15"/>
                <w:color w:val="auto"/>
                <w:w w:val="92"/>
              </w:rPr>
              <w:t>Form S-4</w:t>
            </w:r>
          </w:p>
        </w:tc>
        <w:tc>
          <w:tcPr>
            <w:tcW w:w="1080" w:type="dxa"/>
            <w:vAlign w:val="bottom"/>
            <w:tcBorders>
              <w:right w:val="single" w:sz="8" w:color="auto"/>
            </w:tcBorders>
            <w:shd w:val="clear" w:color="auto" w:fill="D2EEF5"/>
          </w:tcPr>
          <w:p>
            <w:pPr>
              <w:jc w:val="center"/>
              <w:ind w:left="24"/>
              <w:spacing w:after="0" w:line="148" w:lineRule="exact"/>
              <w:rPr>
                <w:sz w:val="20"/>
                <w:szCs w:val="20"/>
                <w:color w:val="auto"/>
              </w:rPr>
            </w:pPr>
            <w:r>
              <w:rPr>
                <w:rFonts w:ascii="Arial" w:cs="Arial" w:eastAsia="Arial" w:hAnsi="Arial"/>
                <w:sz w:val="15"/>
                <w:szCs w:val="15"/>
                <w:color w:val="auto"/>
                <w:w w:val="92"/>
              </w:rPr>
              <w:t>4/8/2021</w:t>
            </w:r>
          </w:p>
        </w:tc>
        <w:tc>
          <w:tcPr>
            <w:tcW w:w="180" w:type="dxa"/>
            <w:vAlign w:val="bottom"/>
            <w:shd w:val="clear" w:color="auto" w:fill="D2EEF5"/>
          </w:tcPr>
          <w:p>
            <w:pPr>
              <w:spacing w:after="0"/>
              <w:rPr>
                <w:sz w:val="12"/>
                <w:szCs w:val="12"/>
                <w:color w:val="auto"/>
              </w:rPr>
            </w:pPr>
          </w:p>
        </w:tc>
        <w:tc>
          <w:tcPr>
            <w:tcW w:w="1180" w:type="dxa"/>
            <w:vAlign w:val="bottom"/>
            <w:tcBorders>
              <w:right w:val="single" w:sz="8" w:color="auto"/>
            </w:tcBorders>
            <w:shd w:val="clear" w:color="auto" w:fill="D2EEF5"/>
          </w:tcPr>
          <w:p>
            <w:pPr>
              <w:jc w:val="center"/>
              <w:spacing w:after="0" w:line="148" w:lineRule="exact"/>
              <w:rPr>
                <w:sz w:val="20"/>
                <w:szCs w:val="20"/>
                <w:color w:val="auto"/>
              </w:rPr>
            </w:pPr>
            <w:r>
              <w:rPr>
                <w:rFonts w:ascii="Arial" w:cs="Arial" w:eastAsia="Arial" w:hAnsi="Arial"/>
                <w:sz w:val="15"/>
                <w:szCs w:val="15"/>
                <w:color w:val="auto"/>
                <w:w w:val="89"/>
              </w:rPr>
              <w:t>333-255118</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rPr>
              <w:t>January 11, 2012</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10.16)</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10.12+</w:t>
            </w:r>
          </w:p>
        </w:tc>
        <w:tc>
          <w:tcPr>
            <w:tcW w:w="4480" w:type="dxa"/>
            <w:vAlign w:val="bottom"/>
            <w:tcBorders>
              <w:right w:val="single" w:sz="8" w:color="auto"/>
            </w:tcBorders>
            <w:gridSpan w:val="4"/>
          </w:tcPr>
          <w:p>
            <w:pPr>
              <w:ind w:left="180"/>
              <w:spacing w:after="0" w:line="154" w:lineRule="exact"/>
              <w:rPr>
                <w:sz w:val="20"/>
                <w:szCs w:val="20"/>
                <w:color w:val="auto"/>
              </w:rPr>
            </w:pPr>
            <w:r>
              <w:rPr>
                <w:rFonts w:ascii="Arial" w:cs="Arial" w:eastAsia="Arial" w:hAnsi="Arial"/>
                <w:sz w:val="15"/>
                <w:szCs w:val="15"/>
                <w:u w:val="single" w:color="auto"/>
                <w:color w:val="auto"/>
              </w:rPr>
              <w:t>Form of Indemnity Agreement</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9/15/2021</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9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10.18)</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10.13+</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Nonemployee Director Compensation Policy</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9/15/2021</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300" w:type="dxa"/>
            <w:vAlign w:val="bottom"/>
            <w:tcBorders>
              <w:bottom w:val="single" w:sz="8" w:color="auto"/>
            </w:tcBorders>
            <w:shd w:val="clear" w:color="auto" w:fill="D2EEF5"/>
          </w:tcPr>
          <w:p>
            <w:pPr>
              <w:spacing w:after="0"/>
              <w:rPr>
                <w:sz w:val="19"/>
                <w:szCs w:val="19"/>
                <w:color w:val="auto"/>
              </w:rPr>
            </w:pPr>
          </w:p>
        </w:tc>
        <w:tc>
          <w:tcPr>
            <w:tcW w:w="1020" w:type="dxa"/>
            <w:vAlign w:val="bottom"/>
            <w:tcBorders>
              <w:bottom w:val="single" w:sz="8" w:color="auto"/>
            </w:tcBorders>
            <w:shd w:val="clear" w:color="auto" w:fill="D2EEF5"/>
          </w:tcPr>
          <w:p>
            <w:pPr>
              <w:spacing w:after="0"/>
              <w:rPr>
                <w:sz w:val="19"/>
                <w:szCs w:val="19"/>
                <w:color w:val="auto"/>
              </w:rPr>
            </w:pPr>
          </w:p>
        </w:tc>
        <w:tc>
          <w:tcPr>
            <w:tcW w:w="2980" w:type="dxa"/>
            <w:vAlign w:val="bottom"/>
            <w:tcBorders>
              <w:bottom w:val="single" w:sz="8" w:color="auto"/>
              <w:right w:val="single" w:sz="8" w:color="auto"/>
            </w:tcBorders>
            <w:shd w:val="clear" w:color="auto" w:fill="D2EEF5"/>
          </w:tcPr>
          <w:p>
            <w:pPr>
              <w:spacing w:after="0"/>
              <w:rPr>
                <w:sz w:val="19"/>
                <w:szCs w:val="19"/>
                <w:color w:val="auto"/>
              </w:rPr>
            </w:pP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10.19)</w:t>
            </w: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10.14+</w:t>
            </w:r>
          </w:p>
        </w:tc>
        <w:tc>
          <w:tcPr>
            <w:tcW w:w="4480" w:type="dxa"/>
            <w:vAlign w:val="bottom"/>
            <w:tcBorders>
              <w:right w:val="single" w:sz="8" w:color="auto"/>
            </w:tcBorders>
            <w:gridSpan w:val="4"/>
          </w:tcPr>
          <w:p>
            <w:pPr>
              <w:ind w:left="180"/>
              <w:spacing w:after="0" w:line="133" w:lineRule="exact"/>
              <w:rPr>
                <w:sz w:val="20"/>
                <w:szCs w:val="20"/>
                <w:color w:val="auto"/>
              </w:rPr>
            </w:pPr>
            <w:r>
              <w:rPr>
                <w:rFonts w:ascii="Arial" w:cs="Arial" w:eastAsia="Arial" w:hAnsi="Arial"/>
                <w:sz w:val="15"/>
                <w:szCs w:val="15"/>
                <w:u w:val="single" w:color="auto"/>
                <w:color w:val="auto"/>
              </w:rPr>
              <w:t>Employment Agreement, dated April 16, 2024, by and between</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33" w:lineRule="exact"/>
              <w:rPr>
                <w:sz w:val="20"/>
                <w:szCs w:val="20"/>
                <w:color w:val="auto"/>
              </w:rPr>
            </w:pPr>
            <w:r>
              <w:rPr>
                <w:rFonts w:ascii="Arial" w:cs="Arial" w:eastAsia="Arial" w:hAnsi="Arial"/>
                <w:sz w:val="15"/>
                <w:szCs w:val="15"/>
                <w:color w:val="auto"/>
                <w:w w:val="92"/>
              </w:rPr>
              <w:t>4/18/2024</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DeepGreen Metals UAE and Gerard Barron</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10.15+</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1"/>
              </w:rPr>
              <w:t>Amended and Restated Employment Agreement, dated November 11</w:t>
            </w:r>
            <w:r>
              <w:rPr>
                <w:rFonts w:ascii="Arial" w:cs="Arial" w:eastAsia="Arial" w:hAnsi="Arial"/>
                <w:sz w:val="15"/>
                <w:szCs w:val="15"/>
                <w:color w:val="auto"/>
                <w:w w:val="91"/>
              </w:rPr>
              <w:t>,</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8"/>
              </w:rPr>
              <w:t>Form 10-K/A</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4/18/2024</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w w:val="93"/>
              </w:rPr>
              <w:t>2022, by and between TMC the metals company Inc. and Erika Ilves</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10.16)</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5"/>
                <w:szCs w:val="15"/>
                <w:color w:val="auto"/>
              </w:rPr>
              <w:t>10.16+</w:t>
            </w:r>
          </w:p>
        </w:tc>
        <w:tc>
          <w:tcPr>
            <w:tcW w:w="4480" w:type="dxa"/>
            <w:vAlign w:val="bottom"/>
            <w:tcBorders>
              <w:right w:val="single" w:sz="8" w:color="auto"/>
            </w:tcBorders>
            <w:gridSpan w:val="4"/>
          </w:tcPr>
          <w:p>
            <w:pPr>
              <w:ind w:left="180"/>
              <w:spacing w:after="0" w:line="153" w:lineRule="exact"/>
              <w:rPr>
                <w:sz w:val="20"/>
                <w:szCs w:val="20"/>
                <w:color w:val="auto"/>
              </w:rPr>
            </w:pPr>
            <w:r>
              <w:rPr>
                <w:rFonts w:ascii="Arial" w:cs="Arial" w:eastAsia="Arial" w:hAnsi="Arial"/>
                <w:sz w:val="15"/>
                <w:szCs w:val="15"/>
                <w:u w:val="single" w:color="auto"/>
                <w:color w:val="auto"/>
                <w:w w:val="92"/>
              </w:rPr>
              <w:t>Amended and Restated Employment Agreement, dated May 8, 2022</w:t>
            </w:r>
            <w:r>
              <w:rPr>
                <w:rFonts w:ascii="Arial" w:cs="Arial" w:eastAsia="Arial" w:hAnsi="Arial"/>
                <w:sz w:val="15"/>
                <w:szCs w:val="15"/>
                <w:color w:val="auto"/>
                <w:w w:val="92"/>
              </w:rPr>
              <w:t>,</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3"/>
              </w:rPr>
              <w:t>Form 10-Q</w:t>
            </w:r>
          </w:p>
        </w:tc>
        <w:tc>
          <w:tcPr>
            <w:tcW w:w="1080" w:type="dxa"/>
            <w:vAlign w:val="bottom"/>
            <w:tcBorders>
              <w:right w:val="single" w:sz="8" w:color="auto"/>
            </w:tcBorders>
          </w:tcPr>
          <w:p>
            <w:pPr>
              <w:jc w:val="center"/>
              <w:ind w:left="24"/>
              <w:spacing w:after="0" w:line="153" w:lineRule="exact"/>
              <w:rPr>
                <w:sz w:val="20"/>
                <w:szCs w:val="20"/>
                <w:color w:val="auto"/>
              </w:rPr>
            </w:pPr>
            <w:r>
              <w:rPr>
                <w:rFonts w:ascii="Arial" w:cs="Arial" w:eastAsia="Arial" w:hAnsi="Arial"/>
                <w:sz w:val="15"/>
                <w:szCs w:val="15"/>
                <w:color w:val="auto"/>
                <w:w w:val="92"/>
              </w:rPr>
              <w:t>5/9/2022</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by and between The Metals Company Australia Pty. Ltd. and</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10.3)</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Anthony O’Sullivan</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10.17+</w:t>
            </w:r>
          </w:p>
        </w:tc>
        <w:tc>
          <w:tcPr>
            <w:tcW w:w="4480" w:type="dxa"/>
            <w:vAlign w:val="bottom"/>
            <w:tcBorders>
              <w:right w:val="single" w:sz="8" w:color="auto"/>
            </w:tcBorders>
            <w:gridSpan w:val="4"/>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2"/>
              </w:rPr>
              <w:t>Amended and Restated Employment Agreement, dated May 6, 2022</w:t>
            </w:r>
            <w:r>
              <w:rPr>
                <w:rFonts w:ascii="Arial" w:cs="Arial" w:eastAsia="Arial" w:hAnsi="Arial"/>
                <w:sz w:val="15"/>
                <w:szCs w:val="15"/>
                <w:color w:val="auto"/>
                <w:w w:val="92"/>
              </w:rPr>
              <w:t>,</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3"/>
              </w:rPr>
              <w:t>Form 10-Q</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5/9/2022</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4480" w:type="dxa"/>
            <w:vAlign w:val="bottom"/>
            <w:tcBorders>
              <w:bottom w:val="single" w:sz="8" w:color="auto"/>
              <w:right w:val="single" w:sz="8" w:color="auto"/>
            </w:tcBorders>
            <w:gridSpan w:val="4"/>
            <w:shd w:val="clear" w:color="auto" w:fill="D2EEF5"/>
          </w:tcPr>
          <w:p>
            <w:pPr>
              <w:ind w:left="180"/>
              <w:spacing w:after="0"/>
              <w:rPr>
                <w:sz w:val="20"/>
                <w:szCs w:val="20"/>
                <w:color w:val="auto"/>
              </w:rPr>
            </w:pPr>
            <w:r>
              <w:rPr>
                <w:rFonts w:ascii="Arial" w:cs="Arial" w:eastAsia="Arial" w:hAnsi="Arial"/>
                <w:sz w:val="15"/>
                <w:szCs w:val="15"/>
                <w:u w:val="single" w:color="auto"/>
                <w:color w:val="auto"/>
              </w:rPr>
              <w:t>by and between DeepGreen Resources, LLC and Craig Shesky</w:t>
            </w: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10.2)</w:t>
            </w: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10.18</w:t>
            </w:r>
          </w:p>
        </w:tc>
        <w:tc>
          <w:tcPr>
            <w:tcW w:w="4480" w:type="dxa"/>
            <w:vAlign w:val="bottom"/>
            <w:tcBorders>
              <w:right w:val="single" w:sz="8" w:color="auto"/>
            </w:tcBorders>
            <w:gridSpan w:val="4"/>
          </w:tcPr>
          <w:p>
            <w:pPr>
              <w:ind w:left="180"/>
              <w:spacing w:after="0" w:line="133" w:lineRule="exact"/>
              <w:rPr>
                <w:sz w:val="20"/>
                <w:szCs w:val="20"/>
                <w:color w:val="auto"/>
              </w:rPr>
            </w:pPr>
            <w:r>
              <w:rPr>
                <w:rFonts w:ascii="Arial" w:cs="Arial" w:eastAsia="Arial" w:hAnsi="Arial"/>
                <w:sz w:val="15"/>
                <w:szCs w:val="15"/>
                <w:u w:val="single" w:color="auto"/>
                <w:color w:val="auto"/>
                <w:w w:val="96"/>
              </w:rPr>
              <w:t>Services Agreement, dated April 9, 2024 by and between TMC the</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33" w:lineRule="exact"/>
              <w:rPr>
                <w:sz w:val="20"/>
                <w:szCs w:val="20"/>
                <w:color w:val="auto"/>
              </w:rPr>
            </w:pPr>
            <w:r>
              <w:rPr>
                <w:rFonts w:ascii="Arial" w:cs="Arial" w:eastAsia="Arial" w:hAnsi="Arial"/>
                <w:sz w:val="15"/>
                <w:szCs w:val="15"/>
                <w:color w:val="auto"/>
                <w:w w:val="92"/>
              </w:rPr>
              <w:t>4/11/2024</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5"/>
                <w:szCs w:val="15"/>
                <w:u w:val="single" w:color="auto"/>
                <w:color w:val="auto"/>
              </w:rPr>
              <w:t>metals company Inc. and Steve Jurvetson</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541"/>
        </w:trPr>
        <w:tc>
          <w:tcPr>
            <w:tcW w:w="1020" w:type="dxa"/>
            <w:vAlign w:val="bottom"/>
          </w:tcPr>
          <w:p>
            <w:pPr>
              <w:spacing w:after="0"/>
              <w:rPr>
                <w:sz w:val="24"/>
                <w:szCs w:val="24"/>
                <w:color w:val="auto"/>
              </w:rPr>
            </w:pPr>
          </w:p>
        </w:tc>
        <w:tc>
          <w:tcPr>
            <w:tcW w:w="4480" w:type="dxa"/>
            <w:vAlign w:val="bottom"/>
            <w:gridSpan w:val="4"/>
          </w:tcPr>
          <w:p>
            <w:pPr>
              <w:jc w:val="right"/>
              <w:ind w:right="60"/>
              <w:spacing w:after="0"/>
              <w:rPr>
                <w:sz w:val="20"/>
                <w:szCs w:val="20"/>
                <w:color w:val="auto"/>
              </w:rPr>
            </w:pPr>
            <w:r>
              <w:rPr>
                <w:rFonts w:ascii="Arial" w:cs="Arial" w:eastAsia="Arial" w:hAnsi="Arial"/>
                <w:sz w:val="15"/>
                <w:szCs w:val="15"/>
                <w:color w:val="auto"/>
              </w:rPr>
              <w:t>161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3680" w:h="17280" w:orient="portrait"/>
          <w:cols w:equalWidth="0" w:num="1">
            <w:col w:w="10800"/>
          </w:cols>
          <w:pgMar w:left="1440" w:top="1440" w:right="1440"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9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10.19.1+</w:t>
            </w:r>
          </w:p>
        </w:tc>
        <w:tc>
          <w:tcPr>
            <w:tcW w:w="4480" w:type="dxa"/>
            <w:vAlign w:val="bottom"/>
            <w:tcBorders>
              <w:top w:val="single" w:sz="8" w:color="auto"/>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TMC the metals company Inc. 2021 Incentive Equity Plan</w:t>
            </w:r>
          </w:p>
        </w:tc>
        <w:tc>
          <w:tcPr>
            <w:tcW w:w="800" w:type="dxa"/>
            <w:vAlign w:val="bottom"/>
            <w:tcBorders>
              <w:top w:val="single" w:sz="8" w:color="auto"/>
              <w:right w:val="single" w:sz="8" w:color="auto"/>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spacing w:after="0"/>
              <w:rPr>
                <w:sz w:val="15"/>
                <w:szCs w:val="15"/>
                <w:color w:val="auto"/>
              </w:rPr>
            </w:pPr>
          </w:p>
        </w:tc>
        <w:tc>
          <w:tcPr>
            <w:tcW w:w="1720" w:type="dxa"/>
            <w:vAlign w:val="bottom"/>
            <w:tcBorders>
              <w:top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3"/>
              </w:rPr>
              <w:t>Form 10-Q</w:t>
            </w:r>
          </w:p>
        </w:tc>
        <w:tc>
          <w:tcPr>
            <w:tcW w:w="1080" w:type="dxa"/>
            <w:vAlign w:val="bottom"/>
            <w:tcBorders>
              <w:top w:val="single" w:sz="8" w:color="auto"/>
              <w:right w:val="single" w:sz="8" w:color="auto"/>
            </w:tcBorders>
            <w:shd w:val="clear" w:color="auto" w:fill="D2EEF5"/>
          </w:tcPr>
          <w:p>
            <w:pPr>
              <w:jc w:val="center"/>
              <w:ind w:left="24"/>
              <w:spacing w:after="0"/>
              <w:rPr>
                <w:sz w:val="20"/>
                <w:szCs w:val="20"/>
                <w:color w:val="auto"/>
              </w:rPr>
            </w:pPr>
            <w:r>
              <w:rPr>
                <w:rFonts w:ascii="Arial" w:cs="Arial" w:eastAsia="Arial" w:hAnsi="Arial"/>
                <w:sz w:val="15"/>
                <w:szCs w:val="15"/>
                <w:color w:val="auto"/>
                <w:w w:val="92"/>
              </w:rPr>
              <w:t>8/14/2024</w:t>
            </w:r>
          </w:p>
        </w:tc>
        <w:tc>
          <w:tcPr>
            <w:tcW w:w="18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1"/>
              </w:rPr>
              <w:t>001-39281</w:t>
            </w: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880" w:type="dxa"/>
            <w:vAlign w:val="bottom"/>
            <w:tcBorders>
              <w:bottom w:val="single" w:sz="8" w:color="auto"/>
            </w:tcBorders>
            <w:shd w:val="clear" w:color="auto" w:fill="D2EEF5"/>
          </w:tcPr>
          <w:p>
            <w:pPr>
              <w:spacing w:after="0"/>
              <w:rPr>
                <w:sz w:val="19"/>
                <w:szCs w:val="19"/>
                <w:color w:val="auto"/>
              </w:rPr>
            </w:pPr>
          </w:p>
        </w:tc>
        <w:tc>
          <w:tcPr>
            <w:tcW w:w="3420" w:type="dxa"/>
            <w:vAlign w:val="bottom"/>
            <w:tcBorders>
              <w:bottom w:val="single" w:sz="8" w:color="auto"/>
              <w:right w:val="single" w:sz="8" w:color="auto"/>
            </w:tcBorders>
            <w:shd w:val="clear" w:color="auto" w:fill="D2EEF5"/>
          </w:tcPr>
          <w:p>
            <w:pPr>
              <w:spacing w:after="0"/>
              <w:rPr>
                <w:sz w:val="19"/>
                <w:szCs w:val="19"/>
                <w:color w:val="auto"/>
              </w:rPr>
            </w:pP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10.3)</w:t>
            </w: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10.19.2+</w:t>
            </w:r>
          </w:p>
        </w:tc>
        <w:tc>
          <w:tcPr>
            <w:tcW w:w="4480" w:type="dxa"/>
            <w:vAlign w:val="bottom"/>
            <w:tcBorders>
              <w:right w:val="single" w:sz="8" w:color="auto"/>
            </w:tcBorders>
            <w:gridSpan w:val="3"/>
          </w:tcPr>
          <w:p>
            <w:pPr>
              <w:ind w:left="180"/>
              <w:spacing w:after="0" w:line="133" w:lineRule="exact"/>
              <w:rPr>
                <w:sz w:val="20"/>
                <w:szCs w:val="20"/>
                <w:color w:val="auto"/>
              </w:rPr>
            </w:pPr>
            <w:r>
              <w:rPr>
                <w:rFonts w:ascii="Arial" w:cs="Arial" w:eastAsia="Arial" w:hAnsi="Arial"/>
                <w:sz w:val="15"/>
                <w:szCs w:val="15"/>
                <w:u w:val="single" w:color="auto"/>
                <w:color w:val="auto"/>
              </w:rPr>
              <w:t>Form of Stock Option Agreement under TMC the metals</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33" w:lineRule="exact"/>
              <w:rPr>
                <w:sz w:val="20"/>
                <w:szCs w:val="20"/>
                <w:color w:val="auto"/>
              </w:rPr>
            </w:pPr>
            <w:r>
              <w:rPr>
                <w:rFonts w:ascii="Arial" w:cs="Arial" w:eastAsia="Arial" w:hAnsi="Arial"/>
                <w:sz w:val="15"/>
                <w:szCs w:val="15"/>
                <w:color w:val="auto"/>
                <w:w w:val="92"/>
              </w:rPr>
              <w:t>9/15/2021</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rPr>
              <w:t>company Inc. 2021 Incentive Equity Plan</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(Exhibit 10.23.2)</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10.19.3+</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9"/>
              </w:rPr>
              <w:t>Form of Restricted Stock Unit Agreement under TMC the metals</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9/15/2021</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company Inc. 2021 Incentive Equity Plan</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5"/>
              </w:rPr>
              <w:t>(Exhibit 10.23.3)</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10.20.1+</w:t>
            </w:r>
          </w:p>
        </w:tc>
        <w:tc>
          <w:tcPr>
            <w:tcW w:w="4480" w:type="dxa"/>
            <w:vAlign w:val="bottom"/>
            <w:tcBorders>
              <w:right w:val="single" w:sz="8" w:color="auto"/>
            </w:tcBorders>
            <w:gridSpan w:val="3"/>
          </w:tcPr>
          <w:p>
            <w:pPr>
              <w:ind w:left="180"/>
              <w:spacing w:after="0" w:line="154" w:lineRule="exact"/>
              <w:rPr>
                <w:sz w:val="20"/>
                <w:szCs w:val="20"/>
                <w:color w:val="auto"/>
              </w:rPr>
            </w:pPr>
            <w:r>
              <w:rPr>
                <w:rFonts w:ascii="Arial" w:cs="Arial" w:eastAsia="Arial" w:hAnsi="Arial"/>
                <w:sz w:val="15"/>
                <w:szCs w:val="15"/>
                <w:u w:val="single" w:color="auto"/>
                <w:color w:val="auto"/>
                <w:w w:val="93"/>
              </w:rPr>
              <w:t>DeepGreen Metals Inc. Stock Option Plan and Form of Stock Option</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6"/>
              </w:rPr>
              <w:t>Form S-4/A</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5/27/2021</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rPr>
              <w:t>Agreement thereunder</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10.20)</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10.20.2+</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Amendment to DeepGreen Metals Inc. Stock Option Plan</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6"/>
              </w:rPr>
              <w:t>Form S-4/A</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5/27/2021</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880" w:type="dxa"/>
            <w:vAlign w:val="bottom"/>
            <w:tcBorders>
              <w:bottom w:val="single" w:sz="8" w:color="auto"/>
            </w:tcBorders>
            <w:shd w:val="clear" w:color="auto" w:fill="D2EEF5"/>
          </w:tcPr>
          <w:p>
            <w:pPr>
              <w:spacing w:after="0"/>
              <w:rPr>
                <w:sz w:val="17"/>
                <w:szCs w:val="17"/>
                <w:color w:val="auto"/>
              </w:rPr>
            </w:pPr>
          </w:p>
        </w:tc>
        <w:tc>
          <w:tcPr>
            <w:tcW w:w="3420" w:type="dxa"/>
            <w:vAlign w:val="bottom"/>
            <w:tcBorders>
              <w:bottom w:val="single" w:sz="8" w:color="auto"/>
              <w:right w:val="single" w:sz="8" w:color="auto"/>
            </w:tcBorders>
            <w:shd w:val="clear" w:color="auto" w:fill="D2EEF5"/>
          </w:tcPr>
          <w:p>
            <w:pPr>
              <w:spacing w:after="0"/>
              <w:rPr>
                <w:sz w:val="17"/>
                <w:szCs w:val="17"/>
                <w:color w:val="auto"/>
              </w:rPr>
            </w:pP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10.21)</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10.21+</w:t>
            </w:r>
          </w:p>
        </w:tc>
        <w:tc>
          <w:tcPr>
            <w:tcW w:w="4480" w:type="dxa"/>
            <w:vAlign w:val="bottom"/>
            <w:tcBorders>
              <w:right w:val="single" w:sz="8" w:color="auto"/>
            </w:tcBorders>
            <w:gridSpan w:val="3"/>
          </w:tcPr>
          <w:p>
            <w:pPr>
              <w:ind w:left="180"/>
              <w:spacing w:after="0" w:line="154" w:lineRule="exact"/>
              <w:rPr>
                <w:sz w:val="20"/>
                <w:szCs w:val="20"/>
                <w:color w:val="auto"/>
              </w:rPr>
            </w:pPr>
            <w:r>
              <w:rPr>
                <w:rFonts w:ascii="Arial" w:cs="Arial" w:eastAsia="Arial" w:hAnsi="Arial"/>
                <w:sz w:val="15"/>
                <w:szCs w:val="15"/>
                <w:u w:val="single" w:color="auto"/>
                <w:color w:val="auto"/>
                <w:w w:val="94"/>
              </w:rPr>
              <w:t>TMC the metals company Inc. 2021 Employee Stock Purchase Plan</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2"/>
              </w:rPr>
              <w:t>Form S-8</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5/31/2022</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333-265318</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99.1)</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10.22</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Amended and Restated Registration Rights Agreement, by and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S-4/A (Exhibit 10.5 –</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8/5/2021</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w w:val="97"/>
              </w:rPr>
              <w:t>between Sustainable Opportunities Acquisition Corp., Sustainable</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5"/>
              </w:rPr>
              <w:t>Annex H)</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w w:val="94"/>
              </w:rPr>
              <w:t>Opportunities Holdings LLC, the parties listed under Sponsor Group</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spacing w:after="0"/>
              <w:rPr>
                <w:sz w:val="15"/>
                <w:szCs w:val="15"/>
                <w:color w:val="auto"/>
              </w:rPr>
            </w:pP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w w:val="93"/>
              </w:rPr>
              <w:t>Holders on the signature page(s) thereto and the parties listed under</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spacing w:after="0"/>
              <w:rPr>
                <w:sz w:val="15"/>
                <w:szCs w:val="15"/>
                <w:color w:val="auto"/>
              </w:rPr>
            </w:pP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DeepGreen Holders on the signature page(s) thereto</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10.23</w:t>
            </w:r>
          </w:p>
        </w:tc>
        <w:tc>
          <w:tcPr>
            <w:tcW w:w="4480" w:type="dxa"/>
            <w:vAlign w:val="bottom"/>
            <w:tcBorders>
              <w:right w:val="single" w:sz="8" w:color="auto"/>
            </w:tcBorders>
            <w:gridSpan w:val="3"/>
          </w:tcPr>
          <w:p>
            <w:pPr>
              <w:ind w:left="180"/>
              <w:spacing w:after="0" w:line="154" w:lineRule="exact"/>
              <w:rPr>
                <w:sz w:val="20"/>
                <w:szCs w:val="20"/>
                <w:color w:val="auto"/>
              </w:rPr>
            </w:pPr>
            <w:r>
              <w:rPr>
                <w:rFonts w:ascii="Arial" w:cs="Arial" w:eastAsia="Arial" w:hAnsi="Arial"/>
                <w:sz w:val="15"/>
                <w:szCs w:val="15"/>
                <w:u w:val="single" w:color="auto"/>
                <w:color w:val="auto"/>
                <w:w w:val="98"/>
              </w:rPr>
              <w:t>Form of Subscription Agreement for institutional investors, by and</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6"/>
              </w:rPr>
              <w:t>Form S-4/A</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8/5/2021</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rPr>
              <w:t>between Sustainable Opportunities Acquisition Corp. and the</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(Exhibit 10.1 – Annex E-1)</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rPr>
              <w:t>subscriber parties thereto</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10.24</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9"/>
              </w:rPr>
              <w:t>Form of Subscription Agreement for accredited investors, by and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6"/>
              </w:rPr>
              <w:t>Form S-4/A</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8/5/2021</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between Sustainable Opportunities Acquisition Corp. and the</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5"/>
              </w:rPr>
              <w:t>(Exhibit 10.2 – Annex E-2)</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4480" w:type="dxa"/>
            <w:vAlign w:val="bottom"/>
            <w:tcBorders>
              <w:bottom w:val="single" w:sz="8" w:color="auto"/>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subscriber parties thereto</w:t>
            </w: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spacing w:after="0"/>
              <w:rPr>
                <w:sz w:val="19"/>
                <w:szCs w:val="19"/>
                <w:color w:val="auto"/>
              </w:rPr>
            </w:pP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10.25</w:t>
            </w:r>
          </w:p>
        </w:tc>
        <w:tc>
          <w:tcPr>
            <w:tcW w:w="4480" w:type="dxa"/>
            <w:vAlign w:val="bottom"/>
            <w:tcBorders>
              <w:right w:val="single" w:sz="8" w:color="auto"/>
            </w:tcBorders>
            <w:gridSpan w:val="3"/>
          </w:tcPr>
          <w:p>
            <w:pPr>
              <w:ind w:left="180"/>
              <w:spacing w:after="0" w:line="133" w:lineRule="exact"/>
              <w:rPr>
                <w:sz w:val="20"/>
                <w:szCs w:val="20"/>
                <w:color w:val="auto"/>
              </w:rPr>
            </w:pPr>
            <w:r>
              <w:rPr>
                <w:rFonts w:ascii="Arial" w:cs="Arial" w:eastAsia="Arial" w:hAnsi="Arial"/>
                <w:sz w:val="15"/>
                <w:szCs w:val="15"/>
                <w:u w:val="single" w:color="auto"/>
                <w:color w:val="auto"/>
                <w:w w:val="94"/>
              </w:rPr>
              <w:t>Form of Securities Purchase Agreement, dated August 12, 2022, by</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33" w:lineRule="exact"/>
              <w:rPr>
                <w:sz w:val="20"/>
                <w:szCs w:val="20"/>
                <w:color w:val="auto"/>
              </w:rPr>
            </w:pPr>
            <w:r>
              <w:rPr>
                <w:rFonts w:ascii="Arial" w:cs="Arial" w:eastAsia="Arial" w:hAnsi="Arial"/>
                <w:sz w:val="15"/>
                <w:szCs w:val="15"/>
                <w:color w:val="auto"/>
                <w:w w:val="92"/>
              </w:rPr>
              <w:t>8/15/2022</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rPr>
              <w:t>and among the Company and the Purchasers named therein</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10.26</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Securities Purchase Agreement, dated August 12, 2022, by and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8/15/2022</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4480" w:type="dxa"/>
            <w:vAlign w:val="bottom"/>
            <w:tcBorders>
              <w:bottom w:val="single" w:sz="8" w:color="auto"/>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among the Company and Gerard Barron</w:t>
            </w: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10.2)</w:t>
            </w: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10.27</w:t>
            </w:r>
          </w:p>
        </w:tc>
        <w:tc>
          <w:tcPr>
            <w:tcW w:w="4480" w:type="dxa"/>
            <w:vAlign w:val="bottom"/>
            <w:tcBorders>
              <w:right w:val="single" w:sz="8" w:color="auto"/>
            </w:tcBorders>
            <w:gridSpan w:val="3"/>
          </w:tcPr>
          <w:p>
            <w:pPr>
              <w:ind w:left="180"/>
              <w:spacing w:after="0" w:line="133" w:lineRule="exact"/>
              <w:rPr>
                <w:sz w:val="20"/>
                <w:szCs w:val="20"/>
                <w:color w:val="auto"/>
              </w:rPr>
            </w:pPr>
            <w:r>
              <w:rPr>
                <w:rFonts w:ascii="Arial" w:cs="Arial" w:eastAsia="Arial" w:hAnsi="Arial"/>
                <w:sz w:val="15"/>
                <w:szCs w:val="15"/>
                <w:u w:val="single" w:color="auto"/>
                <w:color w:val="auto"/>
              </w:rPr>
              <w:t>Securities Purchase Agreement, dated August 12, 2022, by and</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33" w:lineRule="exact"/>
              <w:rPr>
                <w:sz w:val="20"/>
                <w:szCs w:val="20"/>
                <w:color w:val="auto"/>
              </w:rPr>
            </w:pPr>
            <w:r>
              <w:rPr>
                <w:rFonts w:ascii="Arial" w:cs="Arial" w:eastAsia="Arial" w:hAnsi="Arial"/>
                <w:sz w:val="15"/>
                <w:szCs w:val="15"/>
                <w:color w:val="auto"/>
                <w:w w:val="92"/>
              </w:rPr>
              <w:t>8/15/2022</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rPr>
              <w:t>among the Company and ERAS Capital LLC</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10.3)</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10.28</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9"/>
              </w:rPr>
              <w:t>Form of Securities Purchase Agreement, dated August 14, 2023</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8/14/2023</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880" w:type="dxa"/>
            <w:vAlign w:val="bottom"/>
            <w:tcBorders>
              <w:bottom w:val="single" w:sz="8" w:color="auto"/>
            </w:tcBorders>
            <w:shd w:val="clear" w:color="auto" w:fill="D2EEF5"/>
          </w:tcPr>
          <w:p>
            <w:pPr>
              <w:spacing w:after="0"/>
              <w:rPr>
                <w:sz w:val="17"/>
                <w:szCs w:val="17"/>
                <w:color w:val="auto"/>
              </w:rPr>
            </w:pPr>
          </w:p>
        </w:tc>
        <w:tc>
          <w:tcPr>
            <w:tcW w:w="3420" w:type="dxa"/>
            <w:vAlign w:val="bottom"/>
            <w:tcBorders>
              <w:bottom w:val="single" w:sz="8" w:color="auto"/>
              <w:right w:val="single" w:sz="8" w:color="auto"/>
            </w:tcBorders>
            <w:shd w:val="clear" w:color="auto" w:fill="D2EEF5"/>
          </w:tcPr>
          <w:p>
            <w:pPr>
              <w:spacing w:after="0"/>
              <w:rPr>
                <w:sz w:val="17"/>
                <w:szCs w:val="17"/>
                <w:color w:val="auto"/>
              </w:rPr>
            </w:pP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10.29</w:t>
            </w:r>
          </w:p>
        </w:tc>
        <w:tc>
          <w:tcPr>
            <w:tcW w:w="4480" w:type="dxa"/>
            <w:vAlign w:val="bottom"/>
            <w:tcBorders>
              <w:right w:val="single" w:sz="8" w:color="auto"/>
            </w:tcBorders>
            <w:gridSpan w:val="3"/>
          </w:tcPr>
          <w:p>
            <w:pPr>
              <w:ind w:left="180"/>
              <w:spacing w:after="0" w:line="154" w:lineRule="exact"/>
              <w:rPr>
                <w:sz w:val="20"/>
                <w:szCs w:val="20"/>
                <w:color w:val="auto"/>
              </w:rPr>
            </w:pPr>
            <w:r>
              <w:rPr>
                <w:rFonts w:ascii="Arial" w:cs="Arial" w:eastAsia="Arial" w:hAnsi="Arial"/>
                <w:sz w:val="15"/>
                <w:szCs w:val="15"/>
                <w:u w:val="single" w:color="auto"/>
                <w:color w:val="auto"/>
                <w:w w:val="94"/>
              </w:rPr>
              <w:t>Form of Securities Purchase Agreement, dated November 14, 2024</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3"/>
              </w:rPr>
              <w:t>11/15/2024</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10.30</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5"/>
              </w:rPr>
              <w:t>Form of First Amendment to Securities Purchase Agreement, dated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3"/>
              </w:rPr>
              <w:t>11/26/2024</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4480" w:type="dxa"/>
            <w:vAlign w:val="bottom"/>
            <w:tcBorders>
              <w:bottom w:val="single" w:sz="8" w:color="auto"/>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November 26, 2024</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10.31</w:t>
            </w:r>
          </w:p>
        </w:tc>
        <w:tc>
          <w:tcPr>
            <w:tcW w:w="4480" w:type="dxa"/>
            <w:vAlign w:val="bottom"/>
            <w:tcBorders>
              <w:right w:val="single" w:sz="8" w:color="auto"/>
            </w:tcBorders>
            <w:gridSpan w:val="3"/>
          </w:tcPr>
          <w:p>
            <w:pPr>
              <w:ind w:left="180"/>
              <w:spacing w:after="0" w:line="154" w:lineRule="exact"/>
              <w:rPr>
                <w:sz w:val="20"/>
                <w:szCs w:val="20"/>
                <w:color w:val="auto"/>
              </w:rPr>
            </w:pPr>
            <w:r>
              <w:rPr>
                <w:rFonts w:ascii="Arial" w:cs="Arial" w:eastAsia="Arial" w:hAnsi="Arial"/>
                <w:sz w:val="15"/>
                <w:szCs w:val="15"/>
                <w:u w:val="single" w:color="auto"/>
                <w:color w:val="auto"/>
                <w:w w:val="96"/>
              </w:rPr>
              <w:t>At-The-Market Equity Distribution Agreement, dated December 22</w:t>
            </w:r>
            <w:r>
              <w:rPr>
                <w:rFonts w:ascii="Arial" w:cs="Arial" w:eastAsia="Arial" w:hAnsi="Arial"/>
                <w:sz w:val="15"/>
                <w:szCs w:val="15"/>
                <w:color w:val="auto"/>
                <w:w w:val="96"/>
              </w:rPr>
              <w:t>,</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3"/>
              </w:rPr>
              <w:t>12/22/2022</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w w:val="95"/>
              </w:rPr>
              <w:t>2022, by and among TMC the metals company Inc., Stifel, Nicolaus</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5"/>
                <w:szCs w:val="15"/>
                <w:color w:val="auto"/>
              </w:rPr>
              <w:t>&amp; Company, Incorporated and Wedbush Securities Inc.</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10.32</w:t>
            </w:r>
          </w:p>
        </w:tc>
        <w:tc>
          <w:tcPr>
            <w:tcW w:w="4480" w:type="dxa"/>
            <w:vAlign w:val="bottom"/>
            <w:tcBorders>
              <w:right w:val="single" w:sz="8" w:color="auto"/>
            </w:tcBorders>
            <w:gridSpan w:val="3"/>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w w:val="96"/>
              </w:rPr>
              <w:t>Amendment No. 1 to At-The-Market Distribution Agreement, dated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3"/>
              </w:rPr>
              <w:t>12/21/2023</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color w:val="auto"/>
                <w:w w:val="95"/>
              </w:rPr>
              <w:t>as of December 21, 2023, by and among TMC the metals company</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3"/>
            <w:shd w:val="clear" w:color="auto" w:fill="D2EEF5"/>
          </w:tcPr>
          <w:p>
            <w:pPr>
              <w:ind w:left="180"/>
              <w:spacing w:after="0"/>
              <w:rPr>
                <w:sz w:val="20"/>
                <w:szCs w:val="20"/>
                <w:color w:val="auto"/>
              </w:rPr>
            </w:pPr>
            <w:r>
              <w:rPr>
                <w:rFonts w:ascii="Arial" w:cs="Arial" w:eastAsia="Arial" w:hAnsi="Arial"/>
                <w:sz w:val="15"/>
                <w:szCs w:val="15"/>
                <w:u w:val="single" w:color="auto"/>
                <w:color w:val="auto"/>
              </w:rPr>
              <w:t>Inc., Stifel, Nicolaus &amp; Company, Incorporated and Wedbush</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spacing w:after="0"/>
              <w:rPr>
                <w:sz w:val="15"/>
                <w:szCs w:val="15"/>
                <w:color w:val="auto"/>
              </w:rPr>
            </w:pP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10"/>
        </w:trPr>
        <w:tc>
          <w:tcPr>
            <w:tcW w:w="1020" w:type="dxa"/>
            <w:vAlign w:val="bottom"/>
            <w:tcBorders>
              <w:left w:val="single" w:sz="8" w:color="auto"/>
              <w:bottom w:val="single" w:sz="8" w:color="auto"/>
              <w:right w:val="single" w:sz="8" w:color="auto"/>
            </w:tcBorders>
            <w:shd w:val="clear" w:color="auto" w:fill="D2EEF5"/>
          </w:tcPr>
          <w:p>
            <w:pPr>
              <w:spacing w:after="0"/>
              <w:rPr>
                <w:sz w:val="18"/>
                <w:szCs w:val="18"/>
                <w:color w:val="auto"/>
              </w:rPr>
            </w:pPr>
          </w:p>
        </w:tc>
        <w:tc>
          <w:tcPr>
            <w:tcW w:w="4480" w:type="dxa"/>
            <w:vAlign w:val="bottom"/>
            <w:tcBorders>
              <w:bottom w:val="single" w:sz="8" w:color="auto"/>
              <w:right w:val="single" w:sz="8" w:color="auto"/>
            </w:tcBorders>
            <w:gridSpan w:val="3"/>
            <w:shd w:val="clear" w:color="auto" w:fill="D2EEF5"/>
          </w:tcPr>
          <w:p>
            <w:pPr>
              <w:ind w:left="180"/>
              <w:spacing w:after="0" w:line="170" w:lineRule="exact"/>
              <w:rPr>
                <w:sz w:val="20"/>
                <w:szCs w:val="20"/>
                <w:color w:val="auto"/>
              </w:rPr>
            </w:pPr>
            <w:r>
              <w:rPr>
                <w:rFonts w:ascii="Arial" w:cs="Arial" w:eastAsia="Arial" w:hAnsi="Arial"/>
                <w:sz w:val="15"/>
                <w:szCs w:val="15"/>
                <w:color w:val="auto"/>
              </w:rPr>
              <w:t>Securities Inc.</w:t>
            </w:r>
          </w:p>
        </w:tc>
        <w:tc>
          <w:tcPr>
            <w:tcW w:w="80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720" w:type="dxa"/>
            <w:vAlign w:val="bottom"/>
            <w:tcBorders>
              <w:bottom w:val="single" w:sz="8" w:color="auto"/>
              <w:right w:val="single" w:sz="8" w:color="auto"/>
            </w:tcBorders>
            <w:shd w:val="clear" w:color="auto" w:fill="D2EEF5"/>
          </w:tcPr>
          <w:p>
            <w:pPr>
              <w:spacing w:after="0"/>
              <w:rPr>
                <w:sz w:val="18"/>
                <w:szCs w:val="18"/>
                <w:color w:val="auto"/>
              </w:rPr>
            </w:pPr>
          </w:p>
        </w:tc>
        <w:tc>
          <w:tcPr>
            <w:tcW w:w="108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180" w:type="dxa"/>
            <w:vAlign w:val="bottom"/>
            <w:tcBorders>
              <w:bottom w:val="single" w:sz="8" w:color="auto"/>
              <w:right w:val="single" w:sz="8" w:color="auto"/>
            </w:tcBorders>
            <w:shd w:val="clear" w:color="auto" w:fill="D2EEF5"/>
          </w:tcPr>
          <w:p>
            <w:pPr>
              <w:spacing w:after="0"/>
              <w:rPr>
                <w:sz w:val="18"/>
                <w:szCs w:val="18"/>
                <w:color w:val="auto"/>
              </w:rPr>
            </w:pPr>
          </w:p>
        </w:tc>
      </w:tr>
      <w:tr>
        <w:trPr>
          <w:trHeight w:val="147"/>
        </w:trPr>
        <w:tc>
          <w:tcPr>
            <w:tcW w:w="10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5"/>
                <w:szCs w:val="15"/>
                <w:color w:val="auto"/>
              </w:rPr>
              <w:t>10.33†</w:t>
            </w:r>
          </w:p>
        </w:tc>
        <w:tc>
          <w:tcPr>
            <w:tcW w:w="4480" w:type="dxa"/>
            <w:vAlign w:val="bottom"/>
            <w:tcBorders>
              <w:right w:val="single" w:sz="8" w:color="auto"/>
            </w:tcBorders>
            <w:gridSpan w:val="3"/>
          </w:tcPr>
          <w:p>
            <w:pPr>
              <w:ind w:left="180"/>
              <w:spacing w:after="0" w:line="148" w:lineRule="exact"/>
              <w:rPr>
                <w:sz w:val="20"/>
                <w:szCs w:val="20"/>
                <w:color w:val="auto"/>
              </w:rPr>
            </w:pPr>
            <w:r>
              <w:rPr>
                <w:rFonts w:ascii="Arial" w:cs="Arial" w:eastAsia="Arial" w:hAnsi="Arial"/>
                <w:sz w:val="15"/>
                <w:szCs w:val="15"/>
                <w:u w:val="single" w:color="auto"/>
                <w:color w:val="auto"/>
                <w:w w:val="92"/>
              </w:rPr>
              <w:t>Royalty Agreement, dated February 21, 2023 by and among TMC the</w:t>
            </w:r>
          </w:p>
        </w:tc>
        <w:tc>
          <w:tcPr>
            <w:tcW w:w="8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48" w:lineRule="exact"/>
              <w:rPr>
                <w:sz w:val="20"/>
                <w:szCs w:val="20"/>
                <w:color w:val="auto"/>
              </w:rPr>
            </w:pPr>
            <w:r>
              <w:rPr>
                <w:rFonts w:ascii="Arial" w:cs="Arial" w:eastAsia="Arial" w:hAnsi="Arial"/>
                <w:sz w:val="15"/>
                <w:szCs w:val="15"/>
                <w:color w:val="auto"/>
                <w:w w:val="92"/>
              </w:rPr>
              <w:t>2/22/2023</w:t>
            </w:r>
          </w:p>
        </w:tc>
        <w:tc>
          <w:tcPr>
            <w:tcW w:w="180" w:type="dxa"/>
            <w:vAlign w:val="bottom"/>
          </w:tcPr>
          <w:p>
            <w:pPr>
              <w:spacing w:after="0"/>
              <w:rPr>
                <w:sz w:val="12"/>
                <w:szCs w:val="12"/>
                <w:color w:val="auto"/>
              </w:rPr>
            </w:pPr>
          </w:p>
        </w:tc>
        <w:tc>
          <w:tcPr>
            <w:tcW w:w="11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w w:val="93"/>
              </w:rPr>
              <w:t>metals company Inc., Nauru Ocean Resources Inc. and Low Carbon</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5"/>
                <w:szCs w:val="15"/>
                <w:u w:val="single" w:color="auto"/>
                <w:color w:val="auto"/>
              </w:rPr>
              <w:t>Royalties Inc.</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541"/>
        </w:trPr>
        <w:tc>
          <w:tcPr>
            <w:tcW w:w="1020" w:type="dxa"/>
            <w:vAlign w:val="bottom"/>
          </w:tcPr>
          <w:p>
            <w:pPr>
              <w:spacing w:after="0"/>
              <w:rPr>
                <w:sz w:val="24"/>
                <w:szCs w:val="24"/>
                <w:color w:val="auto"/>
              </w:rPr>
            </w:pPr>
          </w:p>
        </w:tc>
        <w:tc>
          <w:tcPr>
            <w:tcW w:w="4480" w:type="dxa"/>
            <w:vAlign w:val="bottom"/>
            <w:gridSpan w:val="3"/>
          </w:tcPr>
          <w:p>
            <w:pPr>
              <w:jc w:val="right"/>
              <w:ind w:right="60"/>
              <w:spacing w:after="0"/>
              <w:rPr>
                <w:sz w:val="20"/>
                <w:szCs w:val="20"/>
                <w:color w:val="auto"/>
              </w:rPr>
            </w:pPr>
            <w:r>
              <w:rPr>
                <w:rFonts w:ascii="Arial" w:cs="Arial" w:eastAsia="Arial" w:hAnsi="Arial"/>
                <w:sz w:val="15"/>
                <w:szCs w:val="15"/>
                <w:color w:val="auto"/>
              </w:rPr>
              <w:t>162</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-1522730</wp:posOffset>
            </wp:positionV>
            <wp:extent cx="216154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
                      <a:extLst>
                        <a:ext uri="{28A0092B-C50C-407E-A947-70E740481C1C}"/>
                      </a:extLst>
                    </a:blip>
                    <a:srcRect/>
                    <a:stretch>
                      <a:fillRect/>
                    </a:stretch>
                  </pic:blipFill>
                  <pic:spPr bwMode="auto">
                    <a:xfrm>
                      <a:off x="0" y="0"/>
                      <a:ext cx="2161540" cy="3238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-1282700</wp:posOffset>
            </wp:positionV>
            <wp:extent cx="2624455"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5">
                      <a:extLst>
                        <a:ext uri="{28A0092B-C50C-407E-A947-70E740481C1C}"/>
                      </a:extLst>
                    </a:blip>
                    <a:srcRect/>
                    <a:stretch>
                      <a:fillRect/>
                    </a:stretch>
                  </pic:blipFill>
                  <pic:spPr bwMode="auto">
                    <a:xfrm>
                      <a:off x="0" y="0"/>
                      <a:ext cx="2624455" cy="32385"/>
                    </a:xfrm>
                    <a:prstGeom prst="rect">
                      <a:avLst/>
                    </a:prstGeom>
                    <a:noFill/>
                  </pic:spPr>
                </pic:pic>
              </a:graphicData>
            </a:graphic>
          </wp:anchor>
        </w:drawing>
      </w:r>
    </w:p>
    <w:p>
      <w:pPr>
        <w:sectPr>
          <w:pgSz w:w="13680" w:h="17280" w:orient="portrait"/>
          <w:cols w:equalWidth="0" w:num="1">
            <w:col w:w="10800"/>
          </w:cols>
          <w:pgMar w:left="1440" w:top="1440" w:right="1440"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9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10.34†</w:t>
            </w:r>
          </w:p>
        </w:tc>
        <w:tc>
          <w:tcPr>
            <w:tcW w:w="180" w:type="dxa"/>
            <w:vAlign w:val="bottom"/>
            <w:tcBorders>
              <w:top w:val="single" w:sz="8" w:color="auto"/>
            </w:tcBorders>
            <w:shd w:val="clear" w:color="auto" w:fill="D2EEF5"/>
          </w:tcPr>
          <w:p>
            <w:pPr>
              <w:spacing w:after="0"/>
              <w:rPr>
                <w:sz w:val="15"/>
                <w:szCs w:val="15"/>
                <w:color w:val="auto"/>
              </w:rPr>
            </w:pPr>
          </w:p>
        </w:tc>
        <w:tc>
          <w:tcPr>
            <w:tcW w:w="4300" w:type="dxa"/>
            <w:vAlign w:val="bottom"/>
            <w:tcBorders>
              <w:top w:val="single" w:sz="8" w:color="auto"/>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w w:val="95"/>
              </w:rPr>
              <w:t>Investor Rights Agreement dated February 21, 2023 by and amon</w:t>
            </w:r>
            <w:r>
              <w:rPr>
                <w:rFonts w:ascii="Arial" w:cs="Arial" w:eastAsia="Arial" w:hAnsi="Arial"/>
                <w:sz w:val="15"/>
                <w:szCs w:val="15"/>
                <w:color w:val="auto"/>
                <w:w w:val="95"/>
              </w:rPr>
              <w:t>g</w:t>
            </w:r>
          </w:p>
        </w:tc>
        <w:tc>
          <w:tcPr>
            <w:tcW w:w="800" w:type="dxa"/>
            <w:vAlign w:val="bottom"/>
            <w:tcBorders>
              <w:top w:val="single" w:sz="8" w:color="auto"/>
              <w:right w:val="single" w:sz="8" w:color="auto"/>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spacing w:after="0"/>
              <w:rPr>
                <w:sz w:val="15"/>
                <w:szCs w:val="15"/>
                <w:color w:val="auto"/>
              </w:rPr>
            </w:pPr>
          </w:p>
        </w:tc>
        <w:tc>
          <w:tcPr>
            <w:tcW w:w="1720" w:type="dxa"/>
            <w:vAlign w:val="bottom"/>
            <w:tcBorders>
              <w:top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5"/>
              </w:rPr>
              <w:t>Form 8-K</w:t>
            </w:r>
          </w:p>
        </w:tc>
        <w:tc>
          <w:tcPr>
            <w:tcW w:w="1080" w:type="dxa"/>
            <w:vAlign w:val="bottom"/>
            <w:tcBorders>
              <w:top w:val="single" w:sz="8" w:color="auto"/>
              <w:right w:val="single" w:sz="8" w:color="auto"/>
            </w:tcBorders>
            <w:shd w:val="clear" w:color="auto" w:fill="D2EEF5"/>
          </w:tcPr>
          <w:p>
            <w:pPr>
              <w:jc w:val="center"/>
              <w:ind w:left="24"/>
              <w:spacing w:after="0"/>
              <w:rPr>
                <w:sz w:val="20"/>
                <w:szCs w:val="20"/>
                <w:color w:val="auto"/>
              </w:rPr>
            </w:pPr>
            <w:r>
              <w:rPr>
                <w:rFonts w:ascii="Arial" w:cs="Arial" w:eastAsia="Arial" w:hAnsi="Arial"/>
                <w:sz w:val="15"/>
                <w:szCs w:val="15"/>
                <w:color w:val="auto"/>
                <w:w w:val="92"/>
              </w:rPr>
              <w:t>2/22/2023</w:t>
            </w:r>
          </w:p>
        </w:tc>
        <w:tc>
          <w:tcPr>
            <w:tcW w:w="18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right w:val="single" w:sz="8" w:color="auto"/>
            </w:tcBorders>
            <w:shd w:val="clear" w:color="auto" w:fill="D2EEF5"/>
          </w:tcPr>
          <w:p>
            <w:pPr>
              <w:jc w:val="right"/>
              <w:ind w:right="184"/>
              <w:spacing w:after="0"/>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4300" w:type="dxa"/>
            <w:vAlign w:val="bottom"/>
            <w:tcBorders>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w w:val="96"/>
              </w:rPr>
              <w:t>TMC the metals company Inc., Brian Paes-Braga and Low Carbon</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10.2)</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4300" w:type="dxa"/>
            <w:vAlign w:val="bottom"/>
            <w:tcBorders>
              <w:bottom w:val="single" w:sz="8" w:color="auto"/>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rPr>
              <w:t>Royalties Inc.</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10.35†</w:t>
            </w:r>
          </w:p>
        </w:tc>
        <w:tc>
          <w:tcPr>
            <w:tcW w:w="180" w:type="dxa"/>
            <w:vAlign w:val="bottom"/>
          </w:tcPr>
          <w:p>
            <w:pPr>
              <w:spacing w:after="0"/>
              <w:rPr>
                <w:sz w:val="13"/>
                <w:szCs w:val="13"/>
                <w:color w:val="auto"/>
              </w:rPr>
            </w:pPr>
          </w:p>
        </w:tc>
        <w:tc>
          <w:tcPr>
            <w:tcW w:w="4300" w:type="dxa"/>
            <w:vAlign w:val="bottom"/>
            <w:tcBorders>
              <w:right w:val="single" w:sz="8" w:color="auto"/>
            </w:tcBorders>
            <w:gridSpan w:val="6"/>
          </w:tcPr>
          <w:p>
            <w:pPr>
              <w:spacing w:after="0" w:line="154" w:lineRule="exact"/>
              <w:rPr>
                <w:sz w:val="20"/>
                <w:szCs w:val="20"/>
                <w:color w:val="auto"/>
              </w:rPr>
            </w:pPr>
            <w:r>
              <w:rPr>
                <w:rFonts w:ascii="Arial" w:cs="Arial" w:eastAsia="Arial" w:hAnsi="Arial"/>
                <w:sz w:val="15"/>
                <w:szCs w:val="15"/>
                <w:u w:val="single" w:color="auto"/>
                <w:color w:val="auto"/>
                <w:w w:val="97"/>
              </w:rPr>
              <w:t>Unsecured Credit Facility, dated March 22, 2023, by and between</w:t>
            </w:r>
          </w:p>
        </w:tc>
        <w:tc>
          <w:tcPr>
            <w:tcW w:w="8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5"/>
              </w:rPr>
              <w:t>Form 10-K</w:t>
            </w:r>
          </w:p>
        </w:tc>
        <w:tc>
          <w:tcPr>
            <w:tcW w:w="1080" w:type="dxa"/>
            <w:vAlign w:val="bottom"/>
            <w:tcBorders>
              <w:right w:val="single" w:sz="8" w:color="auto"/>
            </w:tcBorders>
          </w:tcPr>
          <w:p>
            <w:pPr>
              <w:jc w:val="center"/>
              <w:ind w:left="24"/>
              <w:spacing w:after="0" w:line="154" w:lineRule="exact"/>
              <w:rPr>
                <w:sz w:val="20"/>
                <w:szCs w:val="20"/>
                <w:color w:val="auto"/>
              </w:rPr>
            </w:pPr>
            <w:r>
              <w:rPr>
                <w:rFonts w:ascii="Arial" w:cs="Arial" w:eastAsia="Arial" w:hAnsi="Arial"/>
                <w:sz w:val="15"/>
                <w:szCs w:val="15"/>
                <w:color w:val="auto"/>
                <w:w w:val="92"/>
              </w:rPr>
              <w:t>3/27/2023</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right"/>
              <w:ind w:right="184"/>
              <w:spacing w:after="0" w:line="154" w:lineRule="exact"/>
              <w:rPr>
                <w:sz w:val="20"/>
                <w:szCs w:val="20"/>
                <w:color w:val="auto"/>
              </w:rPr>
            </w:pPr>
            <w:r>
              <w:rPr>
                <w:rFonts w:ascii="Arial" w:cs="Arial" w:eastAsia="Arial" w:hAnsi="Arial"/>
                <w:sz w:val="15"/>
                <w:szCs w:val="15"/>
                <w:color w:val="auto"/>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rPr>
              <w:t>TMC the metals company Inc. and Argentum Cedit Virtuti GCV</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10.31)</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3" w:lineRule="exact"/>
              <w:rPr>
                <w:sz w:val="20"/>
                <w:szCs w:val="20"/>
                <w:color w:val="auto"/>
              </w:rPr>
            </w:pPr>
            <w:r>
              <w:rPr>
                <w:rFonts w:ascii="Arial" w:cs="Arial" w:eastAsia="Arial" w:hAnsi="Arial"/>
                <w:sz w:val="15"/>
                <w:szCs w:val="15"/>
                <w:color w:val="auto"/>
              </w:rPr>
              <w:t>10.36</w:t>
            </w:r>
          </w:p>
        </w:tc>
        <w:tc>
          <w:tcPr>
            <w:tcW w:w="180" w:type="dxa"/>
            <w:vAlign w:val="bottom"/>
            <w:shd w:val="clear" w:color="auto" w:fill="D2EEF5"/>
          </w:tcPr>
          <w:p>
            <w:pPr>
              <w:spacing w:after="0"/>
              <w:rPr>
                <w:sz w:val="13"/>
                <w:szCs w:val="13"/>
                <w:color w:val="auto"/>
              </w:rPr>
            </w:pPr>
          </w:p>
        </w:tc>
        <w:tc>
          <w:tcPr>
            <w:tcW w:w="4300" w:type="dxa"/>
            <w:vAlign w:val="bottom"/>
            <w:tcBorders>
              <w:right w:val="single" w:sz="8" w:color="auto"/>
            </w:tcBorders>
            <w:gridSpan w:val="6"/>
            <w:shd w:val="clear" w:color="auto" w:fill="D2EEF5"/>
          </w:tcPr>
          <w:p>
            <w:pPr>
              <w:spacing w:after="0" w:line="153" w:lineRule="exact"/>
              <w:rPr>
                <w:sz w:val="20"/>
                <w:szCs w:val="20"/>
                <w:color w:val="auto"/>
              </w:rPr>
            </w:pPr>
            <w:r>
              <w:rPr>
                <w:rFonts w:ascii="Arial" w:cs="Arial" w:eastAsia="Arial" w:hAnsi="Arial"/>
                <w:sz w:val="15"/>
                <w:szCs w:val="15"/>
                <w:u w:val="single" w:color="auto"/>
                <w:color w:val="auto"/>
                <w:w w:val="93"/>
              </w:rPr>
              <w:t>Amendment to the Unsecured Credit Facility, dated July 31, 2023, by</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3" w:lineRule="exact"/>
              <w:rPr>
                <w:sz w:val="20"/>
                <w:szCs w:val="20"/>
                <w:color w:val="auto"/>
              </w:rPr>
            </w:pPr>
            <w:r>
              <w:rPr>
                <w:rFonts w:ascii="Arial" w:cs="Arial" w:eastAsia="Arial" w:hAnsi="Arial"/>
                <w:sz w:val="15"/>
                <w:szCs w:val="15"/>
                <w:color w:val="auto"/>
                <w:w w:val="92"/>
              </w:rPr>
              <w:t>8/1/2023</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right"/>
              <w:ind w:right="184"/>
              <w:spacing w:after="0" w:line="153" w:lineRule="exact"/>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4300" w:type="dxa"/>
            <w:vAlign w:val="bottom"/>
            <w:tcBorders>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w w:val="99"/>
              </w:rPr>
              <w:t>and between TMC the metals company Inc. and Argentum Cedit</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10.2)</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30"/>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4300" w:type="dxa"/>
            <w:vAlign w:val="bottom"/>
            <w:tcBorders>
              <w:bottom w:val="single" w:sz="8" w:color="auto"/>
              <w:right w:val="single" w:sz="8" w:color="auto"/>
            </w:tcBorders>
            <w:gridSpan w:val="6"/>
            <w:shd w:val="clear" w:color="auto" w:fill="D2EEF5"/>
          </w:tcPr>
          <w:p>
            <w:pPr>
              <w:spacing w:after="0" w:line="170" w:lineRule="exact"/>
              <w:rPr>
                <w:sz w:val="20"/>
                <w:szCs w:val="20"/>
                <w:color w:val="auto"/>
              </w:rPr>
            </w:pPr>
            <w:r>
              <w:rPr>
                <w:rFonts w:ascii="Arial" w:cs="Arial" w:eastAsia="Arial" w:hAnsi="Arial"/>
                <w:sz w:val="15"/>
                <w:szCs w:val="15"/>
                <w:color w:val="auto"/>
              </w:rPr>
              <w:t>Virtuti GCV</w:t>
            </w: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spacing w:after="0"/>
              <w:rPr>
                <w:sz w:val="19"/>
                <w:szCs w:val="19"/>
                <w:color w:val="auto"/>
              </w:rPr>
            </w:pP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27"/>
        </w:trPr>
        <w:tc>
          <w:tcPr>
            <w:tcW w:w="1020" w:type="dxa"/>
            <w:vAlign w:val="bottom"/>
            <w:tcBorders>
              <w:left w:val="single" w:sz="8" w:color="auto"/>
              <w:right w:val="single" w:sz="8" w:color="auto"/>
            </w:tcBorders>
          </w:tcPr>
          <w:p>
            <w:pPr>
              <w:ind w:left="20"/>
              <w:spacing w:after="0" w:line="127" w:lineRule="exact"/>
              <w:rPr>
                <w:sz w:val="20"/>
                <w:szCs w:val="20"/>
                <w:color w:val="auto"/>
              </w:rPr>
            </w:pPr>
            <w:r>
              <w:rPr>
                <w:rFonts w:ascii="Arial" w:cs="Arial" w:eastAsia="Arial" w:hAnsi="Arial"/>
                <w:sz w:val="14"/>
                <w:szCs w:val="14"/>
                <w:color w:val="auto"/>
              </w:rPr>
              <w:t>10.37</w:t>
            </w:r>
          </w:p>
        </w:tc>
        <w:tc>
          <w:tcPr>
            <w:tcW w:w="180" w:type="dxa"/>
            <w:vAlign w:val="bottom"/>
          </w:tcPr>
          <w:p>
            <w:pPr>
              <w:spacing w:after="0"/>
              <w:rPr>
                <w:sz w:val="11"/>
                <w:szCs w:val="11"/>
                <w:color w:val="auto"/>
              </w:rPr>
            </w:pPr>
          </w:p>
        </w:tc>
        <w:tc>
          <w:tcPr>
            <w:tcW w:w="4300" w:type="dxa"/>
            <w:vAlign w:val="bottom"/>
            <w:tcBorders>
              <w:right w:val="single" w:sz="8" w:color="auto"/>
            </w:tcBorders>
            <w:gridSpan w:val="6"/>
          </w:tcPr>
          <w:p>
            <w:pPr>
              <w:spacing w:after="0" w:line="127" w:lineRule="exact"/>
              <w:rPr>
                <w:sz w:val="20"/>
                <w:szCs w:val="20"/>
                <w:color w:val="auto"/>
              </w:rPr>
            </w:pPr>
            <w:r>
              <w:rPr>
                <w:rFonts w:ascii="Arial" w:cs="Arial" w:eastAsia="Arial" w:hAnsi="Arial"/>
                <w:sz w:val="14"/>
                <w:szCs w:val="14"/>
                <w:u w:val="single" w:color="auto"/>
                <w:color w:val="auto"/>
              </w:rPr>
              <w:t>Second Amendment to the Unsecured Credit Facility, dated March</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Form 10-K (Exhibit 10.33)</w:t>
            </w:r>
          </w:p>
        </w:tc>
        <w:tc>
          <w:tcPr>
            <w:tcW w:w="1080" w:type="dxa"/>
            <w:vAlign w:val="bottom"/>
            <w:tcBorders>
              <w:right w:val="single" w:sz="8" w:color="auto"/>
            </w:tcBorders>
          </w:tcPr>
          <w:p>
            <w:pPr>
              <w:jc w:val="center"/>
              <w:ind w:left="24"/>
              <w:spacing w:after="0" w:line="127" w:lineRule="exact"/>
              <w:rPr>
                <w:sz w:val="20"/>
                <w:szCs w:val="20"/>
                <w:color w:val="auto"/>
              </w:rPr>
            </w:pPr>
            <w:r>
              <w:rPr>
                <w:rFonts w:ascii="Arial" w:cs="Arial" w:eastAsia="Arial" w:hAnsi="Arial"/>
                <w:sz w:val="14"/>
                <w:szCs w:val="14"/>
                <w:color w:val="auto"/>
                <w:w w:val="99"/>
              </w:rPr>
              <w:t>3/25/2024</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right"/>
              <w:ind w:right="184"/>
              <w:spacing w:after="0" w:line="127" w:lineRule="exact"/>
              <w:rPr>
                <w:sz w:val="20"/>
                <w:szCs w:val="20"/>
                <w:color w:val="auto"/>
              </w:rPr>
            </w:pPr>
            <w:r>
              <w:rPr>
                <w:rFonts w:ascii="Arial" w:cs="Arial" w:eastAsia="Arial" w:hAnsi="Arial"/>
                <w:sz w:val="14"/>
                <w:szCs w:val="14"/>
                <w:color w:val="auto"/>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6"/>
          </w:tcPr>
          <w:p>
            <w:pPr>
              <w:spacing w:after="0"/>
              <w:rPr>
                <w:sz w:val="20"/>
                <w:szCs w:val="20"/>
                <w:color w:val="auto"/>
              </w:rPr>
            </w:pPr>
            <w:r>
              <w:rPr>
                <w:rFonts w:ascii="Arial" w:cs="Arial" w:eastAsia="Arial" w:hAnsi="Arial"/>
                <w:sz w:val="15"/>
                <w:szCs w:val="15"/>
                <w:u w:val="single" w:color="auto"/>
                <w:color w:val="auto"/>
              </w:rPr>
              <w:t>22, 2024, by and between TMC the metals company Inc. and</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rPr>
              <w:t>Argentum Cedit Virtuti GCV</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10.38†</w:t>
            </w:r>
          </w:p>
        </w:tc>
        <w:tc>
          <w:tcPr>
            <w:tcW w:w="180" w:type="dxa"/>
            <w:vAlign w:val="bottom"/>
            <w:shd w:val="clear" w:color="auto" w:fill="D2EEF5"/>
          </w:tcPr>
          <w:p>
            <w:pPr>
              <w:spacing w:after="0"/>
              <w:rPr>
                <w:sz w:val="13"/>
                <w:szCs w:val="13"/>
                <w:color w:val="auto"/>
              </w:rPr>
            </w:pPr>
          </w:p>
        </w:tc>
        <w:tc>
          <w:tcPr>
            <w:tcW w:w="4300" w:type="dxa"/>
            <w:vAlign w:val="bottom"/>
            <w:tcBorders>
              <w:right w:val="single" w:sz="8" w:color="auto"/>
            </w:tcBorders>
            <w:gridSpan w:val="6"/>
            <w:shd w:val="clear" w:color="auto" w:fill="D2EEF5"/>
          </w:tcPr>
          <w:p>
            <w:pPr>
              <w:spacing w:after="0" w:line="154" w:lineRule="exact"/>
              <w:rPr>
                <w:sz w:val="20"/>
                <w:szCs w:val="20"/>
                <w:color w:val="auto"/>
              </w:rPr>
            </w:pPr>
            <w:r>
              <w:rPr>
                <w:rFonts w:ascii="Arial" w:cs="Arial" w:eastAsia="Arial" w:hAnsi="Arial"/>
                <w:sz w:val="15"/>
                <w:szCs w:val="15"/>
                <w:u w:val="single" w:color="auto"/>
                <w:color w:val="auto"/>
                <w:w w:val="93"/>
              </w:rPr>
              <w:t>Third Amendment to the Unsecured Credit Facility, dated August 16</w:t>
            </w:r>
            <w:r>
              <w:rPr>
                <w:rFonts w:ascii="Arial" w:cs="Arial" w:eastAsia="Arial" w:hAnsi="Arial"/>
                <w:sz w:val="15"/>
                <w:szCs w:val="15"/>
                <w:color w:val="auto"/>
                <w:w w:val="93"/>
              </w:rPr>
              <w:t>,</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8/16/2024</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right"/>
              <w:ind w:right="184"/>
              <w:spacing w:after="0" w:line="154" w:lineRule="exact"/>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4300" w:type="dxa"/>
            <w:vAlign w:val="bottom"/>
            <w:tcBorders>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w w:val="92"/>
              </w:rPr>
              <w:t>2024, by and between TMC the metals company Inc. Argentum Cedit</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10"/>
        </w:trPr>
        <w:tc>
          <w:tcPr>
            <w:tcW w:w="1020" w:type="dxa"/>
            <w:vAlign w:val="bottom"/>
            <w:tcBorders>
              <w:left w:val="single" w:sz="8" w:color="auto"/>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4300" w:type="dxa"/>
            <w:vAlign w:val="bottom"/>
            <w:tcBorders>
              <w:bottom w:val="single" w:sz="8" w:color="auto"/>
              <w:right w:val="single" w:sz="8" w:color="auto"/>
            </w:tcBorders>
            <w:gridSpan w:val="6"/>
            <w:shd w:val="clear" w:color="auto" w:fill="D2EEF5"/>
          </w:tcPr>
          <w:p>
            <w:pPr>
              <w:spacing w:after="0" w:line="170" w:lineRule="exact"/>
              <w:rPr>
                <w:sz w:val="20"/>
                <w:szCs w:val="20"/>
                <w:color w:val="auto"/>
              </w:rPr>
            </w:pPr>
            <w:r>
              <w:rPr>
                <w:rFonts w:ascii="Arial" w:cs="Arial" w:eastAsia="Arial" w:hAnsi="Arial"/>
                <w:sz w:val="15"/>
                <w:szCs w:val="15"/>
                <w:color w:val="auto"/>
              </w:rPr>
              <w:t>Virtuti GCV</w:t>
            </w:r>
          </w:p>
        </w:tc>
        <w:tc>
          <w:tcPr>
            <w:tcW w:w="80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720" w:type="dxa"/>
            <w:vAlign w:val="bottom"/>
            <w:tcBorders>
              <w:bottom w:val="single" w:sz="8" w:color="auto"/>
              <w:right w:val="single" w:sz="8" w:color="auto"/>
            </w:tcBorders>
            <w:shd w:val="clear" w:color="auto" w:fill="D2EEF5"/>
          </w:tcPr>
          <w:p>
            <w:pPr>
              <w:spacing w:after="0"/>
              <w:rPr>
                <w:sz w:val="18"/>
                <w:szCs w:val="18"/>
                <w:color w:val="auto"/>
              </w:rPr>
            </w:pPr>
          </w:p>
        </w:tc>
        <w:tc>
          <w:tcPr>
            <w:tcW w:w="108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180" w:type="dxa"/>
            <w:vAlign w:val="bottom"/>
            <w:tcBorders>
              <w:bottom w:val="single" w:sz="8" w:color="auto"/>
              <w:right w:val="single" w:sz="8" w:color="auto"/>
            </w:tcBorders>
            <w:shd w:val="clear" w:color="auto" w:fill="D2EEF5"/>
          </w:tcPr>
          <w:p>
            <w:pPr>
              <w:spacing w:after="0"/>
              <w:rPr>
                <w:sz w:val="18"/>
                <w:szCs w:val="18"/>
                <w:color w:val="auto"/>
              </w:rPr>
            </w:pPr>
          </w:p>
        </w:tc>
      </w:tr>
      <w:tr>
        <w:trPr>
          <w:trHeight w:val="147"/>
        </w:trPr>
        <w:tc>
          <w:tcPr>
            <w:tcW w:w="10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5"/>
                <w:szCs w:val="15"/>
                <w:color w:val="auto"/>
              </w:rPr>
              <w:t>10.39†</w:t>
            </w:r>
          </w:p>
        </w:tc>
        <w:tc>
          <w:tcPr>
            <w:tcW w:w="180" w:type="dxa"/>
            <w:vAlign w:val="bottom"/>
          </w:tcPr>
          <w:p>
            <w:pPr>
              <w:spacing w:after="0"/>
              <w:rPr>
                <w:sz w:val="12"/>
                <w:szCs w:val="12"/>
                <w:color w:val="auto"/>
              </w:rPr>
            </w:pPr>
          </w:p>
        </w:tc>
        <w:tc>
          <w:tcPr>
            <w:tcW w:w="4300" w:type="dxa"/>
            <w:vAlign w:val="bottom"/>
            <w:tcBorders>
              <w:right w:val="single" w:sz="8" w:color="auto"/>
            </w:tcBorders>
            <w:gridSpan w:val="6"/>
          </w:tcPr>
          <w:p>
            <w:pPr>
              <w:spacing w:after="0" w:line="148" w:lineRule="exact"/>
              <w:rPr>
                <w:sz w:val="20"/>
                <w:szCs w:val="20"/>
                <w:color w:val="auto"/>
              </w:rPr>
            </w:pPr>
            <w:r>
              <w:rPr>
                <w:rFonts w:ascii="Arial" w:cs="Arial" w:eastAsia="Arial" w:hAnsi="Arial"/>
                <w:sz w:val="15"/>
                <w:szCs w:val="15"/>
                <w:u w:val="single" w:color="auto"/>
                <w:color w:val="auto"/>
                <w:w w:val="94"/>
              </w:rPr>
              <w:t>Working Capital Loan Agreement, dated September 9, 2024, by and</w:t>
            </w:r>
          </w:p>
        </w:tc>
        <w:tc>
          <w:tcPr>
            <w:tcW w:w="8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tcPr>
          <w:p>
            <w:pPr>
              <w:jc w:val="center"/>
              <w:ind w:left="24"/>
              <w:spacing w:after="0" w:line="148" w:lineRule="exact"/>
              <w:rPr>
                <w:sz w:val="20"/>
                <w:szCs w:val="20"/>
                <w:color w:val="auto"/>
              </w:rPr>
            </w:pPr>
            <w:r>
              <w:rPr>
                <w:rFonts w:ascii="Arial" w:cs="Arial" w:eastAsia="Arial" w:hAnsi="Arial"/>
                <w:sz w:val="15"/>
                <w:szCs w:val="15"/>
                <w:color w:val="auto"/>
                <w:w w:val="92"/>
              </w:rPr>
              <w:t>9/12/2024</w:t>
            </w:r>
          </w:p>
        </w:tc>
        <w:tc>
          <w:tcPr>
            <w:tcW w:w="180" w:type="dxa"/>
            <w:vAlign w:val="bottom"/>
          </w:tcPr>
          <w:p>
            <w:pPr>
              <w:spacing w:after="0"/>
              <w:rPr>
                <w:sz w:val="12"/>
                <w:szCs w:val="12"/>
                <w:color w:val="auto"/>
              </w:rPr>
            </w:pPr>
          </w:p>
        </w:tc>
        <w:tc>
          <w:tcPr>
            <w:tcW w:w="1180" w:type="dxa"/>
            <w:vAlign w:val="bottom"/>
            <w:tcBorders>
              <w:right w:val="single" w:sz="8" w:color="auto"/>
            </w:tcBorders>
          </w:tcPr>
          <w:p>
            <w:pPr>
              <w:jc w:val="right"/>
              <w:ind w:right="184"/>
              <w:spacing w:after="0" w:line="148" w:lineRule="exact"/>
              <w:rPr>
                <w:sz w:val="20"/>
                <w:szCs w:val="20"/>
                <w:color w:val="auto"/>
              </w:rPr>
            </w:pPr>
            <w:r>
              <w:rPr>
                <w:rFonts w:ascii="Arial" w:cs="Arial" w:eastAsia="Arial" w:hAnsi="Arial"/>
                <w:sz w:val="15"/>
                <w:szCs w:val="15"/>
                <w:color w:val="auto"/>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w w:val="94"/>
              </w:rPr>
              <w:t>between TMC the metals company Inc. and Allseas Investments SA</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3" w:lineRule="exact"/>
              <w:rPr>
                <w:sz w:val="20"/>
                <w:szCs w:val="20"/>
                <w:color w:val="auto"/>
              </w:rPr>
            </w:pPr>
            <w:r>
              <w:rPr>
                <w:rFonts w:ascii="Arial" w:cs="Arial" w:eastAsia="Arial" w:hAnsi="Arial"/>
                <w:sz w:val="15"/>
                <w:szCs w:val="15"/>
                <w:color w:val="auto"/>
              </w:rPr>
              <w:t>10.40†</w:t>
            </w:r>
          </w:p>
        </w:tc>
        <w:tc>
          <w:tcPr>
            <w:tcW w:w="180" w:type="dxa"/>
            <w:vAlign w:val="bottom"/>
            <w:shd w:val="clear" w:color="auto" w:fill="D2EEF5"/>
          </w:tcPr>
          <w:p>
            <w:pPr>
              <w:spacing w:after="0"/>
              <w:rPr>
                <w:sz w:val="13"/>
                <w:szCs w:val="13"/>
                <w:color w:val="auto"/>
              </w:rPr>
            </w:pPr>
          </w:p>
        </w:tc>
        <w:tc>
          <w:tcPr>
            <w:tcW w:w="4300" w:type="dxa"/>
            <w:vAlign w:val="bottom"/>
            <w:tcBorders>
              <w:right w:val="single" w:sz="8" w:color="auto"/>
            </w:tcBorders>
            <w:gridSpan w:val="6"/>
            <w:shd w:val="clear" w:color="auto" w:fill="D2EEF5"/>
          </w:tcPr>
          <w:p>
            <w:pPr>
              <w:spacing w:after="0" w:line="153" w:lineRule="exact"/>
              <w:rPr>
                <w:sz w:val="20"/>
                <w:szCs w:val="20"/>
                <w:color w:val="auto"/>
              </w:rPr>
            </w:pPr>
            <w:r>
              <w:rPr>
                <w:rFonts w:ascii="Arial" w:cs="Arial" w:eastAsia="Arial" w:hAnsi="Arial"/>
                <w:sz w:val="15"/>
                <w:szCs w:val="15"/>
                <w:u w:val="single" w:color="auto"/>
                <w:color w:val="auto"/>
                <w:w w:val="99"/>
              </w:rPr>
              <w:t>First Amendment to the Working Capital Loan Agreement, dated</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3" w:lineRule="exact"/>
              <w:rPr>
                <w:sz w:val="20"/>
                <w:szCs w:val="20"/>
                <w:color w:val="auto"/>
              </w:rPr>
            </w:pPr>
            <w:r>
              <w:rPr>
                <w:rFonts w:ascii="Arial" w:cs="Arial" w:eastAsia="Arial" w:hAnsi="Arial"/>
                <w:sz w:val="15"/>
                <w:szCs w:val="15"/>
                <w:color w:val="auto"/>
                <w:w w:val="95"/>
              </w:rPr>
              <w:t>Form 8-K</w:t>
            </w:r>
          </w:p>
        </w:tc>
        <w:tc>
          <w:tcPr>
            <w:tcW w:w="1080" w:type="dxa"/>
            <w:vAlign w:val="bottom"/>
            <w:tcBorders>
              <w:right w:val="single" w:sz="8" w:color="auto"/>
            </w:tcBorders>
            <w:shd w:val="clear" w:color="auto" w:fill="D2EEF5"/>
          </w:tcPr>
          <w:p>
            <w:pPr>
              <w:jc w:val="center"/>
              <w:ind w:left="24"/>
              <w:spacing w:after="0" w:line="153" w:lineRule="exact"/>
              <w:rPr>
                <w:sz w:val="20"/>
                <w:szCs w:val="20"/>
                <w:color w:val="auto"/>
              </w:rPr>
            </w:pPr>
            <w:r>
              <w:rPr>
                <w:rFonts w:ascii="Arial" w:cs="Arial" w:eastAsia="Arial" w:hAnsi="Arial"/>
                <w:sz w:val="15"/>
                <w:szCs w:val="15"/>
                <w:color w:val="auto"/>
                <w:w w:val="93"/>
              </w:rPr>
              <w:t>10/24/2024</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right"/>
              <w:ind w:right="184"/>
              <w:spacing w:after="0" w:line="153" w:lineRule="exact"/>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4300" w:type="dxa"/>
            <w:vAlign w:val="bottom"/>
            <w:tcBorders>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rPr>
              <w:t>October 18, 2024, by and between the Company and Allseas</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10.1)</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10"/>
        </w:trPr>
        <w:tc>
          <w:tcPr>
            <w:tcW w:w="1020" w:type="dxa"/>
            <w:vAlign w:val="bottom"/>
            <w:tcBorders>
              <w:left w:val="single" w:sz="8" w:color="auto"/>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4300" w:type="dxa"/>
            <w:vAlign w:val="bottom"/>
            <w:tcBorders>
              <w:bottom w:val="single" w:sz="8" w:color="auto"/>
              <w:right w:val="single" w:sz="8" w:color="auto"/>
            </w:tcBorders>
            <w:gridSpan w:val="6"/>
            <w:shd w:val="clear" w:color="auto" w:fill="D2EEF5"/>
          </w:tcPr>
          <w:p>
            <w:pPr>
              <w:spacing w:after="0" w:line="170" w:lineRule="exact"/>
              <w:rPr>
                <w:sz w:val="20"/>
                <w:szCs w:val="20"/>
                <w:color w:val="auto"/>
              </w:rPr>
            </w:pPr>
            <w:r>
              <w:rPr>
                <w:rFonts w:ascii="Arial" w:cs="Arial" w:eastAsia="Arial" w:hAnsi="Arial"/>
                <w:sz w:val="15"/>
                <w:szCs w:val="15"/>
                <w:color w:val="auto"/>
              </w:rPr>
              <w:t>Investments SA</w:t>
            </w:r>
          </w:p>
        </w:tc>
        <w:tc>
          <w:tcPr>
            <w:tcW w:w="80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720" w:type="dxa"/>
            <w:vAlign w:val="bottom"/>
            <w:tcBorders>
              <w:bottom w:val="single" w:sz="8" w:color="auto"/>
              <w:right w:val="single" w:sz="8" w:color="auto"/>
            </w:tcBorders>
            <w:shd w:val="clear" w:color="auto" w:fill="D2EEF5"/>
          </w:tcPr>
          <w:p>
            <w:pPr>
              <w:spacing w:after="0"/>
              <w:rPr>
                <w:sz w:val="18"/>
                <w:szCs w:val="18"/>
                <w:color w:val="auto"/>
              </w:rPr>
            </w:pPr>
          </w:p>
        </w:tc>
        <w:tc>
          <w:tcPr>
            <w:tcW w:w="108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180" w:type="dxa"/>
            <w:vAlign w:val="bottom"/>
            <w:tcBorders>
              <w:bottom w:val="single" w:sz="8" w:color="auto"/>
              <w:right w:val="single" w:sz="8" w:color="auto"/>
            </w:tcBorders>
            <w:shd w:val="clear" w:color="auto" w:fill="D2EEF5"/>
          </w:tcPr>
          <w:p>
            <w:pPr>
              <w:spacing w:after="0"/>
              <w:rPr>
                <w:sz w:val="18"/>
                <w:szCs w:val="18"/>
                <w:color w:val="auto"/>
              </w:rPr>
            </w:pPr>
          </w:p>
        </w:tc>
      </w:tr>
      <w:tr>
        <w:trPr>
          <w:trHeight w:val="147"/>
        </w:trPr>
        <w:tc>
          <w:tcPr>
            <w:tcW w:w="10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5"/>
                <w:szCs w:val="15"/>
                <w:color w:val="auto"/>
              </w:rPr>
              <w:t>10.41</w:t>
            </w:r>
          </w:p>
        </w:tc>
        <w:tc>
          <w:tcPr>
            <w:tcW w:w="180" w:type="dxa"/>
            <w:vAlign w:val="bottom"/>
          </w:tcPr>
          <w:p>
            <w:pPr>
              <w:spacing w:after="0"/>
              <w:rPr>
                <w:sz w:val="12"/>
                <w:szCs w:val="12"/>
                <w:color w:val="auto"/>
              </w:rPr>
            </w:pPr>
          </w:p>
        </w:tc>
        <w:tc>
          <w:tcPr>
            <w:tcW w:w="4300" w:type="dxa"/>
            <w:vAlign w:val="bottom"/>
            <w:tcBorders>
              <w:right w:val="single" w:sz="8" w:color="auto"/>
            </w:tcBorders>
            <w:gridSpan w:val="6"/>
          </w:tcPr>
          <w:p>
            <w:pPr>
              <w:spacing w:after="0" w:line="148" w:lineRule="exact"/>
              <w:rPr>
                <w:sz w:val="20"/>
                <w:szCs w:val="20"/>
                <w:color w:val="auto"/>
              </w:rPr>
            </w:pPr>
            <w:r>
              <w:rPr>
                <w:rFonts w:ascii="Arial" w:cs="Arial" w:eastAsia="Arial" w:hAnsi="Arial"/>
                <w:sz w:val="15"/>
                <w:szCs w:val="15"/>
                <w:u w:val="single" w:color="auto"/>
                <w:color w:val="auto"/>
              </w:rPr>
              <w:t>Letter Agreement, dated March 24, 2025, by and among the</w:t>
            </w:r>
          </w:p>
        </w:tc>
        <w:tc>
          <w:tcPr>
            <w:tcW w:w="800" w:type="dxa"/>
            <w:vAlign w:val="bottom"/>
            <w:tcBorders>
              <w:right w:val="single" w:sz="8" w:color="auto"/>
            </w:tcBorders>
          </w:tcPr>
          <w:p>
            <w:pPr>
              <w:ind w:left="420"/>
              <w:spacing w:after="0" w:line="148" w:lineRule="exact"/>
              <w:rPr>
                <w:sz w:val="20"/>
                <w:szCs w:val="20"/>
                <w:color w:val="auto"/>
              </w:rPr>
            </w:pPr>
            <w:r>
              <w:rPr>
                <w:rFonts w:ascii="Arial" w:cs="Arial" w:eastAsia="Arial" w:hAnsi="Arial"/>
                <w:sz w:val="15"/>
                <w:szCs w:val="15"/>
                <w:color w:val="auto"/>
              </w:rPr>
              <w:t>X</w:t>
            </w:r>
          </w:p>
        </w:tc>
        <w:tc>
          <w:tcPr>
            <w:tcW w:w="180" w:type="dxa"/>
            <w:vAlign w:val="bottom"/>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w w:val="95"/>
              </w:rPr>
              <w:t>Company, Allseas Investments SA and Argentum Cedit Virtuti GCV</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10.42†</w:t>
            </w:r>
          </w:p>
        </w:tc>
        <w:tc>
          <w:tcPr>
            <w:tcW w:w="180" w:type="dxa"/>
            <w:vAlign w:val="bottom"/>
            <w:shd w:val="clear" w:color="auto" w:fill="D2EEF5"/>
          </w:tcPr>
          <w:p>
            <w:pPr>
              <w:spacing w:after="0"/>
              <w:rPr>
                <w:sz w:val="13"/>
                <w:szCs w:val="13"/>
                <w:color w:val="auto"/>
              </w:rPr>
            </w:pPr>
          </w:p>
        </w:tc>
        <w:tc>
          <w:tcPr>
            <w:tcW w:w="4300" w:type="dxa"/>
            <w:vAlign w:val="bottom"/>
            <w:tcBorders>
              <w:right w:val="single" w:sz="8" w:color="auto"/>
            </w:tcBorders>
            <w:gridSpan w:val="6"/>
            <w:shd w:val="clear" w:color="auto" w:fill="D2EEF5"/>
          </w:tcPr>
          <w:p>
            <w:pPr>
              <w:spacing w:after="0" w:line="154" w:lineRule="exact"/>
              <w:rPr>
                <w:sz w:val="20"/>
                <w:szCs w:val="20"/>
                <w:color w:val="auto"/>
              </w:rPr>
            </w:pPr>
            <w:r>
              <w:rPr>
                <w:rFonts w:ascii="Arial" w:cs="Arial" w:eastAsia="Arial" w:hAnsi="Arial"/>
                <w:sz w:val="15"/>
                <w:szCs w:val="15"/>
                <w:u w:val="single" w:color="auto"/>
                <w:color w:val="auto"/>
              </w:rPr>
              <w:t>Unsecured Credit Facility, dated March 22, 2024, by and amon</w:t>
            </w:r>
            <w:r>
              <w:rPr>
                <w:rFonts w:ascii="Arial" w:cs="Arial" w:eastAsia="Arial" w:hAnsi="Arial"/>
                <w:sz w:val="15"/>
                <w:szCs w:val="15"/>
                <w:color w:val="auto"/>
              </w:rPr>
              <w:t>g</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10-K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3/25/2024</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right"/>
              <w:ind w:right="184"/>
              <w:spacing w:after="0" w:line="154" w:lineRule="exact"/>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4300" w:type="dxa"/>
            <w:vAlign w:val="bottom"/>
            <w:tcBorders>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w w:val="99"/>
              </w:rPr>
              <w:t>TMC the metals company Inc., Gerard Barron and ERAS Capital</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10.34)</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10"/>
        </w:trPr>
        <w:tc>
          <w:tcPr>
            <w:tcW w:w="1020" w:type="dxa"/>
            <w:vAlign w:val="bottom"/>
            <w:tcBorders>
              <w:left w:val="single" w:sz="8" w:color="auto"/>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4300" w:type="dxa"/>
            <w:vAlign w:val="bottom"/>
            <w:tcBorders>
              <w:bottom w:val="single" w:sz="8" w:color="auto"/>
              <w:right w:val="single" w:sz="8" w:color="auto"/>
            </w:tcBorders>
            <w:gridSpan w:val="6"/>
            <w:shd w:val="clear" w:color="auto" w:fill="D2EEF5"/>
          </w:tcPr>
          <w:p>
            <w:pPr>
              <w:spacing w:after="0" w:line="170" w:lineRule="exact"/>
              <w:rPr>
                <w:sz w:val="20"/>
                <w:szCs w:val="20"/>
                <w:color w:val="auto"/>
              </w:rPr>
            </w:pPr>
            <w:r>
              <w:rPr>
                <w:rFonts w:ascii="Arial" w:cs="Arial" w:eastAsia="Arial" w:hAnsi="Arial"/>
                <w:sz w:val="15"/>
                <w:szCs w:val="15"/>
                <w:color w:val="auto"/>
              </w:rPr>
              <w:t>LLC</w:t>
            </w:r>
          </w:p>
        </w:tc>
        <w:tc>
          <w:tcPr>
            <w:tcW w:w="80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720" w:type="dxa"/>
            <w:vAlign w:val="bottom"/>
            <w:tcBorders>
              <w:bottom w:val="single" w:sz="8" w:color="auto"/>
              <w:right w:val="single" w:sz="8" w:color="auto"/>
            </w:tcBorders>
            <w:shd w:val="clear" w:color="auto" w:fill="D2EEF5"/>
          </w:tcPr>
          <w:p>
            <w:pPr>
              <w:spacing w:after="0"/>
              <w:rPr>
                <w:sz w:val="18"/>
                <w:szCs w:val="18"/>
                <w:color w:val="auto"/>
              </w:rPr>
            </w:pPr>
          </w:p>
        </w:tc>
        <w:tc>
          <w:tcPr>
            <w:tcW w:w="108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180" w:type="dxa"/>
            <w:vAlign w:val="bottom"/>
            <w:tcBorders>
              <w:bottom w:val="single" w:sz="8" w:color="auto"/>
              <w:right w:val="single" w:sz="8" w:color="auto"/>
            </w:tcBorders>
            <w:shd w:val="clear" w:color="auto" w:fill="D2EEF5"/>
          </w:tcPr>
          <w:p>
            <w:pPr>
              <w:spacing w:after="0"/>
              <w:rPr>
                <w:sz w:val="18"/>
                <w:szCs w:val="18"/>
                <w:color w:val="auto"/>
              </w:rPr>
            </w:pPr>
          </w:p>
        </w:tc>
      </w:tr>
      <w:tr>
        <w:trPr>
          <w:trHeight w:val="147"/>
        </w:trPr>
        <w:tc>
          <w:tcPr>
            <w:tcW w:w="10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5"/>
                <w:szCs w:val="15"/>
                <w:color w:val="auto"/>
              </w:rPr>
              <w:t>10.43†</w:t>
            </w:r>
          </w:p>
        </w:tc>
        <w:tc>
          <w:tcPr>
            <w:tcW w:w="180" w:type="dxa"/>
            <w:vAlign w:val="bottom"/>
          </w:tcPr>
          <w:p>
            <w:pPr>
              <w:spacing w:after="0"/>
              <w:rPr>
                <w:sz w:val="12"/>
                <w:szCs w:val="12"/>
                <w:color w:val="auto"/>
              </w:rPr>
            </w:pPr>
          </w:p>
        </w:tc>
        <w:tc>
          <w:tcPr>
            <w:tcW w:w="4300" w:type="dxa"/>
            <w:vAlign w:val="bottom"/>
            <w:tcBorders>
              <w:right w:val="single" w:sz="8" w:color="auto"/>
            </w:tcBorders>
            <w:gridSpan w:val="6"/>
          </w:tcPr>
          <w:p>
            <w:pPr>
              <w:spacing w:after="0" w:line="148" w:lineRule="exact"/>
              <w:rPr>
                <w:sz w:val="20"/>
                <w:szCs w:val="20"/>
                <w:color w:val="auto"/>
              </w:rPr>
            </w:pPr>
            <w:r>
              <w:rPr>
                <w:rFonts w:ascii="Arial" w:cs="Arial" w:eastAsia="Arial" w:hAnsi="Arial"/>
                <w:sz w:val="15"/>
                <w:szCs w:val="15"/>
                <w:u w:val="single" w:color="auto"/>
                <w:color w:val="auto"/>
                <w:w w:val="94"/>
              </w:rPr>
              <w:t>First Amendment to the Unsecured Credit Facility, dated August 13</w:t>
            </w:r>
            <w:r>
              <w:rPr>
                <w:rFonts w:ascii="Arial" w:cs="Arial" w:eastAsia="Arial" w:hAnsi="Arial"/>
                <w:sz w:val="15"/>
                <w:szCs w:val="15"/>
                <w:color w:val="auto"/>
                <w:w w:val="94"/>
              </w:rPr>
              <w:t>,</w:t>
            </w:r>
          </w:p>
        </w:tc>
        <w:tc>
          <w:tcPr>
            <w:tcW w:w="8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5"/>
                <w:szCs w:val="15"/>
                <w:color w:val="auto"/>
                <w:w w:val="93"/>
              </w:rPr>
              <w:t>Form 10-Q</w:t>
            </w:r>
          </w:p>
        </w:tc>
        <w:tc>
          <w:tcPr>
            <w:tcW w:w="1080" w:type="dxa"/>
            <w:vAlign w:val="bottom"/>
            <w:tcBorders>
              <w:right w:val="single" w:sz="8" w:color="auto"/>
            </w:tcBorders>
          </w:tcPr>
          <w:p>
            <w:pPr>
              <w:jc w:val="center"/>
              <w:ind w:left="24"/>
              <w:spacing w:after="0" w:line="148" w:lineRule="exact"/>
              <w:rPr>
                <w:sz w:val="20"/>
                <w:szCs w:val="20"/>
                <w:color w:val="auto"/>
              </w:rPr>
            </w:pPr>
            <w:r>
              <w:rPr>
                <w:rFonts w:ascii="Arial" w:cs="Arial" w:eastAsia="Arial" w:hAnsi="Arial"/>
                <w:sz w:val="15"/>
                <w:szCs w:val="15"/>
                <w:color w:val="auto"/>
                <w:w w:val="92"/>
              </w:rPr>
              <w:t>8/14/2024</w:t>
            </w:r>
          </w:p>
        </w:tc>
        <w:tc>
          <w:tcPr>
            <w:tcW w:w="180" w:type="dxa"/>
            <w:vAlign w:val="bottom"/>
          </w:tcPr>
          <w:p>
            <w:pPr>
              <w:spacing w:after="0"/>
              <w:rPr>
                <w:sz w:val="12"/>
                <w:szCs w:val="12"/>
                <w:color w:val="auto"/>
              </w:rPr>
            </w:pPr>
          </w:p>
        </w:tc>
        <w:tc>
          <w:tcPr>
            <w:tcW w:w="1180" w:type="dxa"/>
            <w:vAlign w:val="bottom"/>
            <w:tcBorders>
              <w:right w:val="single" w:sz="8" w:color="auto"/>
            </w:tcBorders>
          </w:tcPr>
          <w:p>
            <w:pPr>
              <w:jc w:val="right"/>
              <w:ind w:right="184"/>
              <w:spacing w:after="0" w:line="148" w:lineRule="exact"/>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6"/>
          </w:tcPr>
          <w:p>
            <w:pPr>
              <w:spacing w:after="0"/>
              <w:rPr>
                <w:sz w:val="20"/>
                <w:szCs w:val="20"/>
                <w:color w:val="auto"/>
              </w:rPr>
            </w:pPr>
            <w:r>
              <w:rPr>
                <w:rFonts w:ascii="Arial" w:cs="Arial" w:eastAsia="Arial" w:hAnsi="Arial"/>
                <w:sz w:val="15"/>
                <w:szCs w:val="15"/>
                <w:u w:val="single" w:color="auto"/>
                <w:color w:val="auto"/>
                <w:w w:val="98"/>
              </w:rPr>
              <w:t>2024, by and between TMC the metals company Inc. and Gerard</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10.5)</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rPr>
              <w:t>Barron and ERAS Capital LLC</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10.44</w:t>
            </w:r>
          </w:p>
        </w:tc>
        <w:tc>
          <w:tcPr>
            <w:tcW w:w="180" w:type="dxa"/>
            <w:vAlign w:val="bottom"/>
            <w:shd w:val="clear" w:color="auto" w:fill="D2EEF5"/>
          </w:tcPr>
          <w:p>
            <w:pPr>
              <w:spacing w:after="0"/>
              <w:rPr>
                <w:sz w:val="13"/>
                <w:szCs w:val="13"/>
                <w:color w:val="auto"/>
              </w:rPr>
            </w:pPr>
          </w:p>
        </w:tc>
        <w:tc>
          <w:tcPr>
            <w:tcW w:w="4300" w:type="dxa"/>
            <w:vAlign w:val="bottom"/>
            <w:tcBorders>
              <w:right w:val="single" w:sz="8" w:color="auto"/>
            </w:tcBorders>
            <w:gridSpan w:val="6"/>
            <w:shd w:val="clear" w:color="auto" w:fill="D2EEF5"/>
          </w:tcPr>
          <w:p>
            <w:pPr>
              <w:spacing w:after="0" w:line="154" w:lineRule="exact"/>
              <w:rPr>
                <w:sz w:val="20"/>
                <w:szCs w:val="20"/>
                <w:color w:val="auto"/>
              </w:rPr>
            </w:pPr>
            <w:r>
              <w:rPr>
                <w:rFonts w:ascii="Arial" w:cs="Arial" w:eastAsia="Arial" w:hAnsi="Arial"/>
                <w:sz w:val="15"/>
                <w:szCs w:val="15"/>
                <w:u w:val="single" w:color="auto"/>
                <w:color w:val="auto"/>
              </w:rPr>
              <w:t>Second Amendment to the Unsecured Credit Facility, dated</w:t>
            </w:r>
          </w:p>
        </w:tc>
        <w:tc>
          <w:tcPr>
            <w:tcW w:w="800" w:type="dxa"/>
            <w:vAlign w:val="bottom"/>
            <w:tcBorders>
              <w:right w:val="single" w:sz="8" w:color="auto"/>
            </w:tcBorders>
            <w:shd w:val="clear" w:color="auto" w:fill="D2EEF5"/>
          </w:tcPr>
          <w:p>
            <w:pPr>
              <w:ind w:left="420"/>
              <w:spacing w:after="0" w:line="154" w:lineRule="exact"/>
              <w:rPr>
                <w:sz w:val="20"/>
                <w:szCs w:val="20"/>
                <w:color w:val="auto"/>
              </w:rPr>
            </w:pPr>
            <w:r>
              <w:rPr>
                <w:rFonts w:ascii="Arial" w:cs="Arial" w:eastAsia="Arial" w:hAnsi="Arial"/>
                <w:sz w:val="15"/>
                <w:szCs w:val="15"/>
                <w:color w:val="auto"/>
              </w:rPr>
              <w:t>X</w:t>
            </w: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spacing w:after="0"/>
              <w:rPr>
                <w:sz w:val="13"/>
                <w:szCs w:val="13"/>
                <w:color w:val="auto"/>
              </w:rPr>
            </w:pPr>
          </w:p>
        </w:tc>
        <w:tc>
          <w:tcPr>
            <w:tcW w:w="108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spacing w:after="0"/>
              <w:rPr>
                <w:sz w:val="13"/>
                <w:szCs w:val="13"/>
                <w:color w:val="auto"/>
              </w:rPr>
            </w:pP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4300" w:type="dxa"/>
            <w:vAlign w:val="bottom"/>
            <w:tcBorders>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w w:val="94"/>
              </w:rPr>
              <w:t>November 14, 2024, by and between TMC the metals company Inc.</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spacing w:after="0"/>
              <w:rPr>
                <w:sz w:val="15"/>
                <w:szCs w:val="15"/>
                <w:color w:val="auto"/>
              </w:rPr>
            </w:pP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4300" w:type="dxa"/>
            <w:vAlign w:val="bottom"/>
            <w:tcBorders>
              <w:bottom w:val="single" w:sz="8" w:color="auto"/>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rPr>
              <w:t>and Gerard Barron and ERAS Capital LLC</w:t>
            </w: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spacing w:after="0"/>
              <w:rPr>
                <w:sz w:val="19"/>
                <w:szCs w:val="19"/>
                <w:color w:val="auto"/>
              </w:rPr>
            </w:pP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10.45</w:t>
            </w:r>
          </w:p>
        </w:tc>
        <w:tc>
          <w:tcPr>
            <w:tcW w:w="180" w:type="dxa"/>
            <w:vAlign w:val="bottom"/>
          </w:tcPr>
          <w:p>
            <w:pPr>
              <w:spacing w:after="0"/>
              <w:rPr>
                <w:sz w:val="11"/>
                <w:szCs w:val="11"/>
                <w:color w:val="auto"/>
              </w:rPr>
            </w:pPr>
          </w:p>
        </w:tc>
        <w:tc>
          <w:tcPr>
            <w:tcW w:w="4300" w:type="dxa"/>
            <w:vAlign w:val="bottom"/>
            <w:tcBorders>
              <w:right w:val="single" w:sz="8" w:color="auto"/>
            </w:tcBorders>
            <w:gridSpan w:val="6"/>
          </w:tcPr>
          <w:p>
            <w:pPr>
              <w:spacing w:after="0" w:line="133" w:lineRule="exact"/>
              <w:rPr>
                <w:sz w:val="20"/>
                <w:szCs w:val="20"/>
                <w:color w:val="auto"/>
              </w:rPr>
            </w:pPr>
            <w:r>
              <w:rPr>
                <w:rFonts w:ascii="Arial" w:cs="Arial" w:eastAsia="Arial" w:hAnsi="Arial"/>
                <w:sz w:val="15"/>
                <w:szCs w:val="15"/>
                <w:u w:val="single" w:color="auto"/>
                <w:color w:val="auto"/>
                <w:w w:val="94"/>
              </w:rPr>
              <w:t>Third Amendment to the Unsecured Credit Facility, dated March 26</w:t>
            </w:r>
            <w:r>
              <w:rPr>
                <w:rFonts w:ascii="Arial" w:cs="Arial" w:eastAsia="Arial" w:hAnsi="Arial"/>
                <w:sz w:val="15"/>
                <w:szCs w:val="15"/>
                <w:color w:val="auto"/>
                <w:w w:val="94"/>
              </w:rPr>
              <w:t>,</w:t>
            </w:r>
          </w:p>
        </w:tc>
        <w:tc>
          <w:tcPr>
            <w:tcW w:w="800" w:type="dxa"/>
            <w:vAlign w:val="bottom"/>
            <w:tcBorders>
              <w:right w:val="single" w:sz="8" w:color="auto"/>
            </w:tcBorders>
          </w:tcPr>
          <w:p>
            <w:pPr>
              <w:ind w:left="420"/>
              <w:spacing w:after="0" w:line="133" w:lineRule="exact"/>
              <w:rPr>
                <w:sz w:val="20"/>
                <w:szCs w:val="20"/>
                <w:color w:val="auto"/>
              </w:rPr>
            </w:pPr>
            <w:r>
              <w:rPr>
                <w:rFonts w:ascii="Arial" w:cs="Arial" w:eastAsia="Arial" w:hAnsi="Arial"/>
                <w:sz w:val="15"/>
                <w:szCs w:val="15"/>
                <w:color w:val="auto"/>
              </w:rPr>
              <w:t>X</w:t>
            </w:r>
          </w:p>
        </w:tc>
        <w:tc>
          <w:tcPr>
            <w:tcW w:w="180" w:type="dxa"/>
            <w:vAlign w:val="bottom"/>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6"/>
          </w:tcPr>
          <w:p>
            <w:pPr>
              <w:spacing w:after="0"/>
              <w:rPr>
                <w:sz w:val="20"/>
                <w:szCs w:val="20"/>
                <w:color w:val="auto"/>
              </w:rPr>
            </w:pPr>
            <w:r>
              <w:rPr>
                <w:rFonts w:ascii="Arial" w:cs="Arial" w:eastAsia="Arial" w:hAnsi="Arial"/>
                <w:sz w:val="15"/>
                <w:szCs w:val="15"/>
                <w:u w:val="single" w:color="auto"/>
                <w:color w:val="auto"/>
                <w:w w:val="98"/>
              </w:rPr>
              <w:t>2025, by and between TMC the metals company Inc. and Gerard</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rPr>
              <w:t>Barron and ERAS Capital LLC</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97"/>
        </w:trPr>
        <w:tc>
          <w:tcPr>
            <w:tcW w:w="1020" w:type="dxa"/>
            <w:vAlign w:val="bottom"/>
            <w:tcBorders>
              <w:left w:val="single" w:sz="8" w:color="auto"/>
              <w:bottom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19††</w:t>
            </w:r>
          </w:p>
        </w:tc>
        <w:tc>
          <w:tcPr>
            <w:tcW w:w="180" w:type="dxa"/>
            <w:vAlign w:val="bottom"/>
            <w:tcBorders>
              <w:bottom w:val="single" w:sz="8" w:color="auto"/>
            </w:tcBorders>
            <w:shd w:val="clear" w:color="auto" w:fill="D2EEF5"/>
          </w:tcPr>
          <w:p>
            <w:pPr>
              <w:spacing w:after="0"/>
              <w:rPr>
                <w:sz w:val="17"/>
                <w:szCs w:val="17"/>
                <w:color w:val="auto"/>
              </w:rPr>
            </w:pPr>
          </w:p>
        </w:tc>
        <w:tc>
          <w:tcPr>
            <w:tcW w:w="4300" w:type="dxa"/>
            <w:vAlign w:val="bottom"/>
            <w:tcBorders>
              <w:bottom w:val="single" w:sz="8" w:color="auto"/>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rPr>
              <w:t>Insider Trading Policy</w:t>
            </w:r>
          </w:p>
        </w:tc>
        <w:tc>
          <w:tcPr>
            <w:tcW w:w="800" w:type="dxa"/>
            <w:vAlign w:val="bottom"/>
            <w:tcBorders>
              <w:bottom w:val="single" w:sz="8" w:color="auto"/>
              <w:right w:val="single" w:sz="8" w:color="auto"/>
            </w:tcBorders>
            <w:shd w:val="clear" w:color="auto" w:fill="D2EEF5"/>
          </w:tcPr>
          <w:p>
            <w:pPr>
              <w:ind w:left="420"/>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40"/>
        </w:trPr>
        <w:tc>
          <w:tcPr>
            <w:tcW w:w="102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5"/>
                <w:szCs w:val="15"/>
                <w:color w:val="auto"/>
              </w:rPr>
              <w:t>21.1</w:t>
            </w:r>
          </w:p>
        </w:tc>
        <w:tc>
          <w:tcPr>
            <w:tcW w:w="180" w:type="dxa"/>
            <w:vAlign w:val="bottom"/>
          </w:tcPr>
          <w:p>
            <w:pPr>
              <w:spacing w:after="0"/>
              <w:rPr>
                <w:sz w:val="12"/>
                <w:szCs w:val="12"/>
                <w:color w:val="auto"/>
              </w:rPr>
            </w:pPr>
          </w:p>
        </w:tc>
        <w:tc>
          <w:tcPr>
            <w:tcW w:w="4300" w:type="dxa"/>
            <w:vAlign w:val="bottom"/>
            <w:tcBorders>
              <w:right w:val="single" w:sz="8" w:color="auto"/>
            </w:tcBorders>
            <w:gridSpan w:val="6"/>
          </w:tcPr>
          <w:p>
            <w:pPr>
              <w:spacing w:after="0" w:line="141" w:lineRule="exact"/>
              <w:rPr>
                <w:sz w:val="20"/>
                <w:szCs w:val="20"/>
                <w:color w:val="auto"/>
              </w:rPr>
            </w:pPr>
            <w:r>
              <w:rPr>
                <w:rFonts w:ascii="Arial" w:cs="Arial" w:eastAsia="Arial" w:hAnsi="Arial"/>
                <w:sz w:val="15"/>
                <w:szCs w:val="15"/>
                <w:color w:val="auto"/>
              </w:rPr>
              <w:t>List of Subsidiaries</w:t>
            </w:r>
          </w:p>
        </w:tc>
        <w:tc>
          <w:tcPr>
            <w:tcW w:w="800" w:type="dxa"/>
            <w:vAlign w:val="bottom"/>
            <w:tcBorders>
              <w:right w:val="single" w:sz="8" w:color="auto"/>
            </w:tcBorders>
          </w:tcPr>
          <w:p>
            <w:pPr>
              <w:ind w:left="420"/>
              <w:spacing w:after="0" w:line="141" w:lineRule="exact"/>
              <w:rPr>
                <w:sz w:val="20"/>
                <w:szCs w:val="20"/>
                <w:color w:val="auto"/>
              </w:rPr>
            </w:pPr>
            <w:r>
              <w:rPr>
                <w:rFonts w:ascii="Arial" w:cs="Arial" w:eastAsia="Arial" w:hAnsi="Arial"/>
                <w:sz w:val="15"/>
                <w:szCs w:val="15"/>
                <w:color w:val="auto"/>
              </w:rPr>
              <w:t>X</w:t>
            </w:r>
          </w:p>
        </w:tc>
        <w:tc>
          <w:tcPr>
            <w:tcW w:w="180" w:type="dxa"/>
            <w:vAlign w:val="bottom"/>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37"/>
        </w:trPr>
        <w:tc>
          <w:tcPr>
            <w:tcW w:w="1020" w:type="dxa"/>
            <w:vAlign w:val="bottom"/>
            <w:tcBorders>
              <w:left w:val="single" w:sz="8" w:color="auto"/>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17"/>
        </w:trPr>
        <w:tc>
          <w:tcPr>
            <w:tcW w:w="1020" w:type="dxa"/>
            <w:vAlign w:val="bottom"/>
            <w:tcBorders>
              <w:left w:val="single" w:sz="8" w:color="auto"/>
              <w:bottom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23.1</w:t>
            </w:r>
          </w:p>
        </w:tc>
        <w:tc>
          <w:tcPr>
            <w:tcW w:w="180" w:type="dxa"/>
            <w:vAlign w:val="bottom"/>
            <w:tcBorders>
              <w:bottom w:val="single" w:sz="8" w:color="auto"/>
            </w:tcBorders>
            <w:shd w:val="clear" w:color="auto" w:fill="D2EEF5"/>
          </w:tcPr>
          <w:p>
            <w:pPr>
              <w:spacing w:after="0"/>
              <w:rPr>
                <w:sz w:val="18"/>
                <w:szCs w:val="18"/>
                <w:color w:val="auto"/>
              </w:rPr>
            </w:pPr>
          </w:p>
        </w:tc>
        <w:tc>
          <w:tcPr>
            <w:tcW w:w="4300" w:type="dxa"/>
            <w:vAlign w:val="bottom"/>
            <w:tcBorders>
              <w:bottom w:val="single" w:sz="8" w:color="auto"/>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rPr>
              <w:t>Consent of Ernst &amp; Young LLP</w:t>
            </w:r>
          </w:p>
        </w:tc>
        <w:tc>
          <w:tcPr>
            <w:tcW w:w="800" w:type="dxa"/>
            <w:vAlign w:val="bottom"/>
            <w:tcBorders>
              <w:bottom w:val="single" w:sz="8" w:color="auto"/>
              <w:right w:val="single" w:sz="8" w:color="auto"/>
            </w:tcBorders>
            <w:shd w:val="clear" w:color="auto" w:fill="D2EEF5"/>
          </w:tcPr>
          <w:p>
            <w:pPr>
              <w:ind w:left="420"/>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shd w:val="clear" w:color="auto" w:fill="D2EEF5"/>
          </w:tcPr>
          <w:p>
            <w:pPr>
              <w:spacing w:after="0"/>
              <w:rPr>
                <w:sz w:val="18"/>
                <w:szCs w:val="18"/>
                <w:color w:val="auto"/>
              </w:rPr>
            </w:pPr>
          </w:p>
        </w:tc>
        <w:tc>
          <w:tcPr>
            <w:tcW w:w="1720" w:type="dxa"/>
            <w:vAlign w:val="bottom"/>
            <w:tcBorders>
              <w:bottom w:val="single" w:sz="8" w:color="auto"/>
              <w:right w:val="single" w:sz="8" w:color="auto"/>
            </w:tcBorders>
            <w:shd w:val="clear" w:color="auto" w:fill="D2EEF5"/>
          </w:tcPr>
          <w:p>
            <w:pPr>
              <w:spacing w:after="0"/>
              <w:rPr>
                <w:sz w:val="18"/>
                <w:szCs w:val="18"/>
                <w:color w:val="auto"/>
              </w:rPr>
            </w:pPr>
          </w:p>
        </w:tc>
        <w:tc>
          <w:tcPr>
            <w:tcW w:w="1080" w:type="dxa"/>
            <w:vAlign w:val="bottom"/>
            <w:tcBorders>
              <w:bottom w:val="single" w:sz="8" w:color="auto"/>
              <w:right w:val="single" w:sz="8" w:color="auto"/>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180" w:type="dxa"/>
            <w:vAlign w:val="bottom"/>
            <w:tcBorders>
              <w:bottom w:val="single" w:sz="8" w:color="auto"/>
              <w:right w:val="single" w:sz="8" w:color="auto"/>
            </w:tcBorders>
            <w:shd w:val="clear" w:color="auto" w:fill="D2EEF5"/>
          </w:tcPr>
          <w:p>
            <w:pPr>
              <w:spacing w:after="0"/>
              <w:rPr>
                <w:sz w:val="18"/>
                <w:szCs w:val="18"/>
                <w:color w:val="auto"/>
              </w:rPr>
            </w:pPr>
          </w:p>
        </w:tc>
      </w:tr>
      <w:tr>
        <w:trPr>
          <w:trHeight w:val="134"/>
        </w:trPr>
        <w:tc>
          <w:tcPr>
            <w:tcW w:w="1020" w:type="dxa"/>
            <w:vAlign w:val="bottom"/>
            <w:tcBorders>
              <w:left w:val="single" w:sz="8" w:color="auto"/>
              <w:right w:val="single" w:sz="8" w:color="auto"/>
            </w:tcBorders>
          </w:tcPr>
          <w:p>
            <w:pPr>
              <w:ind w:left="20"/>
              <w:spacing w:after="0" w:line="134" w:lineRule="exact"/>
              <w:rPr>
                <w:sz w:val="20"/>
                <w:szCs w:val="20"/>
                <w:color w:val="auto"/>
              </w:rPr>
            </w:pPr>
            <w:r>
              <w:rPr>
                <w:rFonts w:ascii="Arial" w:cs="Arial" w:eastAsia="Arial" w:hAnsi="Arial"/>
                <w:sz w:val="15"/>
                <w:szCs w:val="15"/>
                <w:color w:val="auto"/>
              </w:rPr>
              <w:t>31.1</w:t>
            </w:r>
          </w:p>
        </w:tc>
        <w:tc>
          <w:tcPr>
            <w:tcW w:w="180" w:type="dxa"/>
            <w:vAlign w:val="bottom"/>
          </w:tcPr>
          <w:p>
            <w:pPr>
              <w:spacing w:after="0"/>
              <w:rPr>
                <w:sz w:val="11"/>
                <w:szCs w:val="11"/>
                <w:color w:val="auto"/>
              </w:rPr>
            </w:pPr>
          </w:p>
        </w:tc>
        <w:tc>
          <w:tcPr>
            <w:tcW w:w="4300" w:type="dxa"/>
            <w:vAlign w:val="bottom"/>
            <w:tcBorders>
              <w:right w:val="single" w:sz="8" w:color="auto"/>
            </w:tcBorders>
            <w:gridSpan w:val="6"/>
          </w:tcPr>
          <w:p>
            <w:pPr>
              <w:spacing w:after="0" w:line="134" w:lineRule="exact"/>
              <w:rPr>
                <w:sz w:val="20"/>
                <w:szCs w:val="20"/>
                <w:color w:val="auto"/>
              </w:rPr>
            </w:pPr>
            <w:r>
              <w:rPr>
                <w:rFonts w:ascii="Arial" w:cs="Arial" w:eastAsia="Arial" w:hAnsi="Arial"/>
                <w:sz w:val="15"/>
                <w:szCs w:val="15"/>
                <w:u w:val="single" w:color="auto"/>
                <w:color w:val="auto"/>
              </w:rPr>
              <w:t>Certification of the Principal Executive Officer pursuant to</w:t>
            </w:r>
          </w:p>
        </w:tc>
        <w:tc>
          <w:tcPr>
            <w:tcW w:w="800" w:type="dxa"/>
            <w:vAlign w:val="bottom"/>
            <w:tcBorders>
              <w:right w:val="single" w:sz="8" w:color="auto"/>
            </w:tcBorders>
          </w:tcPr>
          <w:p>
            <w:pPr>
              <w:ind w:left="420"/>
              <w:spacing w:after="0" w:line="134" w:lineRule="exact"/>
              <w:rPr>
                <w:sz w:val="20"/>
                <w:szCs w:val="20"/>
                <w:color w:val="auto"/>
              </w:rPr>
            </w:pPr>
            <w:r>
              <w:rPr>
                <w:rFonts w:ascii="Arial" w:cs="Arial" w:eastAsia="Arial" w:hAnsi="Arial"/>
                <w:sz w:val="15"/>
                <w:szCs w:val="15"/>
                <w:color w:val="auto"/>
              </w:rPr>
              <w:t>X</w:t>
            </w:r>
          </w:p>
        </w:tc>
        <w:tc>
          <w:tcPr>
            <w:tcW w:w="180" w:type="dxa"/>
            <w:vAlign w:val="bottom"/>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rPr>
              <w:t>Section 302 of the Sarbanes-Oxley Act of 2002</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31.2</w:t>
            </w:r>
          </w:p>
        </w:tc>
        <w:tc>
          <w:tcPr>
            <w:tcW w:w="180" w:type="dxa"/>
            <w:vAlign w:val="bottom"/>
            <w:shd w:val="clear" w:color="auto" w:fill="D2EEF5"/>
          </w:tcPr>
          <w:p>
            <w:pPr>
              <w:spacing w:after="0"/>
              <w:rPr>
                <w:sz w:val="13"/>
                <w:szCs w:val="13"/>
                <w:color w:val="auto"/>
              </w:rPr>
            </w:pPr>
          </w:p>
        </w:tc>
        <w:tc>
          <w:tcPr>
            <w:tcW w:w="4300" w:type="dxa"/>
            <w:vAlign w:val="bottom"/>
            <w:tcBorders>
              <w:right w:val="single" w:sz="8" w:color="auto"/>
            </w:tcBorders>
            <w:gridSpan w:val="6"/>
            <w:shd w:val="clear" w:color="auto" w:fill="D2EEF5"/>
          </w:tcPr>
          <w:p>
            <w:pPr>
              <w:spacing w:after="0" w:line="154" w:lineRule="exact"/>
              <w:rPr>
                <w:sz w:val="20"/>
                <w:szCs w:val="20"/>
                <w:color w:val="auto"/>
              </w:rPr>
            </w:pPr>
            <w:r>
              <w:rPr>
                <w:rFonts w:ascii="Arial" w:cs="Arial" w:eastAsia="Arial" w:hAnsi="Arial"/>
                <w:sz w:val="15"/>
                <w:szCs w:val="15"/>
                <w:u w:val="single" w:color="auto"/>
                <w:color w:val="auto"/>
              </w:rPr>
              <w:t>Certification of the Principal Financial Officer pursuant to</w:t>
            </w:r>
          </w:p>
        </w:tc>
        <w:tc>
          <w:tcPr>
            <w:tcW w:w="800" w:type="dxa"/>
            <w:vAlign w:val="bottom"/>
            <w:tcBorders>
              <w:right w:val="single" w:sz="8" w:color="auto"/>
            </w:tcBorders>
            <w:shd w:val="clear" w:color="auto" w:fill="D2EEF5"/>
          </w:tcPr>
          <w:p>
            <w:pPr>
              <w:ind w:left="420"/>
              <w:spacing w:after="0" w:line="154" w:lineRule="exact"/>
              <w:rPr>
                <w:sz w:val="20"/>
                <w:szCs w:val="20"/>
                <w:color w:val="auto"/>
              </w:rPr>
            </w:pPr>
            <w:r>
              <w:rPr>
                <w:rFonts w:ascii="Arial" w:cs="Arial" w:eastAsia="Arial" w:hAnsi="Arial"/>
                <w:sz w:val="15"/>
                <w:szCs w:val="15"/>
                <w:color w:val="auto"/>
              </w:rPr>
              <w:t>X</w:t>
            </w: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spacing w:after="0"/>
              <w:rPr>
                <w:sz w:val="13"/>
                <w:szCs w:val="13"/>
                <w:color w:val="auto"/>
              </w:rPr>
            </w:pPr>
          </w:p>
        </w:tc>
        <w:tc>
          <w:tcPr>
            <w:tcW w:w="108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spacing w:after="0"/>
              <w:rPr>
                <w:sz w:val="13"/>
                <w:szCs w:val="13"/>
                <w:color w:val="auto"/>
              </w:rPr>
            </w:pP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4300" w:type="dxa"/>
            <w:vAlign w:val="bottom"/>
            <w:tcBorders>
              <w:bottom w:val="single" w:sz="8" w:color="auto"/>
              <w:right w:val="single" w:sz="8" w:color="auto"/>
            </w:tcBorders>
            <w:gridSpan w:val="6"/>
            <w:shd w:val="clear" w:color="auto" w:fill="D2EEF5"/>
          </w:tcPr>
          <w:p>
            <w:pPr>
              <w:spacing w:after="0"/>
              <w:rPr>
                <w:sz w:val="20"/>
                <w:szCs w:val="20"/>
                <w:color w:val="auto"/>
              </w:rPr>
            </w:pPr>
            <w:r>
              <w:rPr>
                <w:rFonts w:ascii="Arial" w:cs="Arial" w:eastAsia="Arial" w:hAnsi="Arial"/>
                <w:sz w:val="15"/>
                <w:szCs w:val="15"/>
                <w:u w:val="single" w:color="auto"/>
                <w:color w:val="auto"/>
              </w:rPr>
              <w:t>Section 302 of the Sarbanes-Oxley Act of 2002</w:t>
            </w: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40"/>
        </w:trPr>
        <w:tc>
          <w:tcPr>
            <w:tcW w:w="1020" w:type="dxa"/>
            <w:vAlign w:val="bottom"/>
            <w:tcBorders>
              <w:left w:val="single" w:sz="8" w:color="auto"/>
              <w:right w:val="single" w:sz="8" w:color="auto"/>
            </w:tcBorders>
          </w:tcPr>
          <w:p>
            <w:pPr>
              <w:ind w:left="20"/>
              <w:spacing w:after="0" w:line="140" w:lineRule="exact"/>
              <w:rPr>
                <w:sz w:val="20"/>
                <w:szCs w:val="20"/>
                <w:color w:val="auto"/>
              </w:rPr>
            </w:pPr>
            <w:r>
              <w:rPr>
                <w:rFonts w:ascii="Arial" w:cs="Arial" w:eastAsia="Arial" w:hAnsi="Arial"/>
                <w:sz w:val="15"/>
                <w:szCs w:val="15"/>
                <w:color w:val="auto"/>
              </w:rPr>
              <w:t>32*</w:t>
            </w:r>
          </w:p>
        </w:tc>
        <w:tc>
          <w:tcPr>
            <w:tcW w:w="180" w:type="dxa"/>
            <w:vAlign w:val="bottom"/>
          </w:tcPr>
          <w:p>
            <w:pPr>
              <w:spacing w:after="0"/>
              <w:rPr>
                <w:sz w:val="12"/>
                <w:szCs w:val="12"/>
                <w:color w:val="auto"/>
              </w:rPr>
            </w:pPr>
          </w:p>
        </w:tc>
        <w:tc>
          <w:tcPr>
            <w:tcW w:w="3960" w:type="dxa"/>
            <w:vAlign w:val="bottom"/>
            <w:tcBorders>
              <w:bottom w:val="single" w:sz="8" w:color="auto"/>
            </w:tcBorders>
            <w:gridSpan w:val="5"/>
          </w:tcPr>
          <w:p>
            <w:pPr>
              <w:spacing w:after="0" w:line="129" w:lineRule="exact"/>
              <w:rPr>
                <w:sz w:val="20"/>
                <w:szCs w:val="20"/>
                <w:color w:val="auto"/>
              </w:rPr>
            </w:pPr>
            <w:r>
              <w:rPr>
                <w:rFonts w:ascii="Arial" w:cs="Arial" w:eastAsia="Arial" w:hAnsi="Arial"/>
                <w:sz w:val="14"/>
                <w:szCs w:val="14"/>
                <w:color w:val="auto"/>
              </w:rPr>
              <w:t>Certifications of the Chief Executive Officer and Chief Financial</w:t>
            </w:r>
          </w:p>
        </w:tc>
        <w:tc>
          <w:tcPr>
            <w:tcW w:w="3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ind w:left="420"/>
              <w:spacing w:after="0" w:line="140" w:lineRule="exact"/>
              <w:rPr>
                <w:sz w:val="20"/>
                <w:szCs w:val="20"/>
                <w:color w:val="auto"/>
              </w:rPr>
            </w:pPr>
            <w:r>
              <w:rPr>
                <w:rFonts w:ascii="Arial" w:cs="Arial" w:eastAsia="Arial" w:hAnsi="Arial"/>
                <w:sz w:val="15"/>
                <w:szCs w:val="15"/>
                <w:color w:val="auto"/>
              </w:rPr>
              <w:t>X</w:t>
            </w:r>
          </w:p>
        </w:tc>
        <w:tc>
          <w:tcPr>
            <w:tcW w:w="180" w:type="dxa"/>
            <w:vAlign w:val="bottom"/>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97"/>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5"/>
                <w:szCs w:val="15"/>
                <w:u w:val="single" w:color="auto"/>
                <w:color w:val="auto"/>
                <w:w w:val="96"/>
              </w:rPr>
              <w:t>Officer pursuant to Section 906 of the Sarbanes-Oxley Act of 2002</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541"/>
        </w:trPr>
        <w:tc>
          <w:tcPr>
            <w:tcW w:w="1020" w:type="dxa"/>
            <w:vAlign w:val="bottom"/>
          </w:tcPr>
          <w:p>
            <w:pPr>
              <w:spacing w:after="0"/>
              <w:rPr>
                <w:sz w:val="24"/>
                <w:szCs w:val="24"/>
                <w:color w:val="auto"/>
              </w:rPr>
            </w:pPr>
          </w:p>
        </w:tc>
        <w:tc>
          <w:tcPr>
            <w:tcW w:w="4480" w:type="dxa"/>
            <w:vAlign w:val="bottom"/>
            <w:gridSpan w:val="7"/>
          </w:tcPr>
          <w:p>
            <w:pPr>
              <w:jc w:val="right"/>
              <w:ind w:right="60"/>
              <w:spacing w:after="0"/>
              <w:rPr>
                <w:sz w:val="20"/>
                <w:szCs w:val="20"/>
                <w:color w:val="auto"/>
              </w:rPr>
            </w:pPr>
            <w:r>
              <w:rPr>
                <w:rFonts w:ascii="Arial" w:cs="Arial" w:eastAsia="Arial" w:hAnsi="Arial"/>
                <w:sz w:val="15"/>
                <w:szCs w:val="15"/>
                <w:color w:val="auto"/>
              </w:rPr>
              <w:t>163</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3680" w:h="17280" w:orient="portrait"/>
          <w:cols w:equalWidth="0" w:num="1">
            <w:col w:w="10800"/>
          </w:cols>
          <w:pgMar w:left="1440" w:top="1440" w:right="1440"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9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96.1</w:t>
            </w:r>
          </w:p>
        </w:tc>
        <w:tc>
          <w:tcPr>
            <w:tcW w:w="4480" w:type="dxa"/>
            <w:vAlign w:val="bottom"/>
            <w:tcBorders>
              <w:top w:val="single" w:sz="8" w:color="auto"/>
              <w:right w:val="single" w:sz="8" w:color="auto"/>
            </w:tcBorders>
            <w:gridSpan w:val="2"/>
            <w:shd w:val="clear" w:color="auto" w:fill="D2EEF5"/>
          </w:tcPr>
          <w:p>
            <w:pPr>
              <w:ind w:left="180"/>
              <w:spacing w:after="0"/>
              <w:rPr>
                <w:sz w:val="20"/>
                <w:szCs w:val="20"/>
                <w:color w:val="auto"/>
              </w:rPr>
            </w:pPr>
            <w:r>
              <w:rPr>
                <w:rFonts w:ascii="Arial" w:cs="Arial" w:eastAsia="Arial" w:hAnsi="Arial"/>
                <w:sz w:val="15"/>
                <w:szCs w:val="15"/>
                <w:u w:val="single" w:color="auto"/>
                <w:color w:val="auto"/>
              </w:rPr>
              <w:t>Technical Report Summary — Initial Assessment of the NORI</w:t>
            </w:r>
          </w:p>
        </w:tc>
        <w:tc>
          <w:tcPr>
            <w:tcW w:w="800" w:type="dxa"/>
            <w:vAlign w:val="bottom"/>
            <w:tcBorders>
              <w:top w:val="single" w:sz="8" w:color="auto"/>
              <w:right w:val="single" w:sz="8" w:color="auto"/>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spacing w:after="0"/>
              <w:rPr>
                <w:sz w:val="15"/>
                <w:szCs w:val="15"/>
                <w:color w:val="auto"/>
              </w:rPr>
            </w:pPr>
          </w:p>
        </w:tc>
        <w:tc>
          <w:tcPr>
            <w:tcW w:w="1720" w:type="dxa"/>
            <w:vAlign w:val="bottom"/>
            <w:tcBorders>
              <w:top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6"/>
              </w:rPr>
              <w:t>Form S-4/A</w:t>
            </w:r>
          </w:p>
        </w:tc>
        <w:tc>
          <w:tcPr>
            <w:tcW w:w="1080" w:type="dxa"/>
            <w:vAlign w:val="bottom"/>
            <w:tcBorders>
              <w:top w:val="single" w:sz="8" w:color="auto"/>
              <w:right w:val="single" w:sz="8" w:color="auto"/>
            </w:tcBorders>
            <w:shd w:val="clear" w:color="auto" w:fill="D2EEF5"/>
          </w:tcPr>
          <w:p>
            <w:pPr>
              <w:jc w:val="center"/>
              <w:ind w:left="24"/>
              <w:spacing w:after="0"/>
              <w:rPr>
                <w:sz w:val="20"/>
                <w:szCs w:val="20"/>
                <w:color w:val="auto"/>
              </w:rPr>
            </w:pPr>
            <w:r>
              <w:rPr>
                <w:rFonts w:ascii="Arial" w:cs="Arial" w:eastAsia="Arial" w:hAnsi="Arial"/>
                <w:sz w:val="15"/>
                <w:szCs w:val="15"/>
                <w:color w:val="auto"/>
                <w:w w:val="92"/>
              </w:rPr>
              <w:t>8/5/2021</w:t>
            </w:r>
          </w:p>
        </w:tc>
        <w:tc>
          <w:tcPr>
            <w:tcW w:w="18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2"/>
            <w:shd w:val="clear" w:color="auto" w:fill="D2EEF5"/>
          </w:tcPr>
          <w:p>
            <w:pPr>
              <w:ind w:left="180"/>
              <w:spacing w:after="0"/>
              <w:rPr>
                <w:sz w:val="20"/>
                <w:szCs w:val="20"/>
                <w:color w:val="auto"/>
              </w:rPr>
            </w:pPr>
            <w:r>
              <w:rPr>
                <w:rFonts w:ascii="Arial" w:cs="Arial" w:eastAsia="Arial" w:hAnsi="Arial"/>
                <w:sz w:val="15"/>
                <w:szCs w:val="15"/>
                <w:u w:val="single" w:color="auto"/>
                <w:color w:val="auto"/>
              </w:rPr>
              <w:t>Property, Clarion Clipperton Zone, for Deep Green Metals Inc.</w:t>
            </w:r>
            <w:r>
              <w:rPr>
                <w:rFonts w:ascii="Arial" w:cs="Arial" w:eastAsia="Arial" w:hAnsi="Arial"/>
                <w:sz w:val="15"/>
                <w:szCs w:val="15"/>
                <w:color w:val="auto"/>
              </w:rPr>
              <w:t>,</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96.1)</w:t>
            </w: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183"/>
        </w:trPr>
        <w:tc>
          <w:tcPr>
            <w:tcW w:w="1020" w:type="dxa"/>
            <w:vAlign w:val="bottom"/>
            <w:tcBorders>
              <w:left w:val="single" w:sz="8" w:color="auto"/>
              <w:right w:val="single" w:sz="8" w:color="auto"/>
            </w:tcBorders>
            <w:shd w:val="clear" w:color="auto" w:fill="D2EEF5"/>
          </w:tcPr>
          <w:p>
            <w:pPr>
              <w:spacing w:after="0"/>
              <w:rPr>
                <w:sz w:val="15"/>
                <w:szCs w:val="15"/>
                <w:color w:val="auto"/>
              </w:rPr>
            </w:pPr>
          </w:p>
        </w:tc>
        <w:tc>
          <w:tcPr>
            <w:tcW w:w="4480" w:type="dxa"/>
            <w:vAlign w:val="bottom"/>
            <w:tcBorders>
              <w:right w:val="single" w:sz="8" w:color="auto"/>
            </w:tcBorders>
            <w:gridSpan w:val="2"/>
            <w:shd w:val="clear" w:color="auto" w:fill="D2EEF5"/>
          </w:tcPr>
          <w:p>
            <w:pPr>
              <w:ind w:left="180"/>
              <w:spacing w:after="0"/>
              <w:rPr>
                <w:sz w:val="20"/>
                <w:szCs w:val="20"/>
                <w:color w:val="auto"/>
              </w:rPr>
            </w:pPr>
            <w:r>
              <w:rPr>
                <w:rFonts w:ascii="Arial" w:cs="Arial" w:eastAsia="Arial" w:hAnsi="Arial"/>
                <w:sz w:val="15"/>
                <w:szCs w:val="15"/>
                <w:u w:val="single" w:color="auto"/>
                <w:color w:val="auto"/>
                <w:w w:val="99"/>
              </w:rPr>
              <w:t>effective as of March 17, 2021, by AMC Consultants Pty Ltd and</w:t>
            </w:r>
          </w:p>
        </w:tc>
        <w:tc>
          <w:tcPr>
            <w:tcW w:w="80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720" w:type="dxa"/>
            <w:vAlign w:val="bottom"/>
            <w:tcBorders>
              <w:right w:val="single" w:sz="8" w:color="auto"/>
            </w:tcBorders>
            <w:shd w:val="clear" w:color="auto" w:fill="D2EEF5"/>
          </w:tcPr>
          <w:p>
            <w:pPr>
              <w:spacing w:after="0"/>
              <w:rPr>
                <w:sz w:val="15"/>
                <w:szCs w:val="15"/>
                <w:color w:val="auto"/>
              </w:rPr>
            </w:pPr>
          </w:p>
        </w:tc>
        <w:tc>
          <w:tcPr>
            <w:tcW w:w="1080" w:type="dxa"/>
            <w:vAlign w:val="bottom"/>
            <w:tcBorders>
              <w:right w:val="single" w:sz="8" w:color="auto"/>
            </w:tcBorders>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1180" w:type="dxa"/>
            <w:vAlign w:val="bottom"/>
            <w:tcBorders>
              <w:right w:val="single" w:sz="8" w:color="auto"/>
            </w:tcBorders>
            <w:shd w:val="clear" w:color="auto" w:fill="D2EEF5"/>
          </w:tcPr>
          <w:p>
            <w:pPr>
              <w:spacing w:after="0"/>
              <w:rPr>
                <w:sz w:val="15"/>
                <w:szCs w:val="15"/>
                <w:color w:val="auto"/>
              </w:rPr>
            </w:pPr>
          </w:p>
        </w:tc>
      </w:tr>
      <w:tr>
        <w:trPr>
          <w:trHeight w:val="224"/>
        </w:trPr>
        <w:tc>
          <w:tcPr>
            <w:tcW w:w="1020" w:type="dxa"/>
            <w:vAlign w:val="bottom"/>
            <w:tcBorders>
              <w:left w:val="single" w:sz="8" w:color="auto"/>
              <w:bottom w:val="single" w:sz="8" w:color="auto"/>
              <w:right w:val="single" w:sz="8" w:color="auto"/>
            </w:tcBorders>
            <w:shd w:val="clear" w:color="auto" w:fill="D2EEF5"/>
          </w:tcPr>
          <w:p>
            <w:pPr>
              <w:spacing w:after="0"/>
              <w:rPr>
                <w:sz w:val="19"/>
                <w:szCs w:val="19"/>
                <w:color w:val="auto"/>
              </w:rPr>
            </w:pPr>
          </w:p>
        </w:tc>
        <w:tc>
          <w:tcPr>
            <w:tcW w:w="4480" w:type="dxa"/>
            <w:vAlign w:val="bottom"/>
            <w:tcBorders>
              <w:bottom w:val="single" w:sz="8" w:color="auto"/>
              <w:right w:val="single" w:sz="8" w:color="auto"/>
            </w:tcBorders>
            <w:gridSpan w:val="2"/>
            <w:shd w:val="clear" w:color="auto" w:fill="D2EEF5"/>
          </w:tcPr>
          <w:p>
            <w:pPr>
              <w:ind w:left="180"/>
              <w:spacing w:after="0"/>
              <w:rPr>
                <w:sz w:val="20"/>
                <w:szCs w:val="20"/>
                <w:color w:val="auto"/>
              </w:rPr>
            </w:pPr>
            <w:r>
              <w:rPr>
                <w:rFonts w:ascii="Arial" w:cs="Arial" w:eastAsia="Arial" w:hAnsi="Arial"/>
                <w:sz w:val="15"/>
                <w:szCs w:val="15"/>
                <w:u w:val="single" w:color="auto"/>
                <w:color w:val="auto"/>
              </w:rPr>
              <w:t>other qualified persons</w:t>
            </w:r>
          </w:p>
        </w:tc>
        <w:tc>
          <w:tcPr>
            <w:tcW w:w="80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720" w:type="dxa"/>
            <w:vAlign w:val="bottom"/>
            <w:tcBorders>
              <w:bottom w:val="single" w:sz="8" w:color="auto"/>
              <w:right w:val="single" w:sz="8" w:color="auto"/>
            </w:tcBorders>
            <w:shd w:val="clear" w:color="auto" w:fill="D2EEF5"/>
          </w:tcPr>
          <w:p>
            <w:pPr>
              <w:spacing w:after="0"/>
              <w:rPr>
                <w:sz w:val="19"/>
                <w:szCs w:val="19"/>
                <w:color w:val="auto"/>
              </w:rPr>
            </w:pPr>
          </w:p>
        </w:tc>
        <w:tc>
          <w:tcPr>
            <w:tcW w:w="1080" w:type="dxa"/>
            <w:vAlign w:val="bottom"/>
            <w:tcBorders>
              <w:bottom w:val="single" w:sz="8" w:color="auto"/>
              <w:right w:val="single" w:sz="8" w:color="auto"/>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180" w:type="dxa"/>
            <w:vAlign w:val="bottom"/>
            <w:tcBorders>
              <w:bottom w:val="single" w:sz="8" w:color="auto"/>
              <w:right w:val="single" w:sz="8" w:color="auto"/>
            </w:tcBorders>
            <w:shd w:val="clear" w:color="auto" w:fill="D2EEF5"/>
          </w:tcPr>
          <w:p>
            <w:pPr>
              <w:spacing w:after="0"/>
              <w:rPr>
                <w:sz w:val="19"/>
                <w:szCs w:val="19"/>
                <w:color w:val="auto"/>
              </w:rPr>
            </w:pPr>
          </w:p>
        </w:tc>
      </w:tr>
      <w:tr>
        <w:trPr>
          <w:trHeight w:val="133"/>
        </w:trPr>
        <w:tc>
          <w:tcPr>
            <w:tcW w:w="10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5"/>
                <w:szCs w:val="15"/>
                <w:color w:val="auto"/>
              </w:rPr>
              <w:t>96.2</w:t>
            </w:r>
          </w:p>
        </w:tc>
        <w:tc>
          <w:tcPr>
            <w:tcW w:w="4480" w:type="dxa"/>
            <w:vAlign w:val="bottom"/>
            <w:tcBorders>
              <w:right w:val="single" w:sz="8" w:color="auto"/>
            </w:tcBorders>
            <w:gridSpan w:val="2"/>
          </w:tcPr>
          <w:p>
            <w:pPr>
              <w:ind w:left="180"/>
              <w:spacing w:after="0" w:line="133" w:lineRule="exact"/>
              <w:rPr>
                <w:sz w:val="20"/>
                <w:szCs w:val="20"/>
                <w:color w:val="auto"/>
              </w:rPr>
            </w:pPr>
            <w:r>
              <w:rPr>
                <w:rFonts w:ascii="Arial" w:cs="Arial" w:eastAsia="Arial" w:hAnsi="Arial"/>
                <w:sz w:val="15"/>
                <w:szCs w:val="15"/>
                <w:u w:val="single" w:color="auto"/>
                <w:color w:val="auto"/>
              </w:rPr>
              <w:t>Technical Report Summary — TOML Mineral Resource, Clarion</w:t>
            </w: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6"/>
              </w:rPr>
              <w:t>Form S-4/A</w:t>
            </w:r>
          </w:p>
        </w:tc>
        <w:tc>
          <w:tcPr>
            <w:tcW w:w="1080" w:type="dxa"/>
            <w:vAlign w:val="bottom"/>
            <w:tcBorders>
              <w:right w:val="single" w:sz="8" w:color="auto"/>
            </w:tcBorders>
          </w:tcPr>
          <w:p>
            <w:pPr>
              <w:jc w:val="center"/>
              <w:ind w:left="24"/>
              <w:spacing w:after="0" w:line="133" w:lineRule="exact"/>
              <w:rPr>
                <w:sz w:val="20"/>
                <w:szCs w:val="20"/>
                <w:color w:val="auto"/>
              </w:rPr>
            </w:pPr>
            <w:r>
              <w:rPr>
                <w:rFonts w:ascii="Arial" w:cs="Arial" w:eastAsia="Arial" w:hAnsi="Arial"/>
                <w:sz w:val="15"/>
                <w:szCs w:val="15"/>
                <w:color w:val="auto"/>
                <w:w w:val="92"/>
              </w:rPr>
              <w:t>8/5/2021</w:t>
            </w:r>
          </w:p>
        </w:tc>
        <w:tc>
          <w:tcPr>
            <w:tcW w:w="18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89"/>
              </w:rPr>
              <w:t>333-255118</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u w:val="single" w:color="auto"/>
                <w:color w:val="auto"/>
              </w:rPr>
              <w:t>Clipperton Zone, Pacific Ocean, for Deep Green Metals Inc.</w:t>
            </w:r>
            <w:r>
              <w:rPr>
                <w:rFonts w:ascii="Arial" w:cs="Arial" w:eastAsia="Arial" w:hAnsi="Arial"/>
                <w:sz w:val="15"/>
                <w:szCs w:val="15"/>
                <w:color w:val="auto"/>
              </w:rPr>
              <w:t>,</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(Exhibit 96.2)</w:t>
            </w: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u w:val="single" w:color="auto"/>
                <w:color w:val="auto"/>
                <w:w w:val="99"/>
              </w:rPr>
              <w:t>effective as of March 26, 2021, by AMC Consultants Pty Ltd and</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5"/>
                <w:szCs w:val="15"/>
                <w:u w:val="single" w:color="auto"/>
                <w:color w:val="auto"/>
              </w:rPr>
              <w:t>other qualified persons</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D2EEF5"/>
          </w:tcPr>
          <w:p>
            <w:pPr>
              <w:ind w:left="20"/>
              <w:spacing w:after="0" w:line="154" w:lineRule="exact"/>
              <w:rPr>
                <w:sz w:val="20"/>
                <w:szCs w:val="20"/>
                <w:color w:val="auto"/>
              </w:rPr>
            </w:pPr>
            <w:r>
              <w:rPr>
                <w:rFonts w:ascii="Arial" w:cs="Arial" w:eastAsia="Arial" w:hAnsi="Arial"/>
                <w:sz w:val="15"/>
                <w:szCs w:val="15"/>
                <w:color w:val="auto"/>
              </w:rPr>
              <w:t>97+</w:t>
            </w:r>
          </w:p>
        </w:tc>
        <w:tc>
          <w:tcPr>
            <w:tcW w:w="4480" w:type="dxa"/>
            <w:vAlign w:val="bottom"/>
            <w:tcBorders>
              <w:right w:val="single" w:sz="8" w:color="auto"/>
            </w:tcBorders>
            <w:gridSpan w:val="2"/>
            <w:shd w:val="clear" w:color="auto" w:fill="D2EEF5"/>
          </w:tcPr>
          <w:p>
            <w:pPr>
              <w:ind w:left="180"/>
              <w:spacing w:after="0" w:line="154" w:lineRule="exact"/>
              <w:rPr>
                <w:sz w:val="20"/>
                <w:szCs w:val="20"/>
                <w:color w:val="auto"/>
              </w:rPr>
            </w:pPr>
            <w:r>
              <w:rPr>
                <w:rFonts w:ascii="Arial" w:cs="Arial" w:eastAsia="Arial" w:hAnsi="Arial"/>
                <w:sz w:val="15"/>
                <w:szCs w:val="15"/>
                <w:u w:val="single" w:color="auto"/>
                <w:color w:val="auto"/>
              </w:rPr>
              <w:t>TMC the metals company Inc. Clawback Policy</w:t>
            </w:r>
          </w:p>
        </w:tc>
        <w:tc>
          <w:tcPr>
            <w:tcW w:w="800" w:type="dxa"/>
            <w:vAlign w:val="bottom"/>
            <w:tcBorders>
              <w:right w:val="single" w:sz="8" w:color="auto"/>
            </w:tcBorders>
            <w:shd w:val="clear" w:color="auto" w:fill="D2EEF5"/>
          </w:tcPr>
          <w:p>
            <w:pPr>
              <w:spacing w:after="0"/>
              <w:rPr>
                <w:sz w:val="13"/>
                <w:szCs w:val="13"/>
                <w:color w:val="auto"/>
              </w:rPr>
            </w:pPr>
          </w:p>
        </w:tc>
        <w:tc>
          <w:tcPr>
            <w:tcW w:w="180" w:type="dxa"/>
            <w:vAlign w:val="bottom"/>
            <w:shd w:val="clear" w:color="auto" w:fill="D2EEF5"/>
          </w:tcPr>
          <w:p>
            <w:pPr>
              <w:spacing w:after="0"/>
              <w:rPr>
                <w:sz w:val="13"/>
                <w:szCs w:val="13"/>
                <w:color w:val="auto"/>
              </w:rPr>
            </w:pPr>
          </w:p>
        </w:tc>
        <w:tc>
          <w:tcPr>
            <w:tcW w:w="172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5"/>
              </w:rPr>
              <w:t>Form 10-K</w:t>
            </w:r>
          </w:p>
        </w:tc>
        <w:tc>
          <w:tcPr>
            <w:tcW w:w="1080" w:type="dxa"/>
            <w:vAlign w:val="bottom"/>
            <w:tcBorders>
              <w:right w:val="single" w:sz="8" w:color="auto"/>
            </w:tcBorders>
            <w:shd w:val="clear" w:color="auto" w:fill="D2EEF5"/>
          </w:tcPr>
          <w:p>
            <w:pPr>
              <w:jc w:val="center"/>
              <w:ind w:left="24"/>
              <w:spacing w:after="0" w:line="154" w:lineRule="exact"/>
              <w:rPr>
                <w:sz w:val="20"/>
                <w:szCs w:val="20"/>
                <w:color w:val="auto"/>
              </w:rPr>
            </w:pPr>
            <w:r>
              <w:rPr>
                <w:rFonts w:ascii="Arial" w:cs="Arial" w:eastAsia="Arial" w:hAnsi="Arial"/>
                <w:sz w:val="15"/>
                <w:szCs w:val="15"/>
                <w:color w:val="auto"/>
                <w:w w:val="92"/>
              </w:rPr>
              <w:t>3/25/2024</w:t>
            </w:r>
          </w:p>
        </w:tc>
        <w:tc>
          <w:tcPr>
            <w:tcW w:w="180" w:type="dxa"/>
            <w:vAlign w:val="bottom"/>
            <w:shd w:val="clear" w:color="auto" w:fill="D2EEF5"/>
          </w:tcPr>
          <w:p>
            <w:pPr>
              <w:spacing w:after="0"/>
              <w:rPr>
                <w:sz w:val="13"/>
                <w:szCs w:val="13"/>
                <w:color w:val="auto"/>
              </w:rPr>
            </w:pPr>
          </w:p>
        </w:tc>
        <w:tc>
          <w:tcPr>
            <w:tcW w:w="1180" w:type="dxa"/>
            <w:vAlign w:val="bottom"/>
            <w:tcBorders>
              <w:right w:val="single" w:sz="8" w:color="auto"/>
            </w:tcBorders>
            <w:shd w:val="clear" w:color="auto" w:fill="D2EEF5"/>
          </w:tcPr>
          <w:p>
            <w:pPr>
              <w:jc w:val="center"/>
              <w:spacing w:after="0" w:line="154"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D2EEF5"/>
          </w:tcPr>
          <w:p>
            <w:pPr>
              <w:spacing w:after="0"/>
              <w:rPr>
                <w:sz w:val="17"/>
                <w:szCs w:val="17"/>
                <w:color w:val="auto"/>
              </w:rPr>
            </w:pPr>
          </w:p>
        </w:tc>
        <w:tc>
          <w:tcPr>
            <w:tcW w:w="1640" w:type="dxa"/>
            <w:vAlign w:val="bottom"/>
            <w:tcBorders>
              <w:bottom w:val="single" w:sz="8" w:color="auto"/>
            </w:tcBorders>
            <w:shd w:val="clear" w:color="auto" w:fill="D2EEF5"/>
          </w:tcPr>
          <w:p>
            <w:pPr>
              <w:spacing w:after="0"/>
              <w:rPr>
                <w:sz w:val="17"/>
                <w:szCs w:val="17"/>
                <w:color w:val="auto"/>
              </w:rPr>
            </w:pPr>
          </w:p>
        </w:tc>
        <w:tc>
          <w:tcPr>
            <w:tcW w:w="2840" w:type="dxa"/>
            <w:vAlign w:val="bottom"/>
            <w:tcBorders>
              <w:bottom w:val="single" w:sz="8" w:color="auto"/>
              <w:right w:val="single" w:sz="8" w:color="auto"/>
            </w:tcBorders>
            <w:shd w:val="clear" w:color="auto" w:fill="D2EEF5"/>
          </w:tcPr>
          <w:p>
            <w:pPr>
              <w:spacing w:after="0"/>
              <w:rPr>
                <w:sz w:val="17"/>
                <w:szCs w:val="17"/>
                <w:color w:val="auto"/>
              </w:rPr>
            </w:pPr>
          </w:p>
        </w:tc>
        <w:tc>
          <w:tcPr>
            <w:tcW w:w="80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jc w:val="center"/>
              <w:spacing w:after="0"/>
              <w:rPr>
                <w:sz w:val="20"/>
                <w:szCs w:val="20"/>
                <w:color w:val="auto"/>
              </w:rPr>
            </w:pPr>
            <w:r>
              <w:rPr>
                <w:rFonts w:ascii="Arial" w:cs="Arial" w:eastAsia="Arial" w:hAnsi="Arial"/>
                <w:sz w:val="15"/>
                <w:szCs w:val="15"/>
                <w:color w:val="auto"/>
                <w:w w:val="97"/>
              </w:rPr>
              <w:t>(Exhibit 97.1)</w:t>
            </w: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101.INS</w:t>
            </w:r>
          </w:p>
        </w:tc>
        <w:tc>
          <w:tcPr>
            <w:tcW w:w="4480" w:type="dxa"/>
            <w:vAlign w:val="bottom"/>
            <w:tcBorders>
              <w:right w:val="single" w:sz="8" w:color="auto"/>
            </w:tcBorders>
            <w:gridSpan w:val="2"/>
          </w:tcPr>
          <w:p>
            <w:pPr>
              <w:ind w:left="180"/>
              <w:spacing w:after="0" w:line="154" w:lineRule="exact"/>
              <w:rPr>
                <w:sz w:val="20"/>
                <w:szCs w:val="20"/>
                <w:color w:val="auto"/>
              </w:rPr>
            </w:pPr>
            <w:r>
              <w:rPr>
                <w:rFonts w:ascii="Arial" w:cs="Arial" w:eastAsia="Arial" w:hAnsi="Arial"/>
                <w:sz w:val="15"/>
                <w:szCs w:val="15"/>
                <w:color w:val="auto"/>
                <w:w w:val="98"/>
              </w:rPr>
              <w:t>Inline XBRL Instance Document (the instance document does not</w:t>
            </w:r>
          </w:p>
        </w:tc>
        <w:tc>
          <w:tcPr>
            <w:tcW w:w="800" w:type="dxa"/>
            <w:vAlign w:val="bottom"/>
            <w:tcBorders>
              <w:right w:val="single" w:sz="8" w:color="auto"/>
            </w:tcBorders>
          </w:tcPr>
          <w:p>
            <w:pPr>
              <w:ind w:left="420"/>
              <w:spacing w:after="0" w:line="154" w:lineRule="exact"/>
              <w:rPr>
                <w:sz w:val="20"/>
                <w:szCs w:val="20"/>
                <w:color w:val="auto"/>
              </w:rPr>
            </w:pPr>
            <w:r>
              <w:rPr>
                <w:rFonts w:ascii="Arial" w:cs="Arial" w:eastAsia="Arial" w:hAnsi="Arial"/>
                <w:sz w:val="15"/>
                <w:szCs w:val="15"/>
                <w:color w:val="auto"/>
              </w:rPr>
              <w:t>X</w:t>
            </w:r>
          </w:p>
        </w:tc>
        <w:tc>
          <w:tcPr>
            <w:tcW w:w="18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appear in the Interactive Data File because its XBRL tags are</w:t>
            </w:r>
          </w:p>
        </w:tc>
        <w:tc>
          <w:tcPr>
            <w:tcW w:w="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5"/>
                <w:szCs w:val="15"/>
                <w:color w:val="auto"/>
              </w:rPr>
              <w:t>embedded within the Inline XBRL document)</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97"/>
        </w:trPr>
        <w:tc>
          <w:tcPr>
            <w:tcW w:w="1020" w:type="dxa"/>
            <w:vAlign w:val="bottom"/>
            <w:tcBorders>
              <w:left w:val="single" w:sz="8" w:color="auto"/>
              <w:bottom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101.SCH</w:t>
            </w:r>
          </w:p>
        </w:tc>
        <w:tc>
          <w:tcPr>
            <w:tcW w:w="4480" w:type="dxa"/>
            <w:vAlign w:val="bottom"/>
            <w:tcBorders>
              <w:bottom w:val="single" w:sz="8" w:color="auto"/>
              <w:right w:val="single" w:sz="8" w:color="auto"/>
            </w:tcBorders>
            <w:gridSpan w:val="2"/>
            <w:shd w:val="clear" w:color="auto" w:fill="D2EEF5"/>
          </w:tcPr>
          <w:p>
            <w:pPr>
              <w:ind w:left="180"/>
              <w:spacing w:after="0"/>
              <w:rPr>
                <w:sz w:val="20"/>
                <w:szCs w:val="20"/>
                <w:color w:val="auto"/>
              </w:rPr>
            </w:pPr>
            <w:r>
              <w:rPr>
                <w:rFonts w:ascii="Arial" w:cs="Arial" w:eastAsia="Arial" w:hAnsi="Arial"/>
                <w:sz w:val="15"/>
                <w:szCs w:val="15"/>
                <w:color w:val="auto"/>
              </w:rPr>
              <w:t>Inline XBRL Taxonomy Extension Schema Document</w:t>
            </w:r>
          </w:p>
        </w:tc>
        <w:tc>
          <w:tcPr>
            <w:tcW w:w="800" w:type="dxa"/>
            <w:vAlign w:val="bottom"/>
            <w:tcBorders>
              <w:bottom w:val="single" w:sz="8" w:color="auto"/>
              <w:right w:val="single" w:sz="8" w:color="auto"/>
            </w:tcBorders>
            <w:shd w:val="clear" w:color="auto" w:fill="D2EEF5"/>
          </w:tcPr>
          <w:p>
            <w:pPr>
              <w:ind w:left="420"/>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97"/>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101.CAL</w:t>
            </w:r>
          </w:p>
        </w:tc>
        <w:tc>
          <w:tcPr>
            <w:tcW w:w="4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5"/>
                <w:szCs w:val="15"/>
                <w:color w:val="auto"/>
                <w:w w:val="97"/>
              </w:rPr>
              <w:t>Inline XBRL Taxonomy Extension Calculation Linkbase Document</w:t>
            </w:r>
          </w:p>
        </w:tc>
        <w:tc>
          <w:tcPr>
            <w:tcW w:w="8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97"/>
        </w:trPr>
        <w:tc>
          <w:tcPr>
            <w:tcW w:w="1020" w:type="dxa"/>
            <w:vAlign w:val="bottom"/>
            <w:tcBorders>
              <w:left w:val="single" w:sz="8" w:color="auto"/>
              <w:bottom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101.DEF</w:t>
            </w:r>
          </w:p>
        </w:tc>
        <w:tc>
          <w:tcPr>
            <w:tcW w:w="4480" w:type="dxa"/>
            <w:vAlign w:val="bottom"/>
            <w:tcBorders>
              <w:bottom w:val="single" w:sz="8" w:color="auto"/>
              <w:right w:val="single" w:sz="8" w:color="auto"/>
            </w:tcBorders>
            <w:gridSpan w:val="2"/>
            <w:shd w:val="clear" w:color="auto" w:fill="D2EEF5"/>
          </w:tcPr>
          <w:p>
            <w:pPr>
              <w:ind w:left="180"/>
              <w:spacing w:after="0"/>
              <w:rPr>
                <w:sz w:val="20"/>
                <w:szCs w:val="20"/>
                <w:color w:val="auto"/>
              </w:rPr>
            </w:pPr>
            <w:r>
              <w:rPr>
                <w:rFonts w:ascii="Arial" w:cs="Arial" w:eastAsia="Arial" w:hAnsi="Arial"/>
                <w:sz w:val="15"/>
                <w:szCs w:val="15"/>
                <w:color w:val="auto"/>
                <w:w w:val="99"/>
              </w:rPr>
              <w:t>Inline XBRL Taxonomy Extension Definition Linkbase Document</w:t>
            </w:r>
          </w:p>
        </w:tc>
        <w:tc>
          <w:tcPr>
            <w:tcW w:w="800" w:type="dxa"/>
            <w:vAlign w:val="bottom"/>
            <w:tcBorders>
              <w:bottom w:val="single" w:sz="8" w:color="auto"/>
              <w:right w:val="single" w:sz="8" w:color="auto"/>
            </w:tcBorders>
            <w:shd w:val="clear" w:color="auto" w:fill="D2EEF5"/>
          </w:tcPr>
          <w:p>
            <w:pPr>
              <w:ind w:left="420"/>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97"/>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101.LAB</w:t>
            </w:r>
          </w:p>
        </w:tc>
        <w:tc>
          <w:tcPr>
            <w:tcW w:w="4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5"/>
                <w:szCs w:val="15"/>
                <w:color w:val="auto"/>
              </w:rPr>
              <w:t>Inline XBRL Taxonomy Extension Label Linkbase Document</w:t>
            </w:r>
          </w:p>
        </w:tc>
        <w:tc>
          <w:tcPr>
            <w:tcW w:w="8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98"/>
        </w:trPr>
        <w:tc>
          <w:tcPr>
            <w:tcW w:w="1020" w:type="dxa"/>
            <w:vAlign w:val="bottom"/>
            <w:tcBorders>
              <w:left w:val="single" w:sz="8" w:color="auto"/>
              <w:bottom w:val="single" w:sz="8" w:color="auto"/>
              <w:right w:val="single" w:sz="8" w:color="auto"/>
            </w:tcBorders>
            <w:shd w:val="clear" w:color="auto" w:fill="D2EEF5"/>
          </w:tcPr>
          <w:p>
            <w:pPr>
              <w:ind w:left="20"/>
              <w:spacing w:after="0"/>
              <w:rPr>
                <w:sz w:val="20"/>
                <w:szCs w:val="20"/>
                <w:color w:val="auto"/>
              </w:rPr>
            </w:pPr>
            <w:r>
              <w:rPr>
                <w:rFonts w:ascii="Arial" w:cs="Arial" w:eastAsia="Arial" w:hAnsi="Arial"/>
                <w:sz w:val="15"/>
                <w:szCs w:val="15"/>
                <w:color w:val="auto"/>
              </w:rPr>
              <w:t>101.PRE</w:t>
            </w:r>
          </w:p>
        </w:tc>
        <w:tc>
          <w:tcPr>
            <w:tcW w:w="4480" w:type="dxa"/>
            <w:vAlign w:val="bottom"/>
            <w:tcBorders>
              <w:bottom w:val="single" w:sz="8" w:color="auto"/>
              <w:right w:val="single" w:sz="8" w:color="auto"/>
            </w:tcBorders>
            <w:gridSpan w:val="2"/>
            <w:shd w:val="clear" w:color="auto" w:fill="D2EEF5"/>
          </w:tcPr>
          <w:p>
            <w:pPr>
              <w:ind w:left="180"/>
              <w:spacing w:after="0"/>
              <w:rPr>
                <w:sz w:val="20"/>
                <w:szCs w:val="20"/>
                <w:color w:val="auto"/>
              </w:rPr>
            </w:pPr>
            <w:r>
              <w:rPr>
                <w:rFonts w:ascii="Arial" w:cs="Arial" w:eastAsia="Arial" w:hAnsi="Arial"/>
                <w:sz w:val="15"/>
                <w:szCs w:val="15"/>
                <w:color w:val="auto"/>
                <w:w w:val="94"/>
              </w:rPr>
              <w:t>Inline XBRL Taxonomy Extension Presentation Linkbase Document</w:t>
            </w:r>
          </w:p>
        </w:tc>
        <w:tc>
          <w:tcPr>
            <w:tcW w:w="800" w:type="dxa"/>
            <w:vAlign w:val="bottom"/>
            <w:tcBorders>
              <w:bottom w:val="single" w:sz="8" w:color="auto"/>
              <w:right w:val="single" w:sz="8" w:color="auto"/>
            </w:tcBorders>
            <w:shd w:val="clear" w:color="auto" w:fill="D2EEF5"/>
          </w:tcPr>
          <w:p>
            <w:pPr>
              <w:ind w:left="420"/>
              <w:spacing w:after="0"/>
              <w:rPr>
                <w:sz w:val="20"/>
                <w:szCs w:val="20"/>
                <w:color w:val="auto"/>
              </w:rPr>
            </w:pPr>
            <w:r>
              <w:rPr>
                <w:rFonts w:ascii="Arial" w:cs="Arial" w:eastAsia="Arial" w:hAnsi="Arial"/>
                <w:sz w:val="15"/>
                <w:szCs w:val="15"/>
                <w:color w:val="auto"/>
              </w:rPr>
              <w:t>X</w:t>
            </w:r>
          </w:p>
        </w:tc>
        <w:tc>
          <w:tcPr>
            <w:tcW w:w="180" w:type="dxa"/>
            <w:vAlign w:val="bottom"/>
            <w:tcBorders>
              <w:bottom w:val="single" w:sz="8" w:color="auto"/>
            </w:tcBorders>
            <w:shd w:val="clear" w:color="auto" w:fill="D2EEF5"/>
          </w:tcPr>
          <w:p>
            <w:pPr>
              <w:spacing w:after="0"/>
              <w:rPr>
                <w:sz w:val="17"/>
                <w:szCs w:val="17"/>
                <w:color w:val="auto"/>
              </w:rPr>
            </w:pPr>
          </w:p>
        </w:tc>
        <w:tc>
          <w:tcPr>
            <w:tcW w:w="1720" w:type="dxa"/>
            <w:vAlign w:val="bottom"/>
            <w:tcBorders>
              <w:bottom w:val="single" w:sz="8" w:color="auto"/>
              <w:right w:val="single" w:sz="8" w:color="auto"/>
            </w:tcBorders>
            <w:shd w:val="clear" w:color="auto" w:fill="D2EEF5"/>
          </w:tcPr>
          <w:p>
            <w:pPr>
              <w:spacing w:after="0"/>
              <w:rPr>
                <w:sz w:val="17"/>
                <w:szCs w:val="17"/>
                <w:color w:val="auto"/>
              </w:rPr>
            </w:pPr>
          </w:p>
        </w:tc>
        <w:tc>
          <w:tcPr>
            <w:tcW w:w="1080" w:type="dxa"/>
            <w:vAlign w:val="bottom"/>
            <w:tcBorders>
              <w:bottom w:val="single" w:sz="8" w:color="auto"/>
              <w:right w:val="single" w:sz="8" w:color="auto"/>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180" w:type="dxa"/>
            <w:vAlign w:val="bottom"/>
            <w:tcBorders>
              <w:bottom w:val="single" w:sz="8" w:color="auto"/>
              <w:right w:val="single" w:sz="8" w:color="auto"/>
            </w:tcBorders>
            <w:shd w:val="clear" w:color="auto" w:fill="D2EEF5"/>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5"/>
                <w:szCs w:val="15"/>
                <w:color w:val="auto"/>
              </w:rPr>
              <w:t>104</w:t>
            </w:r>
          </w:p>
        </w:tc>
        <w:tc>
          <w:tcPr>
            <w:tcW w:w="4480" w:type="dxa"/>
            <w:vAlign w:val="bottom"/>
            <w:tcBorders>
              <w:right w:val="single" w:sz="8" w:color="auto"/>
            </w:tcBorders>
            <w:gridSpan w:val="2"/>
          </w:tcPr>
          <w:p>
            <w:pPr>
              <w:ind w:left="180"/>
              <w:spacing w:after="0" w:line="153" w:lineRule="exact"/>
              <w:rPr>
                <w:sz w:val="20"/>
                <w:szCs w:val="20"/>
                <w:color w:val="auto"/>
              </w:rPr>
            </w:pPr>
            <w:r>
              <w:rPr>
                <w:rFonts w:ascii="Arial" w:cs="Arial" w:eastAsia="Arial" w:hAnsi="Arial"/>
                <w:sz w:val="15"/>
                <w:szCs w:val="15"/>
                <w:color w:val="auto"/>
                <w:w w:val="95"/>
              </w:rPr>
              <w:t>Cover Page Interactive Data File (embedded within the Inline XBRL</w:t>
            </w:r>
          </w:p>
        </w:tc>
        <w:tc>
          <w:tcPr>
            <w:tcW w:w="800" w:type="dxa"/>
            <w:vAlign w:val="bottom"/>
            <w:tcBorders>
              <w:right w:val="single" w:sz="8" w:color="auto"/>
            </w:tcBorders>
          </w:tcPr>
          <w:p>
            <w:pPr>
              <w:ind w:left="420"/>
              <w:spacing w:after="0" w:line="153" w:lineRule="exact"/>
              <w:rPr>
                <w:sz w:val="20"/>
                <w:szCs w:val="20"/>
                <w:color w:val="auto"/>
              </w:rPr>
            </w:pPr>
            <w:r>
              <w:rPr>
                <w:rFonts w:ascii="Arial" w:cs="Arial" w:eastAsia="Arial" w:hAnsi="Arial"/>
                <w:sz w:val="15"/>
                <w:szCs w:val="15"/>
                <w:color w:val="auto"/>
              </w:rPr>
              <w:t>X</w:t>
            </w:r>
          </w:p>
        </w:tc>
        <w:tc>
          <w:tcPr>
            <w:tcW w:w="18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5"/>
                <w:szCs w:val="15"/>
                <w:color w:val="auto"/>
              </w:rPr>
              <w:t>document)</w:t>
            </w: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83"/>
        </w:trPr>
        <w:tc>
          <w:tcPr>
            <w:tcW w:w="10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1997075</wp:posOffset>
                </wp:positionH>
                <wp:positionV relativeFrom="paragraph">
                  <wp:posOffset>-1970405</wp:posOffset>
                </wp:positionV>
                <wp:extent cx="24130" cy="1270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30" cy="12700"/>
                        </a:xfrm>
                        <a:prstGeom prst="rect">
                          <a:avLst/>
                        </a:prstGeom>
                        <a:solidFill>
                          <a:srgbClr val="000000"/>
                        </a:solidFill>
                      </wps:spPr>
                      <wps:bodyPr/>
                    </wps:wsp>
                  </a:graphicData>
                </a:graphic>
              </wp:anchor>
            </w:drawing>
          </mc:Choice>
          <mc:Fallback>
            <w:pict>
              <v:rect id="Shape 213" o:spid="_x0000_s1238" style="position:absolute;margin-left:157.25pt;margin-top:-155.1499pt;width:1.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39" w:lineRule="exact"/>
        <w:rPr>
          <w:sz w:val="20"/>
          <w:szCs w:val="20"/>
          <w:color w:val="auto"/>
        </w:rPr>
      </w:pPr>
    </w:p>
    <w:p>
      <w:pPr>
        <w:ind w:left="360" w:right="80" w:hanging="280"/>
        <w:spacing w:after="0" w:line="299" w:lineRule="auto"/>
        <w:tabs>
          <w:tab w:leader="none" w:pos="3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19" w:lineRule="exact"/>
        <w:rPr>
          <w:rFonts w:ascii="Arial" w:cs="Arial" w:eastAsia="Arial" w:hAnsi="Arial"/>
          <w:sz w:val="15"/>
          <w:szCs w:val="15"/>
          <w:color w:val="auto"/>
        </w:rPr>
      </w:pPr>
    </w:p>
    <w:p>
      <w:pPr>
        <w:ind w:left="360" w:right="80" w:hanging="280"/>
        <w:spacing w:after="0" w:line="299" w:lineRule="auto"/>
        <w:tabs>
          <w:tab w:leader="none" w:pos="360" w:val="left"/>
        </w:tabs>
        <w:numPr>
          <w:ilvl w:val="1"/>
          <w:numId w:val="84"/>
        </w:numPr>
        <w:rPr>
          <w:rFonts w:ascii="Arial" w:cs="Arial" w:eastAsia="Arial" w:hAnsi="Arial"/>
          <w:sz w:val="15"/>
          <w:szCs w:val="15"/>
          <w:color w:val="auto"/>
        </w:rPr>
      </w:pPr>
      <w:r>
        <w:rPr>
          <w:rFonts w:ascii="Arial" w:cs="Arial" w:eastAsia="Arial" w:hAnsi="Arial"/>
          <w:sz w:val="15"/>
          <w:szCs w:val="15"/>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19" w:lineRule="exact"/>
        <w:rPr>
          <w:sz w:val="20"/>
          <w:szCs w:val="20"/>
          <w:color w:val="auto"/>
        </w:rPr>
      </w:pPr>
    </w:p>
    <w:p>
      <w:pPr>
        <w:ind w:left="360" w:hanging="280"/>
        <w:spacing w:after="0"/>
        <w:tabs>
          <w:tab w:leader="none" w:pos="3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194" w:lineRule="exact"/>
        <w:rPr>
          <w:sz w:val="20"/>
          <w:szCs w:val="20"/>
          <w:color w:val="auto"/>
        </w:rPr>
      </w:pPr>
    </w:p>
    <w:p>
      <w:pPr>
        <w:jc w:val="both"/>
        <w:ind w:left="360" w:right="80" w:hanging="280"/>
        <w:spacing w:after="0" w:line="305" w:lineRule="auto"/>
        <w:tabs>
          <w:tab w:leader="none" w:pos="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Annual Report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Item 16.FORM 10-K SUMMARY</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317500</wp:posOffset>
                </wp:positionV>
                <wp:extent cx="675322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5pt" to="535.75pt,25pt" o:allowincell="f" strokecolor="#000000" strokeweight="1.1469pt"/>
            </w:pict>
          </mc:Fallback>
        </mc:AlternateContent>
      </w:r>
    </w:p>
    <w:p>
      <w:pPr>
        <w:sectPr>
          <w:pgSz w:w="13680" w:h="17280" w:orient="portrait"/>
          <w:cols w:equalWidth="0" w:num="1">
            <w:col w:w="10800"/>
          </w:cols>
          <w:pgMar w:left="1440" w:top="1440" w:right="1440"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6" w:lineRule="exact"/>
        <w:rPr>
          <w:sz w:val="20"/>
          <w:szCs w:val="20"/>
          <w:color w:val="auto"/>
        </w:rPr>
      </w:pPr>
    </w:p>
    <w:p>
      <w:pPr>
        <w:ind w:left="80" w:right="80" w:firstLine="274"/>
        <w:spacing w:after="0" w:line="304"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5"/>
          <w:szCs w:val="15"/>
          <w:b w:val="1"/>
          <w:bCs w:val="1"/>
          <w:color w:val="auto"/>
        </w:rPr>
        <w:t>.</w:t>
      </w:r>
    </w:p>
    <w:p>
      <w:pPr>
        <w:spacing w:after="0" w:line="110"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TMC THE METALS COMPANY INC.</w:t>
      </w:r>
    </w:p>
    <w:p>
      <w:pPr>
        <w:spacing w:after="0" w:line="196" w:lineRule="exact"/>
        <w:rPr>
          <w:sz w:val="20"/>
          <w:szCs w:val="20"/>
          <w:color w:val="auto"/>
        </w:rPr>
      </w:pPr>
    </w:p>
    <w:p>
      <w:pPr>
        <w:ind w:left="80"/>
        <w:spacing w:after="0"/>
        <w:tabs>
          <w:tab w:leader="none" w:pos="5220" w:val="left"/>
        </w:tabs>
        <w:rPr>
          <w:sz w:val="20"/>
          <w:szCs w:val="20"/>
          <w:color w:val="auto"/>
        </w:rPr>
      </w:pPr>
      <w:r>
        <w:rPr>
          <w:rFonts w:ascii="Arial" w:cs="Arial" w:eastAsia="Arial" w:hAnsi="Arial"/>
          <w:sz w:val="15"/>
          <w:szCs w:val="15"/>
          <w:color w:val="auto"/>
        </w:rPr>
        <w:t>Date: March 27, 2025</w:t>
      </w:r>
      <w:r>
        <w:rPr>
          <w:sz w:val="20"/>
          <w:szCs w:val="20"/>
          <w:color w:val="auto"/>
        </w:rPr>
        <w:tab/>
      </w:r>
      <w:r>
        <w:rPr>
          <w:rFonts w:ascii="Arial" w:cs="Arial" w:eastAsia="Arial" w:hAnsi="Arial"/>
          <w:sz w:val="14"/>
          <w:szCs w:val="14"/>
          <w:color w:val="auto"/>
        </w:rPr>
        <w:t>By: /s/ Gerard Barron</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3507105</wp:posOffset>
                </wp:positionH>
                <wp:positionV relativeFrom="paragraph">
                  <wp:posOffset>-99695</wp:posOffset>
                </wp:positionV>
                <wp:extent cx="329692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6920"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15pt,-7.8499pt" to="535.75pt,-7.8499pt" o:allowincell="f" strokecolor="#000000" strokeweight="0.578pt"/>
            </w:pict>
          </mc:Fallback>
        </mc:AlternateContent>
      </w:r>
    </w:p>
    <w:p>
      <w:pPr>
        <w:ind w:left="5520"/>
        <w:spacing w:after="0"/>
        <w:rPr>
          <w:sz w:val="20"/>
          <w:szCs w:val="20"/>
          <w:color w:val="auto"/>
        </w:rPr>
      </w:pPr>
      <w:r>
        <w:rPr>
          <w:rFonts w:ascii="Arial" w:cs="Arial" w:eastAsia="Arial" w:hAnsi="Arial"/>
          <w:sz w:val="15"/>
          <w:szCs w:val="15"/>
          <w:color w:val="auto"/>
        </w:rPr>
        <w:t>Chief Executive Officer</w:t>
      </w:r>
    </w:p>
    <w:p>
      <w:pPr>
        <w:spacing w:after="0" w:line="193" w:lineRule="exact"/>
        <w:rPr>
          <w:sz w:val="20"/>
          <w:szCs w:val="20"/>
          <w:color w:val="auto"/>
        </w:rPr>
      </w:pPr>
    </w:p>
    <w:p>
      <w:pPr>
        <w:ind w:left="80" w:right="80" w:firstLine="275"/>
        <w:spacing w:after="0" w:line="299"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2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ind w:left="1300"/>
              <w:spacing w:after="0"/>
              <w:rPr>
                <w:sz w:val="20"/>
                <w:szCs w:val="20"/>
                <w:color w:val="auto"/>
              </w:rPr>
            </w:pPr>
            <w:r>
              <w:rPr>
                <w:rFonts w:ascii="Arial" w:cs="Arial" w:eastAsia="Arial" w:hAnsi="Arial"/>
                <w:sz w:val="15"/>
                <w:szCs w:val="15"/>
                <w:color w:val="auto"/>
              </w:rPr>
              <w:t>Signatures</w:t>
            </w:r>
          </w:p>
        </w:tc>
        <w:tc>
          <w:tcPr>
            <w:tcW w:w="200" w:type="dxa"/>
            <w:vAlign w:val="bottom"/>
          </w:tcPr>
          <w:p>
            <w:pPr>
              <w:spacing w:after="0"/>
              <w:rPr>
                <w:sz w:val="17"/>
                <w:szCs w:val="17"/>
                <w:color w:val="auto"/>
              </w:rPr>
            </w:pPr>
          </w:p>
        </w:tc>
        <w:tc>
          <w:tcPr>
            <w:tcW w:w="4100" w:type="dxa"/>
            <w:vAlign w:val="bottom"/>
            <w:tcBorders>
              <w:bottom w:val="single" w:sz="8" w:color="auto"/>
            </w:tcBorders>
          </w:tcPr>
          <w:p>
            <w:pPr>
              <w:ind w:left="1920"/>
              <w:spacing w:after="0"/>
              <w:rPr>
                <w:sz w:val="20"/>
                <w:szCs w:val="20"/>
                <w:color w:val="auto"/>
              </w:rPr>
            </w:pPr>
            <w:r>
              <w:rPr>
                <w:rFonts w:ascii="Arial" w:cs="Arial" w:eastAsia="Arial" w:hAnsi="Arial"/>
                <w:sz w:val="15"/>
                <w:szCs w:val="15"/>
                <w:color w:val="auto"/>
              </w:rPr>
              <w:t>Title</w:t>
            </w:r>
          </w:p>
        </w:tc>
        <w:tc>
          <w:tcPr>
            <w:tcW w:w="22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336"/>
        </w:trPr>
        <w:tc>
          <w:tcPr>
            <w:tcW w:w="3780" w:type="dxa"/>
            <w:vAlign w:val="bottom"/>
            <w:gridSpan w:val="2"/>
          </w:tcPr>
          <w:p>
            <w:pPr>
              <w:spacing w:after="0"/>
              <w:rPr>
                <w:sz w:val="20"/>
                <w:szCs w:val="20"/>
                <w:color w:val="auto"/>
              </w:rPr>
            </w:pPr>
            <w:r>
              <w:rPr>
                <w:rFonts w:ascii="Arial" w:cs="Arial" w:eastAsia="Arial" w:hAnsi="Arial"/>
                <w:sz w:val="15"/>
                <w:szCs w:val="15"/>
                <w:color w:val="auto"/>
              </w:rPr>
              <w:t>By: /s/ Gerard Barron</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Chief Executive Officer and Chairman</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4520" w:type="dxa"/>
            <w:vAlign w:val="bottom"/>
            <w:gridSpan w:val="3"/>
            <w:vMerge w:val="restart"/>
          </w:tcPr>
          <w:p>
            <w:pPr>
              <w:ind w:left="200"/>
              <w:spacing w:after="0"/>
              <w:rPr>
                <w:sz w:val="20"/>
                <w:szCs w:val="20"/>
                <w:color w:val="auto"/>
              </w:rPr>
            </w:pPr>
            <w:r>
              <w:rPr>
                <w:rFonts w:ascii="Arial" w:cs="Arial" w:eastAsia="Arial" w:hAnsi="Arial"/>
                <w:sz w:val="15"/>
                <w:szCs w:val="15"/>
                <w:color w:val="auto"/>
              </w:rPr>
              <w:t>(Principal Executive Officer) and Director</w:t>
            </w: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5"/>
                <w:szCs w:val="15"/>
                <w:color w:val="auto"/>
              </w:rPr>
              <w:t>Gerard Barron</w:t>
            </w:r>
          </w:p>
        </w:tc>
        <w:tc>
          <w:tcPr>
            <w:tcW w:w="4520" w:type="dxa"/>
            <w:vAlign w:val="bottom"/>
            <w:gridSpan w:val="3"/>
            <w:vMerge w:val="continue"/>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780" w:type="dxa"/>
            <w:vAlign w:val="bottom"/>
            <w:gridSpan w:val="2"/>
          </w:tcPr>
          <w:p>
            <w:pPr>
              <w:spacing w:after="0"/>
              <w:rPr>
                <w:sz w:val="20"/>
                <w:szCs w:val="20"/>
                <w:color w:val="auto"/>
              </w:rPr>
            </w:pPr>
            <w:r>
              <w:rPr>
                <w:rFonts w:ascii="Arial" w:cs="Arial" w:eastAsia="Arial" w:hAnsi="Arial"/>
                <w:sz w:val="15"/>
                <w:szCs w:val="15"/>
                <w:color w:val="auto"/>
              </w:rPr>
              <w:t>By: /s/ Craig Shesky</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Chief Financial Officer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4520" w:type="dxa"/>
            <w:vAlign w:val="bottom"/>
            <w:gridSpan w:val="3"/>
            <w:vMerge w:val="restart"/>
          </w:tcPr>
          <w:p>
            <w:pPr>
              <w:ind w:left="200"/>
              <w:spacing w:after="0"/>
              <w:rPr>
                <w:sz w:val="20"/>
                <w:szCs w:val="20"/>
                <w:color w:val="auto"/>
              </w:rPr>
            </w:pPr>
            <w:r>
              <w:rPr>
                <w:rFonts w:ascii="Arial" w:cs="Arial" w:eastAsia="Arial" w:hAnsi="Arial"/>
                <w:sz w:val="15"/>
                <w:szCs w:val="15"/>
                <w:color w:val="auto"/>
              </w:rPr>
              <w:t>(Principal Financial and Accounting Officer)</w:t>
            </w: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5"/>
                <w:szCs w:val="15"/>
                <w:color w:val="auto"/>
              </w:rPr>
              <w:t>Craig Shesky</w:t>
            </w:r>
          </w:p>
        </w:tc>
        <w:tc>
          <w:tcPr>
            <w:tcW w:w="4520" w:type="dxa"/>
            <w:vAlign w:val="bottom"/>
            <w:gridSpan w:val="3"/>
            <w:vMerge w:val="continue"/>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Andrew Greig</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Andrew Greig</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Andrew Hall</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Andrew Hall</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Steve Jurvetson</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Steve Jurvetson</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Sheila Khama</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Sheila Khama</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Andrei Karkar</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Andrei Karkar</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Amelia Kinahoi Siamomua</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Amelia Kinahoi Siamomua</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Christian Madsbjerg</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Christian Madsbjerg</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Brendan May</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27, 2025</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Brendan May</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7"/>
        </w:trPr>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300" w:type="dxa"/>
            <w:vAlign w:val="bottom"/>
            <w:gridSpan w:val="2"/>
          </w:tcPr>
          <w:p>
            <w:pPr>
              <w:ind w:left="1420"/>
              <w:spacing w:after="0"/>
              <w:rPr>
                <w:sz w:val="20"/>
                <w:szCs w:val="20"/>
                <w:color w:val="auto"/>
              </w:rPr>
            </w:pPr>
            <w:r>
              <w:rPr>
                <w:rFonts w:ascii="Arial" w:cs="Arial" w:eastAsia="Arial" w:hAnsi="Arial"/>
                <w:sz w:val="15"/>
                <w:szCs w:val="15"/>
                <w:color w:val="auto"/>
              </w:rPr>
              <w:t>165</w:t>
            </w: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3680" w:h="17280" w:orient="portrait"/>
          <w:cols w:equalWidth="0" w:num="1">
            <w:col w:w="10800"/>
          </w:cols>
          <w:pgMar w:left="1440" w:top="1440" w:right="1440" w:bottom="1440" w:gutter="0" w:footer="0" w:header="0"/>
        </w:sectPr>
      </w:pPr>
    </w:p>
    <w:bookmarkStart w:id="172" w:name="page173"/>
    <w:bookmarkEnd w:id="172"/>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1466215</wp:posOffset>
            </wp:positionH>
            <wp:positionV relativeFrom="page">
              <wp:posOffset>251460</wp:posOffset>
            </wp:positionV>
            <wp:extent cx="12700" cy="104806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6">
                      <a:extLst>
                        <a:ext uri="{28A0092B-C50C-407E-A947-70E740481C1C}"/>
                      </a:extLst>
                    </a:blip>
                    <a:srcRect/>
                    <a:stretch>
                      <a:fillRect/>
                    </a:stretch>
                  </pic:blipFill>
                  <pic:spPr bwMode="auto">
                    <a:xfrm>
                      <a:off x="0" y="0"/>
                      <a:ext cx="12700" cy="10480675"/>
                    </a:xfrm>
                    <a:prstGeom prst="rect">
                      <a:avLst/>
                    </a:prstGeom>
                    <a:noFill/>
                  </pic:spPr>
                </pic:pic>
              </a:graphicData>
            </a:graphic>
          </wp:anchor>
        </w:drawing>
      </w:r>
    </w:p>
    <w:p>
      <w:pPr>
        <w:jc w:val="right"/>
        <w:ind w:right="360"/>
        <w:spacing w:after="0"/>
        <w:rPr>
          <w:sz w:val="20"/>
          <w:szCs w:val="20"/>
          <w:color w:val="auto"/>
        </w:rPr>
      </w:pPr>
      <w:r>
        <w:rPr>
          <w:rFonts w:ascii="Arial" w:cs="Arial" w:eastAsia="Arial" w:hAnsi="Arial"/>
          <w:sz w:val="16"/>
          <w:szCs w:val="16"/>
          <w:color w:val="A29E9D"/>
        </w:rPr>
        <w:t>TMC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Forward-Looking Statements.</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Letter to Shareholders and summary information</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contained at the beginning of this annual report contain</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“forward-looking statements” within the meaning of Section</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27A of the Securities Act of 1933, as amended, and</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21E of the Securities Exchange Act of 1934, as</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amended, that relate to future events, the Company's future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operations or financial performance, or the Company’s</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plans, strategies and prospects. These statements involve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risks, uncertainties and assumptions and are based on the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current estimates and assumptions of the management of</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as of the date of this annual report and are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uncertainty and changes. Given these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uncertainties, you should not place undue reliance on these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forward-looking statements. Important factors that could</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cause actual results to differ materially from those indicated</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such forward-looking statements include, among others,</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those set forth under the heading “Risk Factors” contained</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enclosed Annual Report on Form 10-K for the year</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ended December 31, 2024, which was filed with the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Securities and Exchange Commission on March 27, 2025,</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well as any updates to those risk factors filed from time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time in our periodic and current reports.</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information in the Letter to Shareholders and summary</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information contained at the beginning of this annual report</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 as of the date of this annual report, and the Company</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undertakes no duty to update this information unless</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required by law.</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information in the enclosed Annual Report on Form 10-</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 for the year ended December 31, 2024 is as of the date</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filing the Annual Report on Form 10-K with the Securities</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Exchange Commission on March 27, 2025 or as</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otherwise set forth therein, and the Company undertakes</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duty to update the information unless required by law.</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“us”, “our”, “TMC”, “The Metals Company” and the</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 when used in the Letter to Shareholders and</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summary information contained at the beginning of this</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annual report refer to TMC the metals company Inc. and its</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subsidiaries.</w:t>
      </w:r>
    </w:p>
    <w:p>
      <w:pPr>
        <w:sectPr>
          <w:pgSz w:w="13680" w:h="17280" w:orient="portrait"/>
          <w:cols w:equalWidth="0" w:num="1">
            <w:col w:w="10800"/>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Board of Directors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Gerard Barron, Chairman</w:t>
      </w:r>
    </w:p>
    <w:p>
      <w:pPr>
        <w:spacing w:after="0" w:line="62" w:lineRule="exact"/>
        <w:rPr>
          <w:sz w:val="20"/>
          <w:szCs w:val="20"/>
          <w:color w:val="auto"/>
        </w:rPr>
      </w:pPr>
    </w:p>
    <w:p>
      <w:pPr>
        <w:ind w:left="720" w:right="20"/>
        <w:spacing w:after="0" w:line="282" w:lineRule="auto"/>
        <w:rPr>
          <w:sz w:val="20"/>
          <w:szCs w:val="20"/>
          <w:color w:val="auto"/>
        </w:rPr>
      </w:pPr>
      <w:r>
        <w:rPr>
          <w:rFonts w:ascii="Arial" w:cs="Arial" w:eastAsia="Arial" w:hAnsi="Arial"/>
          <w:sz w:val="17"/>
          <w:szCs w:val="17"/>
          <w:color w:val="auto"/>
        </w:rPr>
        <w:t>Chief Executive Officer of TMC the metals company Inc.</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Andrew Greig, Lead</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Independent Director</w:t>
      </w:r>
    </w:p>
    <w:p>
      <w:pPr>
        <w:spacing w:after="0" w:line="62" w:lineRule="exact"/>
        <w:rPr>
          <w:sz w:val="20"/>
          <w:szCs w:val="20"/>
          <w:color w:val="auto"/>
        </w:rPr>
      </w:pPr>
    </w:p>
    <w:p>
      <w:pPr>
        <w:ind w:left="720" w:right="300"/>
        <w:spacing w:after="0" w:line="282" w:lineRule="auto"/>
        <w:rPr>
          <w:sz w:val="20"/>
          <w:szCs w:val="20"/>
          <w:color w:val="auto"/>
        </w:rPr>
      </w:pPr>
      <w:r>
        <w:rPr>
          <w:rFonts w:ascii="Arial" w:cs="Arial" w:eastAsia="Arial" w:hAnsi="Arial"/>
          <w:sz w:val="17"/>
          <w:szCs w:val="17"/>
          <w:color w:val="auto"/>
        </w:rPr>
        <w:t>Founder and Senior Director of Innovation Pty Ltd</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Stephen Jurvetson, Vice</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Chairman</w:t>
      </w:r>
    </w:p>
    <w:p>
      <w:pPr>
        <w:spacing w:after="0" w:line="62" w:lineRule="exact"/>
        <w:rPr>
          <w:sz w:val="20"/>
          <w:szCs w:val="20"/>
          <w:color w:val="auto"/>
        </w:rPr>
      </w:pPr>
    </w:p>
    <w:p>
      <w:pPr>
        <w:ind w:left="720" w:right="320"/>
        <w:spacing w:after="0" w:line="397" w:lineRule="auto"/>
        <w:rPr>
          <w:sz w:val="20"/>
          <w:szCs w:val="20"/>
          <w:color w:val="auto"/>
        </w:rPr>
      </w:pPr>
      <w:r>
        <w:rPr>
          <w:rFonts w:ascii="Arial" w:cs="Arial" w:eastAsia="Arial" w:hAnsi="Arial"/>
          <w:sz w:val="17"/>
          <w:szCs w:val="17"/>
          <w:color w:val="auto"/>
        </w:rPr>
        <w:t xml:space="preserve">Co-founder of Future Ventures </w:t>
      </w:r>
      <w:r>
        <w:rPr>
          <w:rFonts w:ascii="Arial" w:cs="Arial" w:eastAsia="Arial" w:hAnsi="Arial"/>
          <w:sz w:val="17"/>
          <w:szCs w:val="17"/>
          <w:b w:val="1"/>
          <w:bCs w:val="1"/>
          <w:color w:val="auto"/>
        </w:rPr>
        <w:t>Andrew Hall</w:t>
      </w:r>
    </w:p>
    <w:p>
      <w:pPr>
        <w:spacing w:after="0" w:line="1" w:lineRule="exact"/>
        <w:rPr>
          <w:sz w:val="20"/>
          <w:szCs w:val="20"/>
          <w:color w:val="auto"/>
        </w:rPr>
      </w:pPr>
    </w:p>
    <w:p>
      <w:pPr>
        <w:ind w:left="720" w:right="580"/>
        <w:spacing w:after="0" w:line="282" w:lineRule="auto"/>
        <w:rPr>
          <w:sz w:val="20"/>
          <w:szCs w:val="20"/>
          <w:color w:val="auto"/>
        </w:rPr>
      </w:pPr>
      <w:r>
        <w:rPr>
          <w:rFonts w:ascii="Arial" w:cs="Arial" w:eastAsia="Arial" w:hAnsi="Arial"/>
          <w:sz w:val="17"/>
          <w:szCs w:val="17"/>
          <w:color w:val="auto"/>
        </w:rPr>
        <w:t>Managing Director of Saxjo Limited</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Andrei Karkar</w:t>
      </w:r>
    </w:p>
    <w:p>
      <w:pPr>
        <w:spacing w:after="0" w:line="62" w:lineRule="exact"/>
        <w:rPr>
          <w:sz w:val="20"/>
          <w:szCs w:val="20"/>
          <w:color w:val="auto"/>
        </w:rPr>
      </w:pPr>
    </w:p>
    <w:p>
      <w:pPr>
        <w:ind w:left="720" w:right="200"/>
        <w:spacing w:after="0" w:line="282" w:lineRule="auto"/>
        <w:rPr>
          <w:sz w:val="20"/>
          <w:szCs w:val="20"/>
          <w:color w:val="auto"/>
        </w:rPr>
      </w:pPr>
      <w:r>
        <w:rPr>
          <w:rFonts w:ascii="Arial" w:cs="Arial" w:eastAsia="Arial" w:hAnsi="Arial"/>
          <w:sz w:val="17"/>
          <w:szCs w:val="17"/>
          <w:color w:val="auto"/>
        </w:rPr>
        <w:t>Chief Executive Officer of ERAS Capital LLC</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Sheila Khama</w:t>
      </w:r>
    </w:p>
    <w:p>
      <w:pPr>
        <w:spacing w:after="0" w:line="62" w:lineRule="exact"/>
        <w:rPr>
          <w:sz w:val="20"/>
          <w:szCs w:val="20"/>
          <w:color w:val="auto"/>
        </w:rPr>
      </w:pPr>
    </w:p>
    <w:p>
      <w:pPr>
        <w:ind w:left="720" w:right="200"/>
        <w:spacing w:after="0" w:line="282" w:lineRule="auto"/>
        <w:rPr>
          <w:sz w:val="20"/>
          <w:szCs w:val="20"/>
          <w:color w:val="auto"/>
        </w:rPr>
      </w:pPr>
      <w:r>
        <w:rPr>
          <w:rFonts w:ascii="Arial" w:cs="Arial" w:eastAsia="Arial" w:hAnsi="Arial"/>
          <w:sz w:val="17"/>
          <w:szCs w:val="17"/>
          <w:color w:val="auto"/>
        </w:rPr>
        <w:t>Independent Consultant with SK Consulting Pty, Ltd</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Christian Madsbjerg</w:t>
      </w:r>
    </w:p>
    <w:p>
      <w:pPr>
        <w:spacing w:after="0" w:line="62" w:lineRule="exact"/>
        <w:rPr>
          <w:sz w:val="20"/>
          <w:szCs w:val="20"/>
          <w:color w:val="auto"/>
        </w:rPr>
      </w:pPr>
    </w:p>
    <w:p>
      <w:pPr>
        <w:ind w:left="720" w:right="120"/>
        <w:spacing w:after="0" w:line="271" w:lineRule="auto"/>
        <w:rPr>
          <w:sz w:val="20"/>
          <w:szCs w:val="20"/>
          <w:color w:val="auto"/>
        </w:rPr>
      </w:pPr>
      <w:r>
        <w:rPr>
          <w:rFonts w:ascii="Arial" w:cs="Arial" w:eastAsia="Arial" w:hAnsi="Arial"/>
          <w:sz w:val="17"/>
          <w:szCs w:val="17"/>
          <w:color w:val="auto"/>
        </w:rPr>
        <w:t>Professor of Applied Humanities at The New School for Social Research and director and senior partner of ReD Associates</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Amelia Kinahoi Siamomua</w:t>
      </w:r>
    </w:p>
    <w:p>
      <w:pPr>
        <w:spacing w:after="0" w:line="70" w:lineRule="exact"/>
        <w:rPr>
          <w:sz w:val="20"/>
          <w:szCs w:val="20"/>
          <w:color w:val="auto"/>
        </w:rPr>
      </w:pPr>
    </w:p>
    <w:p>
      <w:pPr>
        <w:ind w:left="720" w:right="60"/>
        <w:spacing w:after="0" w:line="259" w:lineRule="auto"/>
        <w:rPr>
          <w:sz w:val="20"/>
          <w:szCs w:val="20"/>
          <w:color w:val="auto"/>
        </w:rPr>
      </w:pPr>
      <w:r>
        <w:rPr>
          <w:rFonts w:ascii="Arial" w:cs="Arial" w:eastAsia="Arial" w:hAnsi="Arial"/>
          <w:sz w:val="17"/>
          <w:szCs w:val="17"/>
          <w:color w:val="auto"/>
        </w:rPr>
        <w:t>Independent Consultant on gender and social inclusion for the Government of Nauru</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Brendan May</w:t>
      </w:r>
    </w:p>
    <w:p>
      <w:pPr>
        <w:spacing w:after="0" w:line="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Chairman and Founder of</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Robertsbridge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Corporate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Gerard Barron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Chairman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Craig Shesky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Anthony O’Sullivan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Chief Development Officer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Erika Ilves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Chief Strategy Officer</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Office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TMC the metals company Inc.</w:t>
      </w:r>
    </w:p>
    <w:p>
      <w:pPr>
        <w:spacing w:after="0" w:line="40" w:lineRule="exact"/>
        <w:rPr>
          <w:sz w:val="20"/>
          <w:szCs w:val="20"/>
          <w:color w:val="auto"/>
        </w:rPr>
      </w:pPr>
    </w:p>
    <w:p>
      <w:pPr>
        <w:spacing w:after="0" w:line="329" w:lineRule="auto"/>
        <w:rPr>
          <w:sz w:val="20"/>
          <w:szCs w:val="20"/>
          <w:color w:val="auto"/>
        </w:rPr>
      </w:pPr>
      <w:r>
        <w:rPr>
          <w:rFonts w:ascii="Arial" w:cs="Arial" w:eastAsia="Arial" w:hAnsi="Arial"/>
          <w:sz w:val="17"/>
          <w:szCs w:val="17"/>
          <w:color w:val="auto"/>
        </w:rPr>
        <w:t>1111 West Hastings Street, 15th Floor Vancouver BC V6E 2J3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Website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www.metals.co</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Counsel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Mintz, Levin, Cohn, Ferris, Glovsky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and Popeo, P.C.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Canadian Legal Counsel</w:t>
      </w:r>
    </w:p>
    <w:p>
      <w:pPr>
        <w:spacing w:after="0" w:line="52" w:lineRule="exact"/>
        <w:rPr>
          <w:sz w:val="20"/>
          <w:szCs w:val="20"/>
          <w:color w:val="auto"/>
        </w:rPr>
      </w:pPr>
    </w:p>
    <w:p>
      <w:pPr>
        <w:ind w:right="380"/>
        <w:spacing w:after="0" w:line="328" w:lineRule="auto"/>
        <w:rPr>
          <w:sz w:val="20"/>
          <w:szCs w:val="20"/>
          <w:color w:val="auto"/>
        </w:rPr>
      </w:pPr>
      <w:r>
        <w:rPr>
          <w:rFonts w:ascii="Arial" w:cs="Arial" w:eastAsia="Arial" w:hAnsi="Arial"/>
          <w:sz w:val="17"/>
          <w:szCs w:val="17"/>
          <w:color w:val="auto"/>
        </w:rPr>
        <w:t>Fasken Martineau DuMoulin LLP Vancouver, British Columbia</w:t>
      </w:r>
    </w:p>
    <w:p>
      <w:pPr>
        <w:spacing w:after="0" w:line="129"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b w:val="1"/>
          <w:bCs w:val="1"/>
          <w:color w:val="auto"/>
        </w:rPr>
        <w:t>Independent Registered Public Accounting Firm</w:t>
      </w:r>
    </w:p>
    <w:p>
      <w:pPr>
        <w:spacing w:after="0" w:line="216" w:lineRule="auto"/>
        <w:rPr>
          <w:sz w:val="20"/>
          <w:szCs w:val="20"/>
          <w:color w:val="auto"/>
        </w:rPr>
      </w:pPr>
      <w:r>
        <w:rPr>
          <w:rFonts w:ascii="Arial" w:cs="Arial" w:eastAsia="Arial" w:hAnsi="Arial"/>
          <w:sz w:val="17"/>
          <w:szCs w:val="17"/>
          <w:color w:val="auto"/>
        </w:rPr>
        <w:t>Ernst &amp; Young LLP</w:t>
      </w:r>
    </w:p>
    <w:p>
      <w:pPr>
        <w:spacing w:after="0"/>
        <w:rPr>
          <w:sz w:val="20"/>
          <w:szCs w:val="20"/>
          <w:color w:val="auto"/>
        </w:rPr>
      </w:pPr>
      <w:r>
        <w:rPr>
          <w:rFonts w:ascii="Arial" w:cs="Arial" w:eastAsia="Arial" w:hAnsi="Arial"/>
          <w:sz w:val="17"/>
          <w:szCs w:val="17"/>
          <w:color w:val="auto"/>
        </w:rPr>
        <w:t>Vancouver,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and Public Warrant Listing</w:t>
      </w:r>
    </w:p>
    <w:p>
      <w:pPr>
        <w:spacing w:after="0" w:line="62" w:lineRule="exact"/>
        <w:rPr>
          <w:sz w:val="20"/>
          <w:szCs w:val="20"/>
          <w:color w:val="auto"/>
        </w:rPr>
      </w:pPr>
    </w:p>
    <w:p>
      <w:pPr>
        <w:ind w:right="520" w:firstLine="1"/>
        <w:spacing w:after="0"/>
        <w:rPr>
          <w:sz w:val="20"/>
          <w:szCs w:val="20"/>
          <w:color w:val="auto"/>
        </w:rPr>
      </w:pPr>
      <w:r>
        <w:rPr>
          <w:rFonts w:ascii="Arial" w:cs="Arial" w:eastAsia="Arial" w:hAnsi="Arial"/>
          <w:sz w:val="17"/>
          <w:szCs w:val="17"/>
          <w:color w:val="auto"/>
        </w:rPr>
        <w:t>Our common shares and public warrants are traded on the Nasdaq Global Select Market under the symbol TMC and TMCWW, respectively.</w:t>
      </w:r>
    </w:p>
    <w:p>
      <w:pPr>
        <w:spacing w:after="0" w:line="1" w:lineRule="exact"/>
        <w:rPr>
          <w:sz w:val="20"/>
          <w:szCs w:val="20"/>
          <w:color w:val="auto"/>
        </w:rPr>
      </w:pPr>
    </w:p>
    <w:p>
      <w:pPr>
        <w:ind w:right="600"/>
        <w:spacing w:after="0" w:line="239" w:lineRule="auto"/>
        <w:rPr>
          <w:sz w:val="20"/>
          <w:szCs w:val="20"/>
          <w:color w:val="auto"/>
        </w:rPr>
      </w:pPr>
      <w:r>
        <w:rPr>
          <w:rFonts w:ascii="Arial" w:cs="Arial" w:eastAsia="Arial" w:hAnsi="Arial"/>
          <w:sz w:val="17"/>
          <w:szCs w:val="17"/>
          <w:color w:val="auto"/>
        </w:rPr>
        <w:t xml:space="preserve">On April 16, 2025, the closing price of our common shares was $2.79. per share and of our public </w:t>
      </w:r>
      <w:r>
        <w:rPr>
          <w:rFonts w:ascii="Arial" w:cs="Arial" w:eastAsia="Arial" w:hAnsi="Arial"/>
          <w:sz w:val="18"/>
          <w:szCs w:val="18"/>
          <w:color w:val="auto"/>
        </w:rPr>
        <w:t>warrants was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$0.5550.</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Information</w:t>
      </w:r>
    </w:p>
    <w:p>
      <w:pPr>
        <w:spacing w:after="0" w:line="62" w:lineRule="exact"/>
        <w:rPr>
          <w:sz w:val="20"/>
          <w:szCs w:val="20"/>
          <w:color w:val="auto"/>
        </w:rPr>
      </w:pPr>
    </w:p>
    <w:p>
      <w:pPr>
        <w:ind w:right="520" w:firstLine="1"/>
        <w:spacing w:after="0" w:line="244" w:lineRule="auto"/>
        <w:rPr>
          <w:sz w:val="20"/>
          <w:szCs w:val="20"/>
          <w:color w:val="auto"/>
        </w:rPr>
      </w:pPr>
      <w:r>
        <w:rPr>
          <w:rFonts w:ascii="Arial" w:cs="Arial" w:eastAsia="Arial" w:hAnsi="Arial"/>
          <w:sz w:val="17"/>
          <w:szCs w:val="17"/>
          <w:color w:val="auto"/>
        </w:rPr>
        <w:t>You may obtain a copy of any of the exhibits to our Annual Report on Form 10-K free of charge. These documents are available on our website at www.metals.co or by contacting our Investor Relations department at investors@metals.co. Requests for information about TMC the metals company Inc. should be directed to our Investor Relations department.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2025 Annual and Special Meeting</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Our 2025 Annual and Special Meeting</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of Shareholders will be held 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Thursday, May 29, 2025, at 10:00</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a.m. EDT, via live webcast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available at the following URL: https://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www.cstproxy.com/metals/2025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62" w:lineRule="exact"/>
        <w:rPr>
          <w:sz w:val="20"/>
          <w:szCs w:val="20"/>
          <w:color w:val="auto"/>
        </w:rPr>
      </w:pPr>
    </w:p>
    <w:p>
      <w:pPr>
        <w:ind w:right="840"/>
        <w:spacing w:after="0"/>
        <w:rPr>
          <w:sz w:val="20"/>
          <w:szCs w:val="20"/>
          <w:color w:val="auto"/>
        </w:rPr>
      </w:pPr>
      <w:r>
        <w:rPr>
          <w:rFonts w:ascii="Arial" w:cs="Arial" w:eastAsia="Arial" w:hAnsi="Arial"/>
          <w:sz w:val="17"/>
          <w:szCs w:val="17"/>
          <w:color w:val="auto"/>
        </w:rPr>
        <w:t>Continental Stock Transfer &amp; Trust Company</w:t>
      </w:r>
    </w:p>
    <w:p>
      <w:pPr>
        <w:spacing w:after="0"/>
        <w:rPr>
          <w:sz w:val="20"/>
          <w:szCs w:val="20"/>
          <w:color w:val="auto"/>
        </w:rPr>
      </w:pPr>
      <w:r>
        <w:rPr>
          <w:rFonts w:ascii="Arial" w:cs="Arial" w:eastAsia="Arial" w:hAnsi="Arial"/>
          <w:sz w:val="17"/>
          <w:szCs w:val="17"/>
          <w:color w:val="auto"/>
        </w:rPr>
        <w:t>1 State Street, 30th Floor</w:t>
      </w:r>
    </w:p>
    <w:p>
      <w:pPr>
        <w:spacing w:after="0"/>
        <w:rPr>
          <w:sz w:val="20"/>
          <w:szCs w:val="20"/>
          <w:color w:val="auto"/>
        </w:rPr>
      </w:pPr>
      <w:r>
        <w:rPr>
          <w:rFonts w:ascii="Arial" w:cs="Arial" w:eastAsia="Arial" w:hAnsi="Arial"/>
          <w:sz w:val="17"/>
          <w:szCs w:val="17"/>
          <w:color w:val="auto"/>
        </w:rPr>
        <w:t>New York, NY 10004-1561</w:t>
      </w:r>
    </w:p>
    <w:p>
      <w:pPr>
        <w:spacing w:after="0"/>
        <w:rPr>
          <w:sz w:val="20"/>
          <w:szCs w:val="20"/>
          <w:color w:val="auto"/>
        </w:rPr>
      </w:pPr>
      <w:r>
        <w:rPr>
          <w:rFonts w:ascii="Arial" w:cs="Arial" w:eastAsia="Arial" w:hAnsi="Arial"/>
          <w:sz w:val="17"/>
          <w:szCs w:val="17"/>
          <w:color w:val="auto"/>
        </w:rPr>
        <w:t>For shareholders: (800) 509-5586</w:t>
      </w:r>
    </w:p>
    <w:p>
      <w:pPr>
        <w:sectPr>
          <w:pgSz w:w="13680" w:h="17280" w:orient="portrait"/>
          <w:cols w:equalWidth="0" w:num="3">
            <w:col w:w="3360" w:space="720"/>
            <w:col w:w="2860" w:space="400"/>
            <w:col w:w="3460"/>
          </w:cols>
          <w:pgMar w:left="1440" w:top="1440" w:right="1440"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685800</wp:posOffset>
            </wp:positionV>
            <wp:extent cx="7315200" cy="96012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7">
                      <a:extLst>
                        <a:ext uri="{28A0092B-C50C-407E-A947-70E740481C1C}"/>
                      </a:extLst>
                    </a:blip>
                    <a:srcRect/>
                    <a:stretch>
                      <a:fillRect/>
                    </a:stretch>
                  </pic:blipFill>
                  <pic:spPr bwMode="auto">
                    <a:xfrm>
                      <a:off x="0" y="0"/>
                      <a:ext cx="7315200" cy="960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660"/>
        <w:spacing w:after="0"/>
        <w:rPr>
          <w:sz w:val="20"/>
          <w:szCs w:val="20"/>
          <w:color w:val="auto"/>
        </w:rPr>
      </w:pPr>
      <w:r>
        <w:rPr>
          <w:rFonts w:ascii="Arial" w:cs="Arial" w:eastAsia="Arial" w:hAnsi="Arial"/>
          <w:sz w:val="48"/>
          <w:szCs w:val="48"/>
          <w:color w:val="FFFFFF"/>
        </w:rPr>
        <w:t>metals.co</w:t>
      </w:r>
    </w:p>
    <w:sectPr>
      <w:pgSz w:w="13680" w:h="17280" w:orient="portrait"/>
      <w:cols w:equalWidth="0" w:num="1">
        <w:col w:w="10800"/>
      </w:cols>
      <w:pgMar w:left="1440" w:top="1440" w:right="1440" w:bottom="95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lowerRoman"/>
      <w:start w:val="1"/>
    </w:lvl>
  </w:abstractNum>
  <w:abstractNum w:abstractNumId="10">
    <w:nsid w:val="32FFF902"/>
    <w:multiLevelType w:val="hybridMultilevel"/>
    <w:lvl w:ilvl="0">
      <w:lvlJc w:val="left"/>
      <w:lvlText w:val="(%1)"/>
      <w:numFmt w:val="lowerRoman"/>
      <w:start w:val="3"/>
    </w:lvl>
  </w:abstractNum>
  <w:abstractNum w:abstractNumId="11">
    <w:nsid w:val="684A481A"/>
    <w:multiLevelType w:val="hybridMultilevel"/>
    <w:lvl w:ilvl="0">
      <w:lvlJc w:val="left"/>
      <w:lvlText w:val="(%1)"/>
      <w:numFmt w:val="lowerRoman"/>
      <w:start w:val="4"/>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lowerRoman"/>
      <w:start w:val="4"/>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lvl w:ilvl="1">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1)"/>
      <w:numFmt w:val="lowerRoman"/>
      <w:start w:val="2"/>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3"/>
    </w:lvl>
  </w:abstractNum>
  <w:abstractNum w:abstractNumId="48">
    <w:nsid w:val="1381823A"/>
    <w:multiLevelType w:val="hybridMultilevel"/>
    <w:lvl w:ilvl="0">
      <w:lvlJc w:val="left"/>
      <w:lvlText w:val="%1."/>
      <w:numFmt w:val="lowerRoman"/>
      <w:start w:val="5"/>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lowerRoman"/>
      <w:start w:val="10"/>
    </w:lvl>
  </w:abstractNum>
  <w:abstractNum w:abstractNumId="51">
    <w:nsid w:val="6590700B"/>
    <w:multiLevelType w:val="hybridMultilevel"/>
    <w:lvl w:ilvl="0">
      <w:lvlJc w:val="left"/>
      <w:lvlText w:val="%1."/>
      <w:numFmt w:val="decimal"/>
      <w:start w:val="4"/>
    </w:lvl>
  </w:abstractNum>
  <w:abstractNum w:abstractNumId="52">
    <w:nsid w:val="15014ACB"/>
    <w:multiLevelType w:val="hybridMultilevel"/>
    <w:lvl w:ilvl="0">
      <w:lvlJc w:val="left"/>
      <w:lvlText w:val="%1."/>
      <w:numFmt w:val="decimal"/>
      <w:start w:val="5"/>
    </w:lvl>
  </w:abstractNum>
  <w:abstractNum w:abstractNumId="53">
    <w:nsid w:val="5F5E7FD0"/>
    <w:multiLevelType w:val="hybridMultilevel"/>
    <w:lvl w:ilvl="0">
      <w:lvlJc w:val="left"/>
      <w:lvlText w:val="%1."/>
      <w:numFmt w:val="decimal"/>
      <w:start w:val="7"/>
    </w:lvl>
  </w:abstractNum>
  <w:abstractNum w:abstractNumId="54">
    <w:nsid w:val="98A3148"/>
    <w:multiLevelType w:val="hybridMultilevel"/>
    <w:lvl w:ilvl="0">
      <w:lvlJc w:val="left"/>
      <w:lvlText w:val="%1"/>
      <w:numFmt w:val="decimal"/>
      <w:start w:val="1"/>
    </w:lvl>
    <w:lvl w:ilvl="1">
      <w:lvlJc w:val="left"/>
      <w:lvlText w:val="(%2)"/>
      <w:numFmt w:val="decimal"/>
      <w:start w:val="1"/>
    </w:lvl>
  </w:abstractNum>
  <w:abstractNum w:abstractNumId="55">
    <w:nsid w:val="799D0247"/>
    <w:multiLevelType w:val="hybridMultilevel"/>
    <w:lvl w:ilvl="0">
      <w:lvlJc w:val="left"/>
      <w:lvlText w:val="%1."/>
      <w:numFmt w:val="decimal"/>
      <w:start w:val="8"/>
    </w:lvl>
    <w:lvl w:ilvl="1">
      <w:lvlJc w:val="left"/>
      <w:lvlText w:val="%2"/>
      <w:numFmt w:val="decimal"/>
      <w:start w:val="1"/>
    </w:lvl>
  </w:abstractNum>
  <w:abstractNum w:abstractNumId="56">
    <w:nsid w:val="6B94764"/>
    <w:multiLevelType w:val="hybridMultilevel"/>
    <w:lvl w:ilvl="0">
      <w:lvlJc w:val="left"/>
      <w:lvlText w:val="%1."/>
      <w:numFmt w:val="decimal"/>
      <w:start w:val="9"/>
    </w:lvl>
  </w:abstractNum>
  <w:abstractNum w:abstractNumId="57">
    <w:nsid w:val="42C296BD"/>
    <w:multiLevelType w:val="hybridMultilevel"/>
    <w:lvl w:ilvl="0">
      <w:lvlJc w:val="left"/>
      <w:lvlText w:val="%1."/>
      <w:numFmt w:val="decimal"/>
      <w:start w:val="10"/>
    </w:lvl>
  </w:abstractNum>
  <w:abstractNum w:abstractNumId="58">
    <w:nsid w:val="168E121F"/>
    <w:multiLevelType w:val="hybridMultilevel"/>
    <w:lvl w:ilvl="0">
      <w:lvlJc w:val="left"/>
      <w:lvlText w:val="%1"/>
      <w:numFmt w:val="decimal"/>
      <w:start w:val="1"/>
    </w:lvl>
    <w:lvl w:ilvl="1">
      <w:lvlJc w:val="left"/>
      <w:lvlText w:val="(%2)"/>
      <w:numFmt w:val="decimal"/>
      <w:start w:val="1"/>
    </w:lvl>
  </w:abstractNum>
  <w:abstractNum w:abstractNumId="59">
    <w:nsid w:val="1EBA5D23"/>
    <w:multiLevelType w:val="hybridMultilevel"/>
    <w:lvl w:ilvl="0">
      <w:lvlJc w:val="left"/>
      <w:lvlText w:val="%1."/>
      <w:numFmt w:val="decimal"/>
      <w:start w:val="12"/>
    </w:lvl>
    <w:lvl w:ilvl="1">
      <w:lvlJc w:val="left"/>
      <w:lvlText w:val="%2"/>
      <w:numFmt w:val="decimal"/>
      <w:start w:val="1"/>
    </w:lvl>
  </w:abstractNum>
  <w:abstractNum w:abstractNumId="60">
    <w:nsid w:val="661E3F1E"/>
    <w:multiLevelType w:val="hybridMultilevel"/>
    <w:lvl w:ilvl="0">
      <w:lvlJc w:val="left"/>
      <w:lvlText w:val="%1"/>
      <w:numFmt w:val="decimal"/>
      <w:start w:val="1"/>
    </w:lvl>
    <w:lvl w:ilvl="1">
      <w:lvlJc w:val="left"/>
      <w:lvlText w:val="(%2)"/>
      <w:numFmt w:val="decimal"/>
      <w:start w:val="1"/>
    </w:lvl>
  </w:abstractNum>
  <w:abstractNum w:abstractNumId="61">
    <w:nsid w:val="5DC79EA8"/>
    <w:multiLevelType w:val="hybridMultilevel"/>
    <w:lvl w:ilvl="0">
      <w:lvlJc w:val="left"/>
      <w:lvlText w:val="%1."/>
      <w:numFmt w:val="decimal"/>
      <w:start w:val="13"/>
    </w:lvl>
    <w:lvl w:ilvl="1">
      <w:lvlJc w:val="left"/>
      <w:lvlText w:val="%2"/>
      <w:numFmt w:val="decimal"/>
      <w:start w:val="1"/>
    </w:lvl>
  </w:abstractNum>
  <w:abstractNum w:abstractNumId="62">
    <w:nsid w:val="540A471C"/>
    <w:multiLevelType w:val="hybridMultilevel"/>
    <w:lvl w:ilvl="0">
      <w:lvlJc w:val="left"/>
      <w:lvlText w:val="%1."/>
      <w:numFmt w:val="decimal"/>
      <w:start w:val="14"/>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lowerRoman"/>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decimal"/>
      <w:start w:val="16"/>
    </w:lvl>
  </w:abstractNum>
  <w:abstractNum w:abstractNumId="68">
    <w:nsid w:val="42963E5A"/>
    <w:multiLevelType w:val="hybridMultilevel"/>
    <w:lvl w:ilvl="0">
      <w:lvlJc w:val="left"/>
      <w:lvlText w:val="%1."/>
      <w:numFmt w:val="decimal"/>
      <w:start w:val="17"/>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1."/>
      <w:numFmt w:val="decimal"/>
      <w:start w:val="18"/>
    </w:lvl>
  </w:abstractNum>
  <w:abstractNum w:abstractNumId="74">
    <w:nsid w:val="4962813B"/>
    <w:multiLevelType w:val="hybridMultilevel"/>
    <w:lvl w:ilvl="0">
      <w:lvlJc w:val="left"/>
      <w:lvlText w:val="%1."/>
      <w:numFmt w:val="decimal"/>
      <w:start w:val="20"/>
    </w:lvl>
  </w:abstractNum>
  <w:abstractNum w:abstractNumId="75">
    <w:nsid w:val="60B6DF70"/>
    <w:multiLevelType w:val="hybridMultilevel"/>
    <w:lvl w:ilvl="0">
      <w:lvlJc w:val="left"/>
      <w:lvlText w:val="%1."/>
      <w:numFmt w:val="decimal"/>
      <w:start w:val="21"/>
    </w:lvl>
  </w:abstractNum>
  <w:abstractNum w:abstractNumId="76">
    <w:nsid w:val="6A5EE64"/>
    <w:multiLevelType w:val="hybridMultilevel"/>
    <w:lvl w:ilvl="0">
      <w:lvlJc w:val="left"/>
      <w:lvlText w:val="%1."/>
      <w:numFmt w:val="decimal"/>
      <w:start w:val="24"/>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1."/>
      <w:numFmt w:val="decimal"/>
      <w:start w:val="25"/>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decimal"/>
      <w:start w:val="1"/>
    </w:lvl>
  </w:abstractNum>
  <w:abstractNum w:abstractNumId="81">
    <w:nsid w:val="100F59DC"/>
    <w:multiLevelType w:val="hybridMultilevel"/>
    <w:lvl w:ilvl="0">
      <w:lvlJc w:val="left"/>
      <w:lvlText w:val="(%1)"/>
      <w:numFmt w:val="decimal"/>
      <w:start w:val="2"/>
    </w:lvl>
  </w:abstractNum>
  <w:abstractNum w:abstractNumId="82">
    <w:nsid w:val="7FB7E0AA"/>
    <w:multiLevelType w:val="hybridMultilevel"/>
    <w:lvl w:ilvl="0">
      <w:lvlJc w:val="left"/>
      <w:lvlText w:val="(%1)"/>
      <w:numFmt w:val="decimal"/>
      <w:start w:val="3"/>
    </w:lvl>
  </w:abstractNum>
  <w:abstractNum w:abstractNumId="83">
    <w:nsid w:val="6EB5BD4"/>
    <w:multiLevelType w:val="hybridMultilevel"/>
    <w:lvl w:ilvl="0">
      <w:lvlJc w:val="left"/>
      <w:lvlText w:val="†"/>
      <w:numFmt w:val="bullet"/>
      <w:start w:val="1"/>
    </w:lvl>
    <w:lvl w:ilvl="1">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2025-04-18T20:01:59Z</dcterms:created>
  <dcterms:modified xsi:type="dcterms:W3CDTF">2025-04-18T20:01:59Z</dcterms:modified>
</cp:coreProperties>
</file>