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SCHEDULE14A</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030303"/>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030303"/>
        </w:rPr>
        <w:t>(Amendment No</w:t>
      </w:r>
      <w:r>
        <w:rPr>
          <w:rFonts w:ascii="Times New Roman" w:cs="Times New Roman" w:eastAsia="Times New Roman" w:hAnsi="Times New Roman"/>
          <w:sz w:val="18"/>
          <w:szCs w:val="18"/>
          <w:color w:val="424242"/>
        </w:rPr>
        <w:t>.   </w:t>
      </w:r>
      <w:r>
        <w:rPr>
          <w:rFonts w:ascii="Times New Roman" w:cs="Times New Roman" w:eastAsia="Times New Roman" w:hAnsi="Times New Roman"/>
          <w:sz w:val="18"/>
          <w:szCs w:val="18"/>
          <w:color w:val="030303"/>
        </w:rPr>
        <w:t xml:space="preserve">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30303"/>
        </w:rPr>
        <w:t xml:space="preserve">Filed by the Registrant </w:t>
      </w:r>
      <w:r>
        <w:rPr>
          <w:rFonts w:ascii="MS PGothic" w:cs="MS PGothic" w:eastAsia="MS PGothic" w:hAnsi="MS PGothic"/>
          <w:sz w:val="18"/>
          <w:szCs w:val="18"/>
          <w:color w:val="030303"/>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30303"/>
        </w:rPr>
        <w:t xml:space="preserve">Filed by a Party other than the Registrant </w:t>
      </w:r>
      <w:r>
        <w:rPr>
          <w:rFonts w:ascii="MS PGothic" w:cs="MS PGothic" w:eastAsia="MS PGothic" w:hAnsi="MS PGothic"/>
          <w:sz w:val="18"/>
          <w:szCs w:val="18"/>
          <w:color w:val="030303"/>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30303"/>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Preliminary Proxy Statement</w:t>
      </w:r>
    </w:p>
    <w:p>
      <w:pPr>
        <w:spacing w:after="0" w:line="29" w:lineRule="exact"/>
        <w:rPr>
          <w:rFonts w:ascii="MS PGothic" w:cs="MS PGothic" w:eastAsia="MS PGothic" w:hAnsi="MS PGothic"/>
          <w:sz w:val="18"/>
          <w:szCs w:val="18"/>
          <w:color w:val="030303"/>
        </w:rPr>
      </w:pPr>
    </w:p>
    <w:p>
      <w:pPr>
        <w:ind w:left="220" w:hanging="212"/>
        <w:spacing w:after="0"/>
        <w:tabs>
          <w:tab w:leader="none" w:pos="22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b w:val="1"/>
          <w:bCs w:val="1"/>
          <w:color w:val="030303"/>
        </w:rPr>
        <w:t>Confidential, for Use of the Commission Only (as permitted by Rule 14a-6(e)(2))</w:t>
      </w:r>
    </w:p>
    <w:p>
      <w:pPr>
        <w:spacing w:after="0" w:line="9" w:lineRule="exact"/>
        <w:rPr>
          <w:rFonts w:ascii="MS PGothic" w:cs="MS PGothic" w:eastAsia="MS PGothic" w:hAnsi="MS PGothic"/>
          <w:sz w:val="18"/>
          <w:szCs w:val="18"/>
          <w:color w:val="030303"/>
        </w:rPr>
      </w:pPr>
    </w:p>
    <w:p>
      <w:pPr>
        <w:ind w:left="220" w:hanging="212"/>
        <w:spacing w:after="0"/>
        <w:tabs>
          <w:tab w:leader="none" w:pos="22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Soliciting Material Under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TMC 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53975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030303"/>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188595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5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030303"/>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30303"/>
        </w:rPr>
        <w:t>Payment of Filing Fee (Check all boxes that apply)</w:t>
      </w:r>
      <w:r>
        <w:rPr>
          <w:rFonts w:ascii="Times New Roman" w:cs="Times New Roman" w:eastAsia="Times New Roman" w:hAnsi="Times New Roman"/>
          <w:sz w:val="18"/>
          <w:szCs w:val="18"/>
          <w:color w:val="424242"/>
        </w:rPr>
        <w:t>:</w:t>
      </w:r>
    </w:p>
    <w:p>
      <w:pPr>
        <w:spacing w:after="0" w:line="2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No fee required</w:t>
      </w:r>
    </w:p>
    <w:p>
      <w:pPr>
        <w:spacing w:after="0" w:line="9"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Fee paid previously with preliminary materials</w:t>
      </w:r>
    </w:p>
    <w:p>
      <w:pPr>
        <w:spacing w:after="0" w:line="15" w:lineRule="exact"/>
        <w:rPr>
          <w:rFonts w:ascii="MS PGothic" w:cs="MS PGothic" w:eastAsia="MS PGothic" w:hAnsi="MS PGothic"/>
          <w:sz w:val="18"/>
          <w:szCs w:val="18"/>
          <w:color w:val="030303"/>
        </w:rPr>
      </w:pPr>
    </w:p>
    <w:p>
      <w:pPr>
        <w:ind w:left="220" w:hanging="212"/>
        <w:spacing w:after="0"/>
        <w:tabs>
          <w:tab w:leader="none" w:pos="220" w:val="left"/>
        </w:tabs>
        <w:numPr>
          <w:ilvl w:val="0"/>
          <w:numId w:val="5"/>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2462530</wp:posOffset>
            </wp:positionH>
            <wp:positionV relativeFrom="page">
              <wp:posOffset>586105</wp:posOffset>
            </wp:positionV>
            <wp:extent cx="2623185"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2318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TO PROXY STATEMENT FOR THE ANNUAL MEETING OF SHAREHOLDERS TO BE HELD ON MAY 28,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supplement, dated May 26, 2026 (this “Supplement”), supplements the definitive proxy statement on Schedule 14A (the “Proxy Statement”) of TMC the metals company Inc. filed with the Securities and Exchange Commission (“SEC”) on April 17, 2026 and relating to our 2026 annual meeting of shareholders to be held in a virtual format on Thursday, May 28, 2026 at 10:00 a.m. EDT (the “Annual Meeting”).</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Broker Authority to Vote Shares on Proposal No. 1 (Set the Number of Directors at Ten) and Proposal No. 3 (Appoint the Independent Registered Public Accounting Firm)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set forth in the Proxy Statement, pursuant to Proposal No. 1 described therein, we are asking shareholders to approve fixing the number of members of our Board of Directors at ten (“Proposal No. 1”) and, pursuant to Proposal No. 3 described therein, we are asking shareholders to approve the appointment of Ernst &amp; Young LLP as our independent registered public accounting firm, to audit our financial statements for the fiscal year ending December 31, 2026 (“Proposal No. 3”). The Proxy Statement stated that if your shares are held in street name and you do not provide voting instructions to the bank, broker or other nominee that holds your shares, the bank, broker or other nominee that holds your shares has the authority to vote your unvoted shares on Proposal No. 1 and on Proposal No. 3 and that we did not expect “broker non-votes” on either Proposal No. 1 or Proposal No. 3. We have been informed that banks, brokers and other nominees will not have authority to vote customers’ unvoted shares held by the firms in street name on Proposal No. 1 nor Proposal No. 3 at the Annual Meeting. Therefore, we hereby amend and supplement the Proxy Statement to clarify how your shares may be voted on Proposal No. 1 and Proposal No. 3.</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as described in the Proxy Statement under “</w:t>
      </w:r>
      <w:r>
        <w:rPr>
          <w:rFonts w:ascii="Times New Roman" w:cs="Times New Roman" w:eastAsia="Times New Roman" w:hAnsi="Times New Roman"/>
          <w:sz w:val="18"/>
          <w:szCs w:val="18"/>
          <w:i w:val="1"/>
          <w:iCs w:val="1"/>
          <w:color w:val="auto"/>
        </w:rPr>
        <w:t>Important Information About the Annual Meeting and Voting - How do I vote?</w:t>
      </w:r>
      <w:r>
        <w:rPr>
          <w:rFonts w:ascii="Times New Roman" w:cs="Times New Roman" w:eastAsia="Times New Roman" w:hAnsi="Times New Roman"/>
          <w:sz w:val="18"/>
          <w:szCs w:val="18"/>
          <w:color w:val="auto"/>
        </w:rPr>
        <w:t>” A “broker non-vote” will occur if your bank, broker or other nominee cannot vote your shares on a particular matter because it has not received instructions from you and does not have discretionary voting authority on that matter. Banks, brokerage firms and other nominees do not have discretionary authority to vote customers’ unvoted shares held by the firms in street name on any of the proposals set forth in the Proxy Statement, including Proposal No. 1 and Proposal No. 3. Therefore, if you own shares in street name at a bank, brokerage firm or other nominee, we encourage you to provide voting instructions to your bank, broker or other nominee. This ensures your shares will be voted at the Annual Meeting and in the manner you desire.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noted above, brokerage firms do not have authority to vote customers’ unvoted shares held by the firms in street name on Proposal No. 1. As a result, any shares not voted by a customer with respect to Proposal No. 1 will be treated as a broker non-vote. Such broker non-votes will have no effect on the results of the voting on Proposal No. 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noted above, brokerage firms do not have authority to vote customers’ unvoted shares held by the firms in street name on Proposal No. 3. As a result, any shares not voted by a customer with respect to Proposal No. 3 will be treated as a broker non-vote. Such broker non-votes will have no effect on the results of the voting on Proposal No.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have already returned your proxy card or provided voting instructions, you do not need to take any action unless you wish to change your vote. Proxies already returned by shareholders (via Internet or mail) will remain valid and will be voted at the Annual Meeting unless revoked. None of the other agenda items presented in the Proxy Statement are affected by this Supplement, and shares represented by proxy cards returned before the Annual Meeting will be voted with respect to all matters properly brought before the Annual Meeting as instructed on the form. Information regarding how to vote your shares and revoke already submitted proxies is available in the Proxy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in this Supplement, the information disclosed in the Proxy Statement continues to apply. To the extent that information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differs from information disclosed in the Proxy Statement, the information in this Supplement applies. The Proxy Statement, together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Supplement, have been filed with the SEC and are also available at </w:t>
      </w:r>
      <w:r>
        <w:rPr>
          <w:rFonts w:ascii="Times New Roman" w:cs="Times New Roman" w:eastAsia="Times New Roman" w:hAnsi="Times New Roman"/>
          <w:sz w:val="18"/>
          <w:szCs w:val="18"/>
          <w:i w:val="1"/>
          <w:iCs w:val="1"/>
          <w:color w:val="auto"/>
        </w:rPr>
        <w:t>https://www.cstproxy.com/metals/2026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2026-05-26T16:05:27Z</dcterms:created>
  <dcterms:modified xsi:type="dcterms:W3CDTF">2026-05-26T16:05:27Z</dcterms:modified>
</cp:coreProperties>
</file>